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br/>
      </w:r>
      <w:r>
        <w:br/>
      </w:r>
      <w:r>
        <w:br/>
      </w:r>
      <w:r>
        <w:br/>
      </w:r>
    </w:p>
    <w:p>
      <w:pPr>
        <w:pStyle w:val="Title"/>
        <w:spacing w:before="0" w:after="160" w:line="240" w:lineRule="auto"/>
        <w:jc w:val="center"/>
      </w:pPr>
      <w:r>
        <w:rPr>
          <w:b/>
        </w:rPr>
        <w:t>European Desktop Operating System</w:t>
      </w:r>
    </w:p>
    <w:p>
      <w:pPr>
        <w:spacing w:before="0" w:after="360" w:line="276" w:lineRule="auto"/>
        <w:jc w:val="center"/>
      </w:pPr>
      <w:r>
        <w:rPr>
          <w:b/>
          <w:color w:val="44546A"/>
          <w:sz w:val="24"/>
        </w:rPr>
        <w:t>Technical Specification Document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6236"/>
      </w:tblGrid>
      <w:tr>
        <w:tc>
          <w:tcPr>
            <w:tcW w:type="dxa" w:w="9632"/>
            <w:shd w:fill="EAF1FB"/>
            <w:tcMar>
              <w:top w:w="220" w:type="dxa"/>
              <w:start w:w="220" w:type="dxa"/>
              <w:bottom w:w="220" w:type="dxa"/>
              <w:end w:w="220" w:type="dxa"/>
            </w:tcMar>
          </w:tcPr>
          <w:p>
            <w:pPr>
              <w:jc w:val="center"/>
            </w:pPr>
            <w:r>
              <w:rPr>
                <w:b/>
                <w:color w:val="003366"/>
                <w:sz w:val="24"/>
              </w:rPr>
              <w:t>BRANDING PLACEHOLDER</w:t>
              <w:br/>
              <w:t>[Logo Placeholder]</w:t>
            </w:r>
          </w:p>
        </w:tc>
      </w:tr>
    </w:tbl>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16"/>
        <w:gridCol w:w="4816"/>
      </w:tblGrid>
      <w:tr>
        <w:tc>
          <w:tcPr>
            <w:tcW w:type="dxa" w:w="2551"/>
            <w:shd w:fill="D9EAF7"/>
            <w:tcMar>
              <w:top w:w="120" w:type="dxa"/>
              <w:start w:w="120" w:type="dxa"/>
              <w:bottom w:w="120" w:type="dxa"/>
              <w:end w:w="120" w:type="dxa"/>
            </w:tcMar>
            <w:vAlign w:val="center"/>
          </w:tcPr>
          <w:p>
            <w:pPr>
              <w:jc w:val="left"/>
            </w:pPr>
            <w:r>
              <w:rPr>
                <w:b/>
                <w:color w:val="1F4E79"/>
                <w:sz w:val="19"/>
              </w:rPr>
              <w:t>Project</w:t>
            </w:r>
          </w:p>
        </w:tc>
        <w:tc>
          <w:tcPr>
            <w:tcW w:type="dxa" w:w="5386"/>
            <w:shd w:fill="F8FBFF"/>
            <w:tcMar>
              <w:top w:w="120" w:type="dxa"/>
              <w:start w:w="120" w:type="dxa"/>
              <w:bottom w:w="120" w:type="dxa"/>
              <w:end w:w="120" w:type="dxa"/>
            </w:tcMar>
            <w:vAlign w:val="center"/>
          </w:tcPr>
          <w:p>
            <w:r>
              <w:rPr>
                <w:sz w:val="19"/>
              </w:rPr>
              <w:t>[OS Name Placeholder]</w:t>
            </w:r>
          </w:p>
        </w:tc>
      </w:tr>
      <w:tr>
        <w:tc>
          <w:tcPr>
            <w:tcW w:type="dxa" w:w="2551"/>
            <w:shd w:fill="D9EAF7"/>
            <w:tcMar>
              <w:top w:w="120" w:type="dxa"/>
              <w:start w:w="120" w:type="dxa"/>
              <w:bottom w:w="120" w:type="dxa"/>
              <w:end w:w="120" w:type="dxa"/>
            </w:tcMar>
            <w:vAlign w:val="center"/>
          </w:tcPr>
          <w:p>
            <w:pPr>
              <w:jc w:val="left"/>
            </w:pPr>
            <w:r>
              <w:rPr>
                <w:b/>
                <w:color w:val="1F4E79"/>
                <w:sz w:val="19"/>
              </w:rPr>
              <w:t>Document version</w:t>
            </w:r>
          </w:p>
        </w:tc>
        <w:tc>
          <w:tcPr>
            <w:tcW w:type="dxa" w:w="5386"/>
            <w:shd w:fill="F8FBFF"/>
            <w:tcMar>
              <w:top w:w="120" w:type="dxa"/>
              <w:start w:w="120" w:type="dxa"/>
              <w:bottom w:w="120" w:type="dxa"/>
              <w:end w:w="120" w:type="dxa"/>
            </w:tcMar>
            <w:vAlign w:val="center"/>
          </w:tcPr>
          <w:p>
            <w:r>
              <w:rPr>
                <w:sz w:val="19"/>
              </w:rPr>
              <w:t>Version 0.2 - Draft</w:t>
            </w:r>
          </w:p>
        </w:tc>
      </w:tr>
      <w:tr>
        <w:tc>
          <w:tcPr>
            <w:tcW w:type="dxa" w:w="2551"/>
            <w:shd w:fill="D9EAF7"/>
            <w:tcMar>
              <w:top w:w="120" w:type="dxa"/>
              <w:start w:w="120" w:type="dxa"/>
              <w:bottom w:w="120" w:type="dxa"/>
              <w:end w:w="120" w:type="dxa"/>
            </w:tcMar>
            <w:vAlign w:val="center"/>
          </w:tcPr>
          <w:p>
            <w:pPr>
              <w:jc w:val="left"/>
            </w:pPr>
            <w:r>
              <w:rPr>
                <w:b/>
                <w:color w:val="1F4E79"/>
                <w:sz w:val="19"/>
              </w:rPr>
              <w:t>Prepared by</w:t>
            </w:r>
          </w:p>
        </w:tc>
        <w:tc>
          <w:tcPr>
            <w:tcW w:type="dxa" w:w="5386"/>
            <w:shd w:fill="F8FBFF"/>
            <w:tcMar>
              <w:top w:w="120" w:type="dxa"/>
              <w:start w:w="120" w:type="dxa"/>
              <w:bottom w:w="120" w:type="dxa"/>
              <w:end w:w="120" w:type="dxa"/>
            </w:tcMar>
            <w:vAlign w:val="center"/>
          </w:tcPr>
          <w:p>
            <w:r>
              <w:rPr>
                <w:sz w:val="19"/>
              </w:rPr>
              <w:t>[Your Name Placeholder]</w:t>
            </w:r>
          </w:p>
        </w:tc>
      </w:tr>
      <w:tr>
        <w:tc>
          <w:tcPr>
            <w:tcW w:type="dxa" w:w="2551"/>
            <w:shd w:fill="D9EAF7"/>
            <w:tcMar>
              <w:top w:w="120" w:type="dxa"/>
              <w:start w:w="120" w:type="dxa"/>
              <w:bottom w:w="120" w:type="dxa"/>
              <w:end w:w="120" w:type="dxa"/>
            </w:tcMar>
            <w:vAlign w:val="center"/>
          </w:tcPr>
          <w:p>
            <w:pPr>
              <w:jc w:val="left"/>
            </w:pPr>
            <w:r>
              <w:rPr>
                <w:b/>
                <w:color w:val="1F4E79"/>
                <w:sz w:val="19"/>
              </w:rPr>
              <w:t>Date</w:t>
            </w:r>
          </w:p>
        </w:tc>
        <w:tc>
          <w:tcPr>
            <w:tcW w:type="dxa" w:w="5386"/>
            <w:shd w:fill="F8FBFF"/>
            <w:tcMar>
              <w:top w:w="120" w:type="dxa"/>
              <w:start w:w="120" w:type="dxa"/>
              <w:bottom w:w="120" w:type="dxa"/>
              <w:end w:w="120" w:type="dxa"/>
            </w:tcMar>
            <w:vAlign w:val="center"/>
          </w:tcPr>
          <w:p>
            <w:r>
              <w:rPr>
                <w:sz w:val="19"/>
              </w:rPr>
              <w:t>[Insert Date]</w:t>
            </w:r>
          </w:p>
        </w:tc>
      </w:tr>
    </w:tbl>
    <w:p/>
    <w:p>
      <w:pPr>
        <w:pStyle w:val="Callout"/>
        <w:jc w:val="center"/>
      </w:pPr>
      <w:r>
        <w:rPr>
          <w:color w:val="595959"/>
        </w:rPr>
        <w:t>Official concept specification prepared in a formal European institutional style, with placeholder branding elements for later identity work.</w:t>
      </w:r>
    </w:p>
    <w:p>
      <w:r>
        <w:br w:type="page"/>
      </w:r>
    </w:p>
    <w:p>
      <w:pPr>
        <w:pStyle w:val="Heading1"/>
        <w:spacing w:before="240" w:after="120"/>
      </w:pPr>
      <w:r>
        <w:t>Executive summary</w:t>
      </w:r>
    </w:p>
    <w:p>
      <w:r>
        <w:t>[OS Name Placeholder] is a concept for a modern 64-bit desktop operating system designed as a privacy-respecting, performance-oriented European alternative to mainstream desktop platforms. The proposed system combines a Rust-based kernel, a restrained and familiar desktop model, and a phased roadmap that prioritises practicality before scale. The intended user groups are gamers, office environments, software developers, institutions, and everyday end users seeking a fast and predictable computing experience.</w:t>
      </w:r>
    </w:p>
    <w:p>
      <w:r>
        <w:t>This document sets out the intended philosophy, architecture, business model, desktop environment, application framework, security posture, and roadmap. It is written as a structured planning baseline rather than a final engineering standard. Branding, product naming, and visual identity are intentionally left as placeholders so that the concept can be adapted later for investor, partner, or product-launch use.</w:t>
      </w:r>
    </w:p>
    <w:p>
      <w:pPr>
        <w:pStyle w:val="Heading1"/>
        <w:spacing w:before="240" w:after="120"/>
      </w:pPr>
      <w:r>
        <w:t>Document purpose and scope</w:t>
      </w:r>
    </w:p>
    <w:p>
      <w:r>
        <w:t>The purpose of this specification is to provide a formal high-level blueprint for the operating system project. It is intended to align technical direction, product positioning, and institutional presentation. The scope of this document includes kernel design assumptions, hardware targets, desktop design principles, application strategy, commercial editions, and staged implementation priorities.</w:t>
      </w:r>
    </w:p>
    <w:p>
      <w:pPr>
        <w:spacing w:after="60"/>
        <w:ind w:left="283" w:hanging="170"/>
      </w:pPr>
      <w:r>
        <w:rPr>
          <w:b/>
        </w:rPr>
        <w:t xml:space="preserve">• </w:t>
      </w:r>
      <w:r>
        <w:t>System architects and kernel developers establishing the technical baseline.</w:t>
      </w:r>
    </w:p>
    <w:p>
      <w:pPr>
        <w:spacing w:after="60"/>
        <w:ind w:left="283" w:hanging="170"/>
      </w:pPr>
      <w:r>
        <w:rPr>
          <w:b/>
        </w:rPr>
        <w:t xml:space="preserve">• </w:t>
      </w:r>
      <w:r>
        <w:t>UI and UX designers shaping a coherent desktop environment and design language.</w:t>
      </w:r>
    </w:p>
    <w:p>
      <w:pPr>
        <w:spacing w:after="60"/>
        <w:ind w:left="283" w:hanging="170"/>
      </w:pPr>
      <w:r>
        <w:rPr>
          <w:b/>
        </w:rPr>
        <w:t xml:space="preserve">• </w:t>
      </w:r>
      <w:r>
        <w:t>Potential enterprise partners, OEMs, and institutional stakeholders evaluating viability.</w:t>
      </w:r>
    </w:p>
    <w:p>
      <w:pPr>
        <w:spacing w:after="60"/>
        <w:ind w:left="283" w:hanging="170"/>
      </w:pPr>
      <w:r>
        <w:rPr>
          <w:b/>
        </w:rPr>
        <w:t xml:space="preserve">• </w:t>
      </w:r>
      <w:r>
        <w:t>Future contributors and researchers who need a stable reference point for decisions.</w:t>
      </w:r>
    </w:p>
    <w:p>
      <w:pPr>
        <w:spacing w:before="120" w:after="80" w:line="276" w:lineRule="auto"/>
      </w:pPr>
      <w:r>
        <w:rPr>
          <w:b/>
          <w:color w:val="1F4E79"/>
        </w:rPr>
        <w:t>Front-matter placeholders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OS name</w:t>
            </w:r>
          </w:p>
        </w:tc>
        <w:tc>
          <w:tcPr>
            <w:tcW w:type="dxa" w:w="6520"/>
            <w:shd w:fill="F9FBFE"/>
            <w:tcMar>
              <w:top w:w="120" w:type="dxa"/>
              <w:start w:w="120" w:type="dxa"/>
              <w:bottom w:w="120" w:type="dxa"/>
              <w:end w:w="120" w:type="dxa"/>
            </w:tcMar>
            <w:vAlign w:val="center"/>
          </w:tcPr>
          <w:p>
            <w:pPr>
              <w:jc w:val="left"/>
            </w:pPr>
            <w:r>
              <w:rPr>
                <w:sz w:val="19"/>
              </w:rPr>
              <w:t>[OS Name Placeholder]</w:t>
            </w:r>
          </w:p>
        </w:tc>
      </w:tr>
      <w:tr>
        <w:tc>
          <w:tcPr>
            <w:tcW w:type="dxa" w:w="2551"/>
            <w:shd w:fill="F9FBFE"/>
            <w:tcMar>
              <w:top w:w="120" w:type="dxa"/>
              <w:start w:w="120" w:type="dxa"/>
              <w:bottom w:w="120" w:type="dxa"/>
              <w:end w:w="120" w:type="dxa"/>
            </w:tcMar>
            <w:vAlign w:val="center"/>
          </w:tcPr>
          <w:p>
            <w:pPr>
              <w:jc w:val="left"/>
            </w:pPr>
            <w:r>
              <w:rPr>
                <w:b/>
                <w:color w:val="44546A"/>
                <w:sz w:val="19"/>
              </w:rPr>
              <w:t>Logo</w:t>
            </w:r>
          </w:p>
        </w:tc>
        <w:tc>
          <w:tcPr>
            <w:tcW w:type="dxa" w:w="6520"/>
            <w:shd w:fill="F9FBFE"/>
            <w:tcMar>
              <w:top w:w="120" w:type="dxa"/>
              <w:start w:w="120" w:type="dxa"/>
              <w:bottom w:w="120" w:type="dxa"/>
              <w:end w:w="120" w:type="dxa"/>
            </w:tcMar>
            <w:vAlign w:val="center"/>
          </w:tcPr>
          <w:p>
            <w:pPr>
              <w:jc w:val="left"/>
            </w:pPr>
            <w:r>
              <w:rPr>
                <w:sz w:val="19"/>
              </w:rPr>
              <w:t>[Logo Placeholder]</w:t>
            </w:r>
          </w:p>
        </w:tc>
      </w:tr>
      <w:tr>
        <w:tc>
          <w:tcPr>
            <w:tcW w:type="dxa" w:w="2551"/>
            <w:shd w:fill="F9FBFE"/>
            <w:tcMar>
              <w:top w:w="120" w:type="dxa"/>
              <w:start w:w="120" w:type="dxa"/>
              <w:bottom w:w="120" w:type="dxa"/>
              <w:end w:w="120" w:type="dxa"/>
            </w:tcMar>
            <w:vAlign w:val="center"/>
          </w:tcPr>
          <w:p>
            <w:pPr>
              <w:jc w:val="left"/>
            </w:pPr>
            <w:r>
              <w:rPr>
                <w:b/>
                <w:color w:val="44546A"/>
                <w:sz w:val="19"/>
              </w:rPr>
              <w:t>Slogan</w:t>
            </w:r>
          </w:p>
        </w:tc>
        <w:tc>
          <w:tcPr>
            <w:tcW w:type="dxa" w:w="6520"/>
            <w:shd w:fill="F9FBFE"/>
            <w:tcMar>
              <w:top w:w="120" w:type="dxa"/>
              <w:start w:w="120" w:type="dxa"/>
              <w:bottom w:w="120" w:type="dxa"/>
              <w:end w:w="120" w:type="dxa"/>
            </w:tcMar>
            <w:vAlign w:val="center"/>
          </w:tcPr>
          <w:p>
            <w:pPr>
              <w:jc w:val="left"/>
            </w:pPr>
            <w:r>
              <w:rPr>
                <w:sz w:val="19"/>
              </w:rPr>
              <w:t>[Slogan Placeholder]</w:t>
            </w:r>
          </w:p>
        </w:tc>
      </w:tr>
      <w:tr>
        <w:tc>
          <w:tcPr>
            <w:tcW w:type="dxa" w:w="2551"/>
            <w:shd w:fill="F9FBFE"/>
            <w:tcMar>
              <w:top w:w="120" w:type="dxa"/>
              <w:start w:w="120" w:type="dxa"/>
              <w:bottom w:w="120" w:type="dxa"/>
              <w:end w:w="120" w:type="dxa"/>
            </w:tcMar>
            <w:vAlign w:val="center"/>
          </w:tcPr>
          <w:p>
            <w:pPr>
              <w:jc w:val="left"/>
            </w:pPr>
            <w:r>
              <w:rPr>
                <w:b/>
                <w:color w:val="44546A"/>
                <w:sz w:val="19"/>
              </w:rPr>
              <w:t>Primary palette</w:t>
            </w:r>
          </w:p>
        </w:tc>
        <w:tc>
          <w:tcPr>
            <w:tcW w:type="dxa" w:w="6520"/>
            <w:shd w:fill="F9FBFE"/>
            <w:tcMar>
              <w:top w:w="120" w:type="dxa"/>
              <w:start w:w="120" w:type="dxa"/>
              <w:bottom w:w="120" w:type="dxa"/>
              <w:end w:w="120" w:type="dxa"/>
            </w:tcMar>
            <w:vAlign w:val="center"/>
          </w:tcPr>
          <w:p>
            <w:pPr>
              <w:jc w:val="left"/>
            </w:pPr>
            <w:r>
              <w:rPr>
                <w:sz w:val="19"/>
              </w:rPr>
              <w:t>[Color Palette Placeholder]</w:t>
            </w:r>
          </w:p>
        </w:tc>
      </w:tr>
      <w:tr>
        <w:tc>
          <w:tcPr>
            <w:tcW w:type="dxa" w:w="2551"/>
            <w:shd w:fill="F9FBFE"/>
            <w:tcMar>
              <w:top w:w="120" w:type="dxa"/>
              <w:start w:w="120" w:type="dxa"/>
              <w:bottom w:w="120" w:type="dxa"/>
              <w:end w:w="120" w:type="dxa"/>
            </w:tcMar>
            <w:vAlign w:val="center"/>
          </w:tcPr>
          <w:p>
            <w:pPr>
              <w:jc w:val="left"/>
            </w:pPr>
            <w:r>
              <w:rPr>
                <w:b/>
                <w:color w:val="44546A"/>
                <w:sz w:val="19"/>
              </w:rPr>
              <w:t>Typography</w:t>
            </w:r>
          </w:p>
        </w:tc>
        <w:tc>
          <w:tcPr>
            <w:tcW w:type="dxa" w:w="6520"/>
            <w:shd w:fill="F9FBFE"/>
            <w:tcMar>
              <w:top w:w="120" w:type="dxa"/>
              <w:start w:w="120" w:type="dxa"/>
              <w:bottom w:w="120" w:type="dxa"/>
              <w:end w:w="120" w:type="dxa"/>
            </w:tcMar>
            <w:vAlign w:val="center"/>
          </w:tcPr>
          <w:p>
            <w:pPr>
              <w:jc w:val="left"/>
            </w:pPr>
            <w:r>
              <w:rPr>
                <w:sz w:val="19"/>
              </w:rPr>
              <w:t>[Typography Placeholder]</w:t>
            </w:r>
          </w:p>
        </w:tc>
      </w:tr>
    </w:tbl>
    <w:p/>
    <w:p>
      <w:pPr>
        <w:pStyle w:val="Heading1"/>
        <w:spacing w:before="240" w:after="120"/>
      </w:pPr>
      <w:r>
        <w:t>1. Introduction</w:t>
      </w:r>
    </w:p>
    <w:p>
      <w:pPr>
        <w:pStyle w:val="Heading2"/>
        <w:spacing w:before="160" w:after="60"/>
      </w:pPr>
      <w:r>
        <w:t>1.1 Background</w:t>
      </w:r>
    </w:p>
    <w:p>
      <w:r>
        <w:t>Across Europe there is sustained interest in digital sovereignty, reduced dependency on external platforms, and better alignment between software products and European expectations around privacy, transparency, and sustainability. Many existing desktop operating systems remain shaped by long legacy chains, aggressive telemetry practices, or commercial assumptions that do not always support a clean and user-centric experience.</w:t>
      </w:r>
    </w:p>
    <w:p>
      <w:r>
        <w:t>The project defined in this document responds to that gap. The intent is not merely to re-skin an existing desktop stack, but to define a coherent operating system direction that can grow from a technically modern foundation into a complete daily-use platform.</w:t>
      </w:r>
    </w:p>
    <w:p>
      <w:pPr>
        <w:pStyle w:val="Heading2"/>
        <w:spacing w:before="160" w:after="60"/>
      </w:pPr>
      <w:r>
        <w:t>1.2 Motivation</w:t>
      </w:r>
    </w:p>
    <w:p>
      <w:pPr>
        <w:spacing w:after="60"/>
        <w:ind w:left="283" w:hanging="170"/>
      </w:pPr>
      <w:r>
        <w:rPr>
          <w:b/>
        </w:rPr>
        <w:t xml:space="preserve">• </w:t>
      </w:r>
      <w:r>
        <w:t>Strengthen European digital independence and long-term platform control.</w:t>
      </w:r>
    </w:p>
    <w:p>
      <w:pPr>
        <w:spacing w:after="60"/>
        <w:ind w:left="283" w:hanging="170"/>
      </w:pPr>
      <w:r>
        <w:rPr>
          <w:b/>
        </w:rPr>
        <w:t xml:space="preserve">• </w:t>
      </w:r>
      <w:r>
        <w:t>Provide a modern operating system oriented towards performance and predictable behaviour.</w:t>
      </w:r>
    </w:p>
    <w:p>
      <w:pPr>
        <w:spacing w:after="60"/>
        <w:ind w:left="283" w:hanging="170"/>
      </w:pPr>
      <w:r>
        <w:rPr>
          <w:b/>
        </w:rPr>
        <w:t xml:space="preserve">• </w:t>
      </w:r>
      <w:r>
        <w:t>Avoid mandatory telemetry and maintain privacy by default.</w:t>
      </w:r>
    </w:p>
    <w:p>
      <w:pPr>
        <w:spacing w:after="60"/>
        <w:ind w:left="283" w:hanging="170"/>
      </w:pPr>
      <w:r>
        <w:rPr>
          <w:b/>
        </w:rPr>
        <w:t xml:space="preserve">• </w:t>
      </w:r>
      <w:r>
        <w:t>Create a cleaner software platform for developers through a modern systems language baseline.</w:t>
      </w:r>
    </w:p>
    <w:p>
      <w:pPr>
        <w:spacing w:after="60"/>
        <w:ind w:left="283" w:hanging="170"/>
      </w:pPr>
      <w:r>
        <w:rPr>
          <w:b/>
        </w:rPr>
        <w:t xml:space="preserve">• </w:t>
      </w:r>
      <w:r>
        <w:t>Enable a long-term ecosystem that can serve personal, gaming, office, and institutional use cases.</w:t>
      </w:r>
    </w:p>
    <w:p>
      <w:pPr>
        <w:pStyle w:val="Heading2"/>
        <w:spacing w:before="160" w:after="60"/>
      </w:pPr>
      <w:r>
        <w:t>1.3 High-level goals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Familiarity</w:t>
            </w:r>
          </w:p>
        </w:tc>
        <w:tc>
          <w:tcPr>
            <w:tcW w:type="dxa" w:w="6520"/>
            <w:shd w:fill="F9FBFE"/>
            <w:tcMar>
              <w:top w:w="120" w:type="dxa"/>
              <w:start w:w="120" w:type="dxa"/>
              <w:bottom w:w="120" w:type="dxa"/>
              <w:end w:w="120" w:type="dxa"/>
            </w:tcMar>
            <w:vAlign w:val="center"/>
          </w:tcPr>
          <w:p>
            <w:pPr>
              <w:jc w:val="left"/>
            </w:pPr>
            <w:r>
              <w:rPr>
                <w:sz w:val="19"/>
              </w:rPr>
              <w:t>Deliver a user experience that feels immediately usable for people coming from Windows-like desktop conventions.</w:t>
            </w:r>
          </w:p>
        </w:tc>
      </w:tr>
      <w:tr>
        <w:tc>
          <w:tcPr>
            <w:tcW w:type="dxa" w:w="2551"/>
            <w:shd w:fill="F9FBFE"/>
            <w:tcMar>
              <w:top w:w="120" w:type="dxa"/>
              <w:start w:w="120" w:type="dxa"/>
              <w:bottom w:w="120" w:type="dxa"/>
              <w:end w:w="120" w:type="dxa"/>
            </w:tcMar>
            <w:vAlign w:val="center"/>
          </w:tcPr>
          <w:p>
            <w:pPr>
              <w:jc w:val="left"/>
            </w:pPr>
            <w:r>
              <w:rPr>
                <w:b/>
                <w:color w:val="44546A"/>
                <w:sz w:val="19"/>
              </w:rPr>
              <w:t>Safety</w:t>
            </w:r>
          </w:p>
        </w:tc>
        <w:tc>
          <w:tcPr>
            <w:tcW w:type="dxa" w:w="6520"/>
            <w:shd w:fill="F9FBFE"/>
            <w:tcMar>
              <w:top w:w="120" w:type="dxa"/>
              <w:start w:w="120" w:type="dxa"/>
              <w:bottom w:w="120" w:type="dxa"/>
              <w:end w:w="120" w:type="dxa"/>
            </w:tcMar>
            <w:vAlign w:val="center"/>
          </w:tcPr>
          <w:p>
            <w:pPr>
              <w:jc w:val="left"/>
            </w:pPr>
            <w:r>
              <w:rPr>
                <w:sz w:val="19"/>
              </w:rPr>
              <w:t>Use Rust as the core systems language to reduce memory-unsafe failure modes where practical.</w:t>
            </w:r>
          </w:p>
        </w:tc>
      </w:tr>
      <w:tr>
        <w:tc>
          <w:tcPr>
            <w:tcW w:type="dxa" w:w="2551"/>
            <w:shd w:fill="F9FBFE"/>
            <w:tcMar>
              <w:top w:w="120" w:type="dxa"/>
              <w:start w:w="120" w:type="dxa"/>
              <w:bottom w:w="120" w:type="dxa"/>
              <w:end w:w="120" w:type="dxa"/>
            </w:tcMar>
            <w:vAlign w:val="center"/>
          </w:tcPr>
          <w:p>
            <w:pPr>
              <w:jc w:val="left"/>
            </w:pPr>
            <w:r>
              <w:rPr>
                <w:b/>
                <w:color w:val="44546A"/>
                <w:sz w:val="19"/>
              </w:rPr>
              <w:t>Performance</w:t>
            </w:r>
          </w:p>
        </w:tc>
        <w:tc>
          <w:tcPr>
            <w:tcW w:type="dxa" w:w="6520"/>
            <w:shd w:fill="F9FBFE"/>
            <w:tcMar>
              <w:top w:w="120" w:type="dxa"/>
              <w:start w:w="120" w:type="dxa"/>
              <w:bottom w:w="120" w:type="dxa"/>
              <w:end w:w="120" w:type="dxa"/>
            </w:tcMar>
            <w:vAlign w:val="center"/>
          </w:tcPr>
          <w:p>
            <w:pPr>
              <w:jc w:val="left"/>
            </w:pPr>
            <w:r>
              <w:rPr>
                <w:sz w:val="19"/>
              </w:rPr>
              <w:t>Prioritise low overhead, fast startup, responsive interaction, and efficient resource use.</w:t>
            </w:r>
          </w:p>
        </w:tc>
      </w:tr>
      <w:tr>
        <w:tc>
          <w:tcPr>
            <w:tcW w:type="dxa" w:w="2551"/>
            <w:shd w:fill="F9FBFE"/>
            <w:tcMar>
              <w:top w:w="120" w:type="dxa"/>
              <w:start w:w="120" w:type="dxa"/>
              <w:bottom w:w="120" w:type="dxa"/>
              <w:end w:w="120" w:type="dxa"/>
            </w:tcMar>
            <w:vAlign w:val="center"/>
          </w:tcPr>
          <w:p>
            <w:pPr>
              <w:jc w:val="left"/>
            </w:pPr>
            <w:r>
              <w:rPr>
                <w:b/>
                <w:color w:val="44546A"/>
                <w:sz w:val="19"/>
              </w:rPr>
              <w:t>Compatibility</w:t>
            </w:r>
          </w:p>
        </w:tc>
        <w:tc>
          <w:tcPr>
            <w:tcW w:type="dxa" w:w="6520"/>
            <w:shd w:fill="F9FBFE"/>
            <w:tcMar>
              <w:top w:w="120" w:type="dxa"/>
              <w:start w:w="120" w:type="dxa"/>
              <w:bottom w:w="120" w:type="dxa"/>
              <w:end w:w="120" w:type="dxa"/>
            </w:tcMar>
            <w:vAlign w:val="center"/>
          </w:tcPr>
          <w:p>
            <w:pPr>
              <w:jc w:val="left"/>
            </w:pPr>
            <w:r>
              <w:rPr>
                <w:sz w:val="19"/>
              </w:rPr>
              <w:t>Design with future application and gaming compatibility layers in mind, even if these arrive in later phases.</w:t>
            </w:r>
          </w:p>
        </w:tc>
      </w:tr>
      <w:tr>
        <w:tc>
          <w:tcPr>
            <w:tcW w:type="dxa" w:w="2551"/>
            <w:shd w:fill="F9FBFE"/>
            <w:tcMar>
              <w:top w:w="120" w:type="dxa"/>
              <w:start w:w="120" w:type="dxa"/>
              <w:bottom w:w="120" w:type="dxa"/>
              <w:end w:w="120" w:type="dxa"/>
            </w:tcMar>
            <w:vAlign w:val="center"/>
          </w:tcPr>
          <w:p>
            <w:pPr>
              <w:jc w:val="left"/>
            </w:pPr>
            <w:r>
              <w:rPr>
                <w:b/>
                <w:color w:val="44546A"/>
                <w:sz w:val="19"/>
              </w:rPr>
              <w:t>Maintainability</w:t>
            </w:r>
          </w:p>
        </w:tc>
        <w:tc>
          <w:tcPr>
            <w:tcW w:type="dxa" w:w="6520"/>
            <w:shd w:fill="F9FBFE"/>
            <w:tcMar>
              <w:top w:w="120" w:type="dxa"/>
              <w:start w:w="120" w:type="dxa"/>
              <w:bottom w:w="120" w:type="dxa"/>
              <w:end w:w="120" w:type="dxa"/>
            </w:tcMar>
            <w:vAlign w:val="center"/>
          </w:tcPr>
          <w:p>
            <w:pPr>
              <w:jc w:val="left"/>
            </w:pPr>
            <w:r>
              <w:rPr>
                <w:sz w:val="19"/>
              </w:rPr>
              <w:t>Keep module boundaries clean so that the project remains readable and extensible over time.</w:t>
            </w:r>
          </w:p>
        </w:tc>
      </w:tr>
    </w:tbl>
    <w:p/>
    <w:p>
      <w:pPr>
        <w:pStyle w:val="Heading1"/>
        <w:spacing w:before="240" w:after="120"/>
      </w:pPr>
      <w:r>
        <w:t>2. Core philosophy</w:t>
      </w:r>
    </w:p>
    <w:p>
      <w:pPr>
        <w:spacing w:before="120" w:after="80" w:line="276" w:lineRule="auto"/>
      </w:pPr>
      <w:r>
        <w:rPr>
          <w:b/>
          <w:color w:val="1F4E79"/>
        </w:rPr>
        <w:t>Guiding principles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Performance</w:t>
            </w:r>
          </w:p>
        </w:tc>
        <w:tc>
          <w:tcPr>
            <w:tcW w:type="dxa" w:w="6520"/>
            <w:shd w:fill="F9FBFE"/>
            <w:tcMar>
              <w:top w:w="120" w:type="dxa"/>
              <w:start w:w="120" w:type="dxa"/>
              <w:bottom w:w="120" w:type="dxa"/>
              <w:end w:w="120" w:type="dxa"/>
            </w:tcMar>
            <w:vAlign w:val="center"/>
          </w:tcPr>
          <w:p>
            <w:pPr>
              <w:jc w:val="left"/>
            </w:pPr>
            <w:r>
              <w:rPr>
                <w:sz w:val="19"/>
              </w:rPr>
              <w:t>The system should minimise unnecessary background activity, maintain low-latency behaviour, and support graphics and input pipelines that feel responsive under gaming and desktop workloads alike.</w:t>
            </w:r>
          </w:p>
        </w:tc>
      </w:tr>
      <w:tr>
        <w:tc>
          <w:tcPr>
            <w:tcW w:type="dxa" w:w="2551"/>
            <w:shd w:fill="F9FBFE"/>
            <w:tcMar>
              <w:top w:w="120" w:type="dxa"/>
              <w:start w:w="120" w:type="dxa"/>
              <w:bottom w:w="120" w:type="dxa"/>
              <w:end w:w="120" w:type="dxa"/>
            </w:tcMar>
            <w:vAlign w:val="center"/>
          </w:tcPr>
          <w:p>
            <w:pPr>
              <w:jc w:val="left"/>
            </w:pPr>
            <w:r>
              <w:rPr>
                <w:b/>
                <w:color w:val="44546A"/>
                <w:sz w:val="19"/>
              </w:rPr>
              <w:t>Efficiency</w:t>
            </w:r>
          </w:p>
        </w:tc>
        <w:tc>
          <w:tcPr>
            <w:tcW w:type="dxa" w:w="6520"/>
            <w:shd w:fill="F9FBFE"/>
            <w:tcMar>
              <w:top w:w="120" w:type="dxa"/>
              <w:start w:w="120" w:type="dxa"/>
              <w:bottom w:w="120" w:type="dxa"/>
              <w:end w:w="120" w:type="dxa"/>
            </w:tcMar>
            <w:vAlign w:val="center"/>
          </w:tcPr>
          <w:p>
            <w:pPr>
              <w:jc w:val="left"/>
            </w:pPr>
            <w:r>
              <w:rPr>
                <w:sz w:val="19"/>
              </w:rPr>
              <w:t>Resource use should be predictable rather than bloated. The desktop environment, services, and kernel facilities should justify their presence and avoid permanent overhead where possible.</w:t>
            </w:r>
          </w:p>
        </w:tc>
      </w:tr>
      <w:tr>
        <w:tc>
          <w:tcPr>
            <w:tcW w:type="dxa" w:w="2551"/>
            <w:shd w:fill="F9FBFE"/>
            <w:tcMar>
              <w:top w:w="120" w:type="dxa"/>
              <w:start w:w="120" w:type="dxa"/>
              <w:bottom w:w="120" w:type="dxa"/>
              <w:end w:w="120" w:type="dxa"/>
            </w:tcMar>
            <w:vAlign w:val="center"/>
          </w:tcPr>
          <w:p>
            <w:pPr>
              <w:jc w:val="left"/>
            </w:pPr>
            <w:r>
              <w:rPr>
                <w:b/>
                <w:color w:val="44546A"/>
                <w:sz w:val="19"/>
              </w:rPr>
              <w:t>Compatibility</w:t>
            </w:r>
          </w:p>
        </w:tc>
        <w:tc>
          <w:tcPr>
            <w:tcW w:type="dxa" w:w="6520"/>
            <w:shd w:fill="F9FBFE"/>
            <w:tcMar>
              <w:top w:w="120" w:type="dxa"/>
              <w:start w:w="120" w:type="dxa"/>
              <w:bottom w:w="120" w:type="dxa"/>
              <w:end w:w="120" w:type="dxa"/>
            </w:tcMar>
            <w:vAlign w:val="center"/>
          </w:tcPr>
          <w:p>
            <w:pPr>
              <w:jc w:val="left"/>
            </w:pPr>
            <w:r>
              <w:rPr>
                <w:sz w:val="19"/>
              </w:rPr>
              <w:t>The platform should favour native applications first, but its architecture should anticipate interoperability layers for filesystems, applications, and games where these become strategically useful.</w:t>
            </w:r>
          </w:p>
        </w:tc>
      </w:tr>
      <w:tr>
        <w:tc>
          <w:tcPr>
            <w:tcW w:type="dxa" w:w="2551"/>
            <w:shd w:fill="F9FBFE"/>
            <w:tcMar>
              <w:top w:w="120" w:type="dxa"/>
              <w:start w:w="120" w:type="dxa"/>
              <w:bottom w:w="120" w:type="dxa"/>
              <w:end w:w="120" w:type="dxa"/>
            </w:tcMar>
            <w:vAlign w:val="center"/>
          </w:tcPr>
          <w:p>
            <w:pPr>
              <w:jc w:val="left"/>
            </w:pPr>
            <w:r>
              <w:rPr>
                <w:b/>
                <w:color w:val="44546A"/>
                <w:sz w:val="19"/>
              </w:rPr>
              <w:t>Simplicity</w:t>
            </w:r>
          </w:p>
        </w:tc>
        <w:tc>
          <w:tcPr>
            <w:tcW w:type="dxa" w:w="6520"/>
            <w:shd w:fill="F9FBFE"/>
            <w:tcMar>
              <w:top w:w="120" w:type="dxa"/>
              <w:start w:w="120" w:type="dxa"/>
              <w:bottom w:w="120" w:type="dxa"/>
              <w:end w:w="120" w:type="dxa"/>
            </w:tcMar>
            <w:vAlign w:val="center"/>
          </w:tcPr>
          <w:p>
            <w:pPr>
              <w:jc w:val="left"/>
            </w:pPr>
            <w:r>
              <w:rPr>
                <w:sz w:val="19"/>
              </w:rPr>
              <w:t>The operating system should present a clean and consistent user model. Common actions should be obvious, settings should be understandable, and visual noise should be reduced.</w:t>
            </w:r>
          </w:p>
        </w:tc>
      </w:tr>
      <w:tr>
        <w:tc>
          <w:tcPr>
            <w:tcW w:type="dxa" w:w="2551"/>
            <w:shd w:fill="F9FBFE"/>
            <w:tcMar>
              <w:top w:w="120" w:type="dxa"/>
              <w:start w:w="120" w:type="dxa"/>
              <w:bottom w:w="120" w:type="dxa"/>
              <w:end w:w="120" w:type="dxa"/>
            </w:tcMar>
            <w:vAlign w:val="center"/>
          </w:tcPr>
          <w:p>
            <w:pPr>
              <w:jc w:val="left"/>
            </w:pPr>
            <w:r>
              <w:rPr>
                <w:b/>
                <w:color w:val="44546A"/>
                <w:sz w:val="19"/>
              </w:rPr>
              <w:t>User-centric design</w:t>
            </w:r>
          </w:p>
        </w:tc>
        <w:tc>
          <w:tcPr>
            <w:tcW w:type="dxa" w:w="6520"/>
            <w:shd w:fill="F9FBFE"/>
            <w:tcMar>
              <w:top w:w="120" w:type="dxa"/>
              <w:start w:w="120" w:type="dxa"/>
              <w:bottom w:w="120" w:type="dxa"/>
              <w:end w:w="120" w:type="dxa"/>
            </w:tcMar>
            <w:vAlign w:val="center"/>
          </w:tcPr>
          <w:p>
            <w:pPr>
              <w:jc w:val="left"/>
            </w:pPr>
            <w:r>
              <w:rPr>
                <w:sz w:val="19"/>
              </w:rPr>
              <w:t>The product should support real usage patterns instead of forcing the user into unnecessary account, telemetry, or advertising flows.</w:t>
            </w:r>
          </w:p>
        </w:tc>
      </w:tr>
      <w:tr>
        <w:tc>
          <w:tcPr>
            <w:tcW w:type="dxa" w:w="2551"/>
            <w:shd w:fill="F9FBFE"/>
            <w:tcMar>
              <w:top w:w="120" w:type="dxa"/>
              <w:start w:w="120" w:type="dxa"/>
              <w:bottom w:w="120" w:type="dxa"/>
              <w:end w:w="120" w:type="dxa"/>
            </w:tcMar>
            <w:vAlign w:val="center"/>
          </w:tcPr>
          <w:p>
            <w:pPr>
              <w:jc w:val="left"/>
            </w:pPr>
            <w:r>
              <w:rPr>
                <w:b/>
                <w:color w:val="44546A"/>
                <w:sz w:val="19"/>
              </w:rPr>
              <w:t>European values</w:t>
            </w:r>
          </w:p>
        </w:tc>
        <w:tc>
          <w:tcPr>
            <w:tcW w:type="dxa" w:w="6520"/>
            <w:shd w:fill="F9FBFE"/>
            <w:tcMar>
              <w:top w:w="120" w:type="dxa"/>
              <w:start w:w="120" w:type="dxa"/>
              <w:bottom w:w="120" w:type="dxa"/>
              <w:end w:w="120" w:type="dxa"/>
            </w:tcMar>
            <w:vAlign w:val="center"/>
          </w:tcPr>
          <w:p>
            <w:pPr>
              <w:jc w:val="left"/>
            </w:pPr>
            <w:r>
              <w:rPr>
                <w:sz w:val="19"/>
              </w:rPr>
              <w:t>Privacy, transparency, interoperability, accessibility, and sustainability should remain guiding themes across engineering and product decisions.</w:t>
            </w:r>
          </w:p>
        </w:tc>
      </w:tr>
    </w:tbl>
    <w:p/>
    <w:p>
      <w:pPr>
        <w:pStyle w:val="Heading1"/>
        <w:spacing w:before="240" w:after="120"/>
      </w:pPr>
      <w:r>
        <w:t>3. Licensing and business model</w:t>
      </w:r>
    </w:p>
    <w:p>
      <w:r>
        <w:t>The commercial model is intentionally structured around accessibility for private users and support-driven monetisation for professional use. This helps the platform remain attractive to enthusiasts and developers while still leaving room for enterprise sustainability.</w:t>
      </w:r>
    </w:p>
    <w:p>
      <w:pPr>
        <w:spacing w:before="120" w:after="80" w:line="276" w:lineRule="auto"/>
      </w:pPr>
      <w:r>
        <w:rPr>
          <w:b/>
          <w:color w:val="1F4E79"/>
        </w:rPr>
        <w:t>Commercial editions and revenue streams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Free Personal Edition</w:t>
            </w:r>
          </w:p>
        </w:tc>
        <w:tc>
          <w:tcPr>
            <w:tcW w:type="dxa" w:w="6520"/>
            <w:shd w:fill="F9FBFE"/>
            <w:tcMar>
              <w:top w:w="120" w:type="dxa"/>
              <w:start w:w="120" w:type="dxa"/>
              <w:bottom w:w="120" w:type="dxa"/>
              <w:end w:w="120" w:type="dxa"/>
            </w:tcMar>
            <w:vAlign w:val="center"/>
          </w:tcPr>
          <w:p>
            <w:pPr>
              <w:jc w:val="left"/>
            </w:pPr>
            <w:r>
              <w:rPr>
                <w:sz w:val="19"/>
              </w:rPr>
              <w:t>Core operating system features for home users, gamers, students, and enthusiasts, without mandatory telemetry and with access to standard updates.</w:t>
            </w:r>
          </w:p>
        </w:tc>
      </w:tr>
      <w:tr>
        <w:tc>
          <w:tcPr>
            <w:tcW w:type="dxa" w:w="2551"/>
            <w:shd w:fill="F9FBFE"/>
            <w:tcMar>
              <w:top w:w="120" w:type="dxa"/>
              <w:start w:w="120" w:type="dxa"/>
              <w:bottom w:w="120" w:type="dxa"/>
              <w:end w:w="120" w:type="dxa"/>
            </w:tcMar>
            <w:vAlign w:val="center"/>
          </w:tcPr>
          <w:p>
            <w:pPr>
              <w:jc w:val="left"/>
            </w:pPr>
            <w:r>
              <w:rPr>
                <w:b/>
                <w:color w:val="44546A"/>
                <w:sz w:val="19"/>
              </w:rPr>
              <w:t>Business Edition</w:t>
            </w:r>
          </w:p>
        </w:tc>
        <w:tc>
          <w:tcPr>
            <w:tcW w:type="dxa" w:w="6520"/>
            <w:shd w:fill="F9FBFE"/>
            <w:tcMar>
              <w:top w:w="120" w:type="dxa"/>
              <w:start w:w="120" w:type="dxa"/>
              <w:bottom w:w="120" w:type="dxa"/>
              <w:end w:w="120" w:type="dxa"/>
            </w:tcMar>
            <w:vAlign w:val="center"/>
          </w:tcPr>
          <w:p>
            <w:pPr>
              <w:jc w:val="left"/>
            </w:pPr>
            <w:r>
              <w:rPr>
                <w:sz w:val="19"/>
              </w:rPr>
              <w:t>Professional deployment and support package aimed at companies, institutions, and managed environments, including compliance tooling, lifecycle support, and administrative controls.</w:t>
            </w:r>
          </w:p>
        </w:tc>
      </w:tr>
      <w:tr>
        <w:tc>
          <w:tcPr>
            <w:tcW w:type="dxa" w:w="2551"/>
            <w:shd w:fill="F9FBFE"/>
            <w:tcMar>
              <w:top w:w="120" w:type="dxa"/>
              <w:start w:w="120" w:type="dxa"/>
              <w:bottom w:w="120" w:type="dxa"/>
              <w:end w:w="120" w:type="dxa"/>
            </w:tcMar>
            <w:vAlign w:val="center"/>
          </w:tcPr>
          <w:p>
            <w:pPr>
              <w:jc w:val="left"/>
            </w:pPr>
            <w:r>
              <w:rPr>
                <w:b/>
                <w:color w:val="44546A"/>
                <w:sz w:val="19"/>
              </w:rPr>
              <w:t>Pro Edition</w:t>
            </w:r>
          </w:p>
        </w:tc>
        <w:tc>
          <w:tcPr>
            <w:tcW w:type="dxa" w:w="6520"/>
            <w:shd w:fill="F9FBFE"/>
            <w:tcMar>
              <w:top w:w="120" w:type="dxa"/>
              <w:start w:w="120" w:type="dxa"/>
              <w:bottom w:w="120" w:type="dxa"/>
              <w:end w:w="120" w:type="dxa"/>
            </w:tcMar>
            <w:vAlign w:val="center"/>
          </w:tcPr>
          <w:p>
            <w:pPr>
              <w:jc w:val="left"/>
            </w:pPr>
            <w:r>
              <w:rPr>
                <w:sz w:val="19"/>
              </w:rPr>
              <w:t>Enhanced feature bundle for power users, creators, developers, and advanced enthusiasts, including extended tooling, virtualisation, tuning, and premium support options.</w:t>
            </w:r>
          </w:p>
        </w:tc>
      </w:tr>
      <w:tr>
        <w:tc>
          <w:tcPr>
            <w:tcW w:type="dxa" w:w="2551"/>
            <w:shd w:fill="F9FBFE"/>
            <w:tcMar>
              <w:top w:w="120" w:type="dxa"/>
              <w:start w:w="120" w:type="dxa"/>
              <w:bottom w:w="120" w:type="dxa"/>
              <w:end w:w="120" w:type="dxa"/>
            </w:tcMar>
            <w:vAlign w:val="center"/>
          </w:tcPr>
          <w:p>
            <w:pPr>
              <w:jc w:val="left"/>
            </w:pPr>
            <w:r>
              <w:rPr>
                <w:b/>
                <w:color w:val="44546A"/>
                <w:sz w:val="19"/>
              </w:rPr>
              <w:t>OEM Licensing</w:t>
            </w:r>
          </w:p>
        </w:tc>
        <w:tc>
          <w:tcPr>
            <w:tcW w:type="dxa" w:w="6520"/>
            <w:shd w:fill="F9FBFE"/>
            <w:tcMar>
              <w:top w:w="120" w:type="dxa"/>
              <w:start w:w="120" w:type="dxa"/>
              <w:bottom w:w="120" w:type="dxa"/>
              <w:end w:w="120" w:type="dxa"/>
            </w:tcMar>
            <w:vAlign w:val="center"/>
          </w:tcPr>
          <w:p>
            <w:pPr>
              <w:jc w:val="left"/>
            </w:pPr>
            <w:r>
              <w:rPr>
                <w:sz w:val="19"/>
              </w:rPr>
              <w:t>Licensing and certification model for European hardware manufacturers and system integrators bundling the operating system on supported devices.</w:t>
            </w:r>
          </w:p>
        </w:tc>
      </w:tr>
      <w:tr>
        <w:tc>
          <w:tcPr>
            <w:tcW w:type="dxa" w:w="2551"/>
            <w:shd w:fill="F9FBFE"/>
            <w:tcMar>
              <w:top w:w="120" w:type="dxa"/>
              <w:start w:w="120" w:type="dxa"/>
              <w:bottom w:w="120" w:type="dxa"/>
              <w:end w:w="120" w:type="dxa"/>
            </w:tcMar>
            <w:vAlign w:val="center"/>
          </w:tcPr>
          <w:p>
            <w:pPr>
              <w:jc w:val="left"/>
            </w:pPr>
            <w:r>
              <w:rPr>
                <w:b/>
                <w:color w:val="44546A"/>
                <w:sz w:val="19"/>
              </w:rPr>
              <w:t>Application distribution revenue</w:t>
            </w:r>
          </w:p>
        </w:tc>
        <w:tc>
          <w:tcPr>
            <w:tcW w:type="dxa" w:w="6520"/>
            <w:shd w:fill="F9FBFE"/>
            <w:tcMar>
              <w:top w:w="120" w:type="dxa"/>
              <w:start w:w="120" w:type="dxa"/>
              <w:bottom w:w="120" w:type="dxa"/>
              <w:end w:w="120" w:type="dxa"/>
            </w:tcMar>
            <w:vAlign w:val="center"/>
          </w:tcPr>
          <w:p>
            <w:pPr>
              <w:jc w:val="left"/>
            </w:pPr>
            <w:r>
              <w:rPr>
                <w:sz w:val="19"/>
              </w:rPr>
              <w:t>Revenue participation for commercial app store sales, premium verification services, or curated distribution channels.</w:t>
            </w:r>
          </w:p>
        </w:tc>
      </w:tr>
      <w:tr>
        <w:tc>
          <w:tcPr>
            <w:tcW w:type="dxa" w:w="2551"/>
            <w:shd w:fill="F9FBFE"/>
            <w:tcMar>
              <w:top w:w="120" w:type="dxa"/>
              <w:start w:w="120" w:type="dxa"/>
              <w:bottom w:w="120" w:type="dxa"/>
              <w:end w:w="120" w:type="dxa"/>
            </w:tcMar>
            <w:vAlign w:val="center"/>
          </w:tcPr>
          <w:p>
            <w:pPr>
              <w:jc w:val="left"/>
            </w:pPr>
            <w:r>
              <w:rPr>
                <w:b/>
                <w:color w:val="44546A"/>
                <w:sz w:val="19"/>
              </w:rPr>
              <w:t>Enterprise services</w:t>
            </w:r>
          </w:p>
        </w:tc>
        <w:tc>
          <w:tcPr>
            <w:tcW w:type="dxa" w:w="6520"/>
            <w:shd w:fill="F9FBFE"/>
            <w:tcMar>
              <w:top w:w="120" w:type="dxa"/>
              <w:start w:w="120" w:type="dxa"/>
              <w:bottom w:w="120" w:type="dxa"/>
              <w:end w:w="120" w:type="dxa"/>
            </w:tcMar>
            <w:vAlign w:val="center"/>
          </w:tcPr>
          <w:p>
            <w:pPr>
              <w:jc w:val="left"/>
            </w:pPr>
            <w:r>
              <w:rPr>
                <w:sz w:val="19"/>
              </w:rPr>
              <w:t>Security guidance, deployment consulting, custom integrations, and contractual support arrangements.</w:t>
            </w:r>
          </w:p>
        </w:tc>
      </w:tr>
    </w:tbl>
    <w:p/>
    <w:p>
      <w:pPr>
        <w:pStyle w:val="Heading2"/>
        <w:spacing w:before="160" w:after="60"/>
      </w:pPr>
      <w:r>
        <w:t>3.1 Regulatory alignment</w:t>
      </w:r>
    </w:p>
    <w:p>
      <w:r>
        <w:t>From a positioning standpoint, the platform should aim to remain compatible with relevant European expectations and legal frameworks. These may include GDPR principles, accessibility requirements, software supply-chain obligations, and future security obligations such as those emerging from the Cyber Resilience Act.</w:t>
      </w:r>
    </w:p>
    <w:p>
      <w:pPr>
        <w:pStyle w:val="Heading1"/>
        <w:spacing w:before="240" w:after="120"/>
      </w:pPr>
      <w:r>
        <w:t>4. System architecture</w:t>
      </w:r>
    </w:p>
    <w:p>
      <w:pPr>
        <w:pStyle w:val="Heading2"/>
        <w:spacing w:before="160" w:after="60"/>
      </w:pPr>
      <w:r>
        <w:t>4.1 Kernel architecture</w:t>
      </w:r>
    </w:p>
    <w:p>
      <w:r>
        <w:t>The kernel is envisioned as a Rust-based core using either a modular monolithic or hybrid approach. The choice is intended to balance performance with maintainability, without prematurely constraining the implementation. The kernel should provide a clean execution base for memory management, scheduling, interrupts, drivers, and future security capabilities.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Implementation language</w:t>
            </w:r>
          </w:p>
        </w:tc>
        <w:tc>
          <w:tcPr>
            <w:tcW w:type="dxa" w:w="6520"/>
            <w:shd w:fill="F9FBFE"/>
            <w:tcMar>
              <w:top w:w="120" w:type="dxa"/>
              <w:start w:w="120" w:type="dxa"/>
              <w:bottom w:w="120" w:type="dxa"/>
              <w:end w:w="120" w:type="dxa"/>
            </w:tcMar>
            <w:vAlign w:val="center"/>
          </w:tcPr>
          <w:p>
            <w:pPr>
              <w:jc w:val="left"/>
            </w:pPr>
            <w:r>
              <w:rPr>
                <w:sz w:val="19"/>
              </w:rPr>
              <w:t>Rust as the primary systems language, with tightly controlled unsafe usage and carefully isolated architecture-specific code.</w:t>
            </w:r>
          </w:p>
        </w:tc>
      </w:tr>
      <w:tr>
        <w:tc>
          <w:tcPr>
            <w:tcW w:type="dxa" w:w="2551"/>
            <w:shd w:fill="F9FBFE"/>
            <w:tcMar>
              <w:top w:w="120" w:type="dxa"/>
              <w:start w:w="120" w:type="dxa"/>
              <w:bottom w:w="120" w:type="dxa"/>
              <w:end w:w="120" w:type="dxa"/>
            </w:tcMar>
            <w:vAlign w:val="center"/>
          </w:tcPr>
          <w:p>
            <w:pPr>
              <w:jc w:val="left"/>
            </w:pPr>
            <w:r>
              <w:rPr>
                <w:b/>
                <w:color w:val="44546A"/>
                <w:sz w:val="19"/>
              </w:rPr>
              <w:t>Execution model</w:t>
            </w:r>
          </w:p>
        </w:tc>
        <w:tc>
          <w:tcPr>
            <w:tcW w:type="dxa" w:w="6520"/>
            <w:shd w:fill="F9FBFE"/>
            <w:tcMar>
              <w:top w:w="120" w:type="dxa"/>
              <w:start w:w="120" w:type="dxa"/>
              <w:bottom w:w="120" w:type="dxa"/>
              <w:end w:w="120" w:type="dxa"/>
            </w:tcMar>
            <w:vAlign w:val="center"/>
          </w:tcPr>
          <w:p>
            <w:pPr>
              <w:jc w:val="left"/>
            </w:pPr>
            <w:r>
              <w:rPr>
                <w:sz w:val="19"/>
              </w:rPr>
              <w:t>Single-kernel core with loadable or modular subsystems where practical, allowing clear extension points without excessive fragmentation.</w:t>
            </w:r>
          </w:p>
        </w:tc>
      </w:tr>
      <w:tr>
        <w:tc>
          <w:tcPr>
            <w:tcW w:type="dxa" w:w="2551"/>
            <w:shd w:fill="F9FBFE"/>
            <w:tcMar>
              <w:top w:w="120" w:type="dxa"/>
              <w:start w:w="120" w:type="dxa"/>
              <w:bottom w:w="120" w:type="dxa"/>
              <w:end w:w="120" w:type="dxa"/>
            </w:tcMar>
            <w:vAlign w:val="center"/>
          </w:tcPr>
          <w:p>
            <w:pPr>
              <w:jc w:val="left"/>
            </w:pPr>
            <w:r>
              <w:rPr>
                <w:b/>
                <w:color w:val="44546A"/>
                <w:sz w:val="19"/>
              </w:rPr>
              <w:t>Scheduling</w:t>
            </w:r>
          </w:p>
        </w:tc>
        <w:tc>
          <w:tcPr>
            <w:tcW w:type="dxa" w:w="6520"/>
            <w:shd w:fill="F9FBFE"/>
            <w:tcMar>
              <w:top w:w="120" w:type="dxa"/>
              <w:start w:w="120" w:type="dxa"/>
              <w:bottom w:w="120" w:type="dxa"/>
              <w:end w:w="120" w:type="dxa"/>
            </w:tcMar>
            <w:vAlign w:val="center"/>
          </w:tcPr>
          <w:p>
            <w:pPr>
              <w:jc w:val="left"/>
            </w:pPr>
            <w:r>
              <w:rPr>
                <w:sz w:val="19"/>
              </w:rPr>
              <w:t>Simple and efficient task scheduling initially, with room for improved fairness, latency management, and affinity tuning later.</w:t>
            </w:r>
          </w:p>
        </w:tc>
      </w:tr>
      <w:tr>
        <w:tc>
          <w:tcPr>
            <w:tcW w:type="dxa" w:w="2551"/>
            <w:shd w:fill="F9FBFE"/>
            <w:tcMar>
              <w:top w:w="120" w:type="dxa"/>
              <w:start w:w="120" w:type="dxa"/>
              <w:bottom w:w="120" w:type="dxa"/>
              <w:end w:w="120" w:type="dxa"/>
            </w:tcMar>
            <w:vAlign w:val="center"/>
          </w:tcPr>
          <w:p>
            <w:pPr>
              <w:jc w:val="left"/>
            </w:pPr>
            <w:r>
              <w:rPr>
                <w:b/>
                <w:color w:val="44546A"/>
                <w:sz w:val="19"/>
              </w:rPr>
              <w:t>Security model</w:t>
            </w:r>
          </w:p>
        </w:tc>
        <w:tc>
          <w:tcPr>
            <w:tcW w:type="dxa" w:w="6520"/>
            <w:shd w:fill="F9FBFE"/>
            <w:tcMar>
              <w:top w:w="120" w:type="dxa"/>
              <w:start w:w="120" w:type="dxa"/>
              <w:bottom w:w="120" w:type="dxa"/>
              <w:end w:w="120" w:type="dxa"/>
            </w:tcMar>
            <w:vAlign w:val="center"/>
          </w:tcPr>
          <w:p>
            <w:pPr>
              <w:jc w:val="left"/>
            </w:pPr>
            <w:r>
              <w:rPr>
                <w:sz w:val="19"/>
              </w:rPr>
              <w:t>Process isolation, capability-oriented access design, and long-term support for stronger sandboxing and integrity controls.</w:t>
            </w:r>
          </w:p>
        </w:tc>
      </w:tr>
      <w:tr>
        <w:tc>
          <w:tcPr>
            <w:tcW w:type="dxa" w:w="2551"/>
            <w:shd w:fill="F9FBFE"/>
            <w:tcMar>
              <w:top w:w="120" w:type="dxa"/>
              <w:start w:w="120" w:type="dxa"/>
              <w:bottom w:w="120" w:type="dxa"/>
              <w:end w:w="120" w:type="dxa"/>
            </w:tcMar>
            <w:vAlign w:val="center"/>
          </w:tcPr>
          <w:p>
            <w:pPr>
              <w:jc w:val="left"/>
            </w:pPr>
            <w:r>
              <w:rPr>
                <w:b/>
                <w:color w:val="44546A"/>
                <w:sz w:val="19"/>
              </w:rPr>
              <w:t>Driver model</w:t>
            </w:r>
          </w:p>
        </w:tc>
        <w:tc>
          <w:tcPr>
            <w:tcW w:type="dxa" w:w="6520"/>
            <w:shd w:fill="F9FBFE"/>
            <w:tcMar>
              <w:top w:w="120" w:type="dxa"/>
              <w:start w:w="120" w:type="dxa"/>
              <w:bottom w:w="120" w:type="dxa"/>
              <w:end w:w="120" w:type="dxa"/>
            </w:tcMar>
            <w:vAlign w:val="center"/>
          </w:tcPr>
          <w:p>
            <w:pPr>
              <w:jc w:val="left"/>
            </w:pPr>
            <w:r>
              <w:rPr>
                <w:sz w:val="19"/>
              </w:rPr>
              <w:t>Trait-driven or interface-driven driver abstractions that allow future devices and categories to be integrated without ad-hoc coupling.</w:t>
            </w:r>
          </w:p>
        </w:tc>
      </w:tr>
      <w:tr>
        <w:tc>
          <w:tcPr>
            <w:tcW w:type="dxa" w:w="2551"/>
            <w:shd w:fill="F9FBFE"/>
            <w:tcMar>
              <w:top w:w="120" w:type="dxa"/>
              <w:start w:w="120" w:type="dxa"/>
              <w:bottom w:w="120" w:type="dxa"/>
              <w:end w:w="120" w:type="dxa"/>
            </w:tcMar>
            <w:vAlign w:val="center"/>
          </w:tcPr>
          <w:p>
            <w:pPr>
              <w:jc w:val="left"/>
            </w:pPr>
            <w:r>
              <w:rPr>
                <w:b/>
                <w:color w:val="44546A"/>
                <w:sz w:val="19"/>
              </w:rPr>
              <w:t>Crash handling</w:t>
            </w:r>
          </w:p>
        </w:tc>
        <w:tc>
          <w:tcPr>
            <w:tcW w:type="dxa" w:w="6520"/>
            <w:shd w:fill="F9FBFE"/>
            <w:tcMar>
              <w:top w:w="120" w:type="dxa"/>
              <w:start w:w="120" w:type="dxa"/>
              <w:bottom w:w="120" w:type="dxa"/>
              <w:end w:w="120" w:type="dxa"/>
            </w:tcMar>
            <w:vAlign w:val="center"/>
          </w:tcPr>
          <w:p>
            <w:pPr>
              <w:jc w:val="left"/>
            </w:pPr>
            <w:r>
              <w:rPr>
                <w:sz w:val="19"/>
              </w:rPr>
              <w:t>Predictable panic and fault handling for early stages, with increasing diagnostic capability as the system matures.</w:t>
            </w:r>
          </w:p>
        </w:tc>
      </w:tr>
    </w:tbl>
    <w:p/>
    <w:p>
      <w:pPr>
        <w:pStyle w:val="Heading2"/>
        <w:spacing w:before="160" w:after="60"/>
      </w:pPr>
      <w:r>
        <w:t>4.2 Hardware support</w:t>
      </w:r>
    </w:p>
    <w:p>
      <w:r>
        <w:t>The initial hardware target is x86_64 desktop and laptop systems. This keeps the first implementation phase focused and aligns with both enthusiast and office deployment scenarios. Support should begin with broadly useful components such as storage, input, display, and networking, while GPU acceleration may follow a staged maturity path.</w:t>
      </w:r>
    </w:p>
    <w:p>
      <w:pPr>
        <w:spacing w:after="60"/>
        <w:ind w:left="283" w:hanging="170"/>
      </w:pPr>
      <w:r>
        <w:rPr>
          <w:b/>
        </w:rPr>
        <w:t xml:space="preserve">• </w:t>
      </w:r>
      <w:r>
        <w:t>Primary platform: x86_64 personal computers.</w:t>
      </w:r>
    </w:p>
    <w:p>
      <w:pPr>
        <w:spacing w:after="60"/>
        <w:ind w:left="283" w:hanging="170"/>
      </w:pPr>
      <w:r>
        <w:rPr>
          <w:b/>
        </w:rPr>
        <w:t xml:space="preserve">• </w:t>
      </w:r>
      <w:r>
        <w:t>GPU roadmap focused on Vulkan-first rendering and long-term AMD, Intel, and NVIDIA support.</w:t>
      </w:r>
    </w:p>
    <w:p>
      <w:pPr>
        <w:spacing w:after="60"/>
        <w:ind w:left="283" w:hanging="170"/>
      </w:pPr>
      <w:r>
        <w:rPr>
          <w:b/>
        </w:rPr>
        <w:t xml:space="preserve">• </w:t>
      </w:r>
      <w:r>
        <w:t>Peripheral categories: USB, HID devices, storage controllers, display outputs, and network interfaces.</w:t>
      </w:r>
    </w:p>
    <w:p>
      <w:pPr>
        <w:spacing w:after="60"/>
        <w:ind w:left="283" w:hanging="170"/>
      </w:pPr>
      <w:r>
        <w:rPr>
          <w:b/>
        </w:rPr>
        <w:t xml:space="preserve">• </w:t>
      </w:r>
      <w:r>
        <w:t>Long-term consideration for power management, suspend behaviour, and future ARM exploration.</w:t>
      </w:r>
    </w:p>
    <w:p>
      <w:pPr>
        <w:pStyle w:val="Heading2"/>
        <w:spacing w:before="160" w:after="60"/>
      </w:pPr>
      <w:r>
        <w:t>4.3 Filesystem architecture</w:t>
      </w:r>
    </w:p>
    <w:p>
      <w:r>
        <w:t>The storage layer should begin with a clear virtual filesystem abstraction so that multiple backend filesystems can be supported over time. Initial simplicity is acceptable, but the architecture should anticipate journaling, metadata efficiency, snapshots, and interoperability.</w:t>
      </w:r>
    </w:p>
    <w:p>
      <w:pPr>
        <w:spacing w:after="60"/>
        <w:ind w:left="283" w:hanging="170"/>
      </w:pPr>
      <w:r>
        <w:rPr>
          <w:b/>
        </w:rPr>
        <w:t xml:space="preserve">• </w:t>
      </w:r>
      <w:r>
        <w:t>Native filesystem concept with journaling as a strategic direction.</w:t>
      </w:r>
    </w:p>
    <w:p>
      <w:pPr>
        <w:spacing w:after="60"/>
        <w:ind w:left="283" w:hanging="170"/>
      </w:pPr>
      <w:r>
        <w:rPr>
          <w:b/>
        </w:rPr>
        <w:t xml:space="preserve">• </w:t>
      </w:r>
      <w:r>
        <w:t>Support for mount management and a VFS-like abstraction from early phases.</w:t>
      </w:r>
    </w:p>
    <w:p>
      <w:pPr>
        <w:spacing w:after="60"/>
        <w:ind w:left="283" w:hanging="170"/>
      </w:pPr>
      <w:r>
        <w:rPr>
          <w:b/>
        </w:rPr>
        <w:t xml:space="preserve">• </w:t>
      </w:r>
      <w:r>
        <w:t>Future interoperability with FAT and NTFS for file exchange and practical desktop use.</w:t>
      </w:r>
    </w:p>
    <w:p>
      <w:pPr>
        <w:spacing w:after="60"/>
        <w:ind w:left="283" w:hanging="170"/>
      </w:pPr>
      <w:r>
        <w:rPr>
          <w:b/>
        </w:rPr>
        <w:t xml:space="preserve">• </w:t>
      </w:r>
      <w:r>
        <w:t>Long-term support for snapshots, recovery tooling, and richer metadata handling.</w:t>
      </w:r>
    </w:p>
    <w:p>
      <w:pPr>
        <w:pStyle w:val="Heading2"/>
        <w:spacing w:before="160" w:after="60"/>
      </w:pPr>
      <w:r>
        <w:t>4.4 Networking architecture</w:t>
      </w:r>
    </w:p>
    <w:p>
      <w:r>
        <w:t>Networking is expected to grow in later implementation phases but should be part of the architecture from the outset. The long-term direction is a Rust-oriented TCP/IP stack with IPv4 first, IPv6 expansion, DNS and DHCP support, TLS capability, and integration points for firewalling and sandbox policy.</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Core protocols</w:t>
            </w:r>
          </w:p>
        </w:tc>
        <w:tc>
          <w:tcPr>
            <w:tcW w:type="dxa" w:w="6520"/>
            <w:shd w:fill="F9FBFE"/>
            <w:tcMar>
              <w:top w:w="120" w:type="dxa"/>
              <w:start w:w="120" w:type="dxa"/>
              <w:bottom w:w="120" w:type="dxa"/>
              <w:end w:w="120" w:type="dxa"/>
            </w:tcMar>
            <w:vAlign w:val="center"/>
          </w:tcPr>
          <w:p>
            <w:pPr>
              <w:jc w:val="left"/>
            </w:pPr>
            <w:r>
              <w:rPr>
                <w:sz w:val="19"/>
              </w:rPr>
              <w:t>TCP/IP foundation with practical desktop networking behaviour and predictable configuration options.</w:t>
            </w:r>
          </w:p>
        </w:tc>
      </w:tr>
      <w:tr>
        <w:tc>
          <w:tcPr>
            <w:tcW w:type="dxa" w:w="2551"/>
            <w:shd w:fill="F9FBFE"/>
            <w:tcMar>
              <w:top w:w="120" w:type="dxa"/>
              <w:start w:w="120" w:type="dxa"/>
              <w:bottom w:w="120" w:type="dxa"/>
              <w:end w:w="120" w:type="dxa"/>
            </w:tcMar>
            <w:vAlign w:val="center"/>
          </w:tcPr>
          <w:p>
            <w:pPr>
              <w:jc w:val="left"/>
            </w:pPr>
            <w:r>
              <w:rPr>
                <w:b/>
                <w:color w:val="44546A"/>
                <w:sz w:val="19"/>
              </w:rPr>
              <w:t>Address support</w:t>
            </w:r>
          </w:p>
        </w:tc>
        <w:tc>
          <w:tcPr>
            <w:tcW w:type="dxa" w:w="6520"/>
            <w:shd w:fill="F9FBFE"/>
            <w:tcMar>
              <w:top w:w="120" w:type="dxa"/>
              <w:start w:w="120" w:type="dxa"/>
              <w:bottom w:w="120" w:type="dxa"/>
              <w:end w:w="120" w:type="dxa"/>
            </w:tcMar>
            <w:vAlign w:val="center"/>
          </w:tcPr>
          <w:p>
            <w:pPr>
              <w:jc w:val="left"/>
            </w:pPr>
            <w:r>
              <w:rPr>
                <w:sz w:val="19"/>
              </w:rPr>
              <w:t>IPv4 from the first substantial implementation stage, with IPv6 support following as maturity allows.</w:t>
            </w:r>
          </w:p>
        </w:tc>
      </w:tr>
      <w:tr>
        <w:tc>
          <w:tcPr>
            <w:tcW w:type="dxa" w:w="2551"/>
            <w:shd w:fill="F9FBFE"/>
            <w:tcMar>
              <w:top w:w="120" w:type="dxa"/>
              <w:start w:w="120" w:type="dxa"/>
              <w:bottom w:w="120" w:type="dxa"/>
              <w:end w:w="120" w:type="dxa"/>
            </w:tcMar>
            <w:vAlign w:val="center"/>
          </w:tcPr>
          <w:p>
            <w:pPr>
              <w:jc w:val="left"/>
            </w:pPr>
            <w:r>
              <w:rPr>
                <w:b/>
                <w:color w:val="44546A"/>
                <w:sz w:val="19"/>
              </w:rPr>
              <w:t>Services</w:t>
            </w:r>
          </w:p>
        </w:tc>
        <w:tc>
          <w:tcPr>
            <w:tcW w:type="dxa" w:w="6520"/>
            <w:shd w:fill="F9FBFE"/>
            <w:tcMar>
              <w:top w:w="120" w:type="dxa"/>
              <w:start w:w="120" w:type="dxa"/>
              <w:bottom w:w="120" w:type="dxa"/>
              <w:end w:w="120" w:type="dxa"/>
            </w:tcMar>
            <w:vAlign w:val="center"/>
          </w:tcPr>
          <w:p>
            <w:pPr>
              <w:jc w:val="left"/>
            </w:pPr>
            <w:r>
              <w:rPr>
                <w:sz w:val="19"/>
              </w:rPr>
              <w:t>DNS, DHCP, and a sockets model suitable for both system components and applications.</w:t>
            </w:r>
          </w:p>
        </w:tc>
      </w:tr>
      <w:tr>
        <w:tc>
          <w:tcPr>
            <w:tcW w:type="dxa" w:w="2551"/>
            <w:shd w:fill="F9FBFE"/>
            <w:tcMar>
              <w:top w:w="120" w:type="dxa"/>
              <w:start w:w="120" w:type="dxa"/>
              <w:bottom w:w="120" w:type="dxa"/>
              <w:end w:w="120" w:type="dxa"/>
            </w:tcMar>
            <w:vAlign w:val="center"/>
          </w:tcPr>
          <w:p>
            <w:pPr>
              <w:jc w:val="left"/>
            </w:pPr>
            <w:r>
              <w:rPr>
                <w:b/>
                <w:color w:val="44546A"/>
                <w:sz w:val="19"/>
              </w:rPr>
              <w:t>Security hooks</w:t>
            </w:r>
          </w:p>
        </w:tc>
        <w:tc>
          <w:tcPr>
            <w:tcW w:type="dxa" w:w="6520"/>
            <w:shd w:fill="F9FBFE"/>
            <w:tcMar>
              <w:top w:w="120" w:type="dxa"/>
              <w:start w:w="120" w:type="dxa"/>
              <w:bottom w:w="120" w:type="dxa"/>
              <w:end w:w="120" w:type="dxa"/>
            </w:tcMar>
            <w:vAlign w:val="center"/>
          </w:tcPr>
          <w:p>
            <w:pPr>
              <w:jc w:val="left"/>
            </w:pPr>
            <w:r>
              <w:rPr>
                <w:sz w:val="19"/>
              </w:rPr>
              <w:t>Firewall controls, application network permissions, and future policy integration.</w:t>
            </w:r>
          </w:p>
        </w:tc>
      </w:tr>
      <w:tr>
        <w:tc>
          <w:tcPr>
            <w:tcW w:type="dxa" w:w="2551"/>
            <w:shd w:fill="F9FBFE"/>
            <w:tcMar>
              <w:top w:w="120" w:type="dxa"/>
              <w:start w:w="120" w:type="dxa"/>
              <w:bottom w:w="120" w:type="dxa"/>
              <w:end w:w="120" w:type="dxa"/>
            </w:tcMar>
            <w:vAlign w:val="center"/>
          </w:tcPr>
          <w:p>
            <w:pPr>
              <w:jc w:val="left"/>
            </w:pPr>
            <w:r>
              <w:rPr>
                <w:b/>
                <w:color w:val="44546A"/>
                <w:sz w:val="19"/>
              </w:rPr>
              <w:t>Future capabilities</w:t>
            </w:r>
          </w:p>
        </w:tc>
        <w:tc>
          <w:tcPr>
            <w:tcW w:type="dxa" w:w="6520"/>
            <w:shd w:fill="F9FBFE"/>
            <w:tcMar>
              <w:top w:w="120" w:type="dxa"/>
              <w:start w:w="120" w:type="dxa"/>
              <w:bottom w:w="120" w:type="dxa"/>
              <w:end w:w="120" w:type="dxa"/>
            </w:tcMar>
            <w:vAlign w:val="center"/>
          </w:tcPr>
          <w:p>
            <w:pPr>
              <w:jc w:val="left"/>
            </w:pPr>
            <w:r>
              <w:rPr>
                <w:sz w:val="19"/>
              </w:rPr>
              <w:t>VPN support, certificate management, and enterprise-managed networking profiles.</w:t>
            </w:r>
          </w:p>
        </w:tc>
      </w:tr>
    </w:tbl>
    <w:p/>
    <w:p>
      <w:pPr>
        <w:pStyle w:val="Heading1"/>
        <w:spacing w:before="240" w:after="120"/>
      </w:pPr>
      <w:r>
        <w:t>5. Desktop environment</w:t>
      </w:r>
    </w:p>
    <w:p>
      <w:pPr>
        <w:pStyle w:val="Heading2"/>
        <w:spacing w:before="160" w:after="60"/>
      </w:pPr>
      <w:r>
        <w:t>5.1 Design language</w:t>
      </w:r>
    </w:p>
    <w:p>
      <w:r>
        <w:t>The visual design should follow a restrained, professional European style: clean geometry, moderate contrast, strong typography, and practical emphasis over visual excess. The desktop should feel modern, calm, and familiar rather than experimental for its own sake.</w:t>
      </w:r>
    </w:p>
    <w:p>
      <w:pPr>
        <w:spacing w:after="60"/>
        <w:ind w:left="283" w:hanging="170"/>
      </w:pPr>
      <w:r>
        <w:rPr>
          <w:b/>
        </w:rPr>
        <w:t xml:space="preserve">• </w:t>
      </w:r>
      <w:r>
        <w:t>European minimalist aesthetic with careful spacing and restrained accent usage.</w:t>
      </w:r>
    </w:p>
    <w:p>
      <w:pPr>
        <w:spacing w:after="60"/>
        <w:ind w:left="283" w:hanging="170"/>
      </w:pPr>
      <w:r>
        <w:rPr>
          <w:b/>
        </w:rPr>
        <w:t xml:space="preserve">• </w:t>
      </w:r>
      <w:r>
        <w:t>Accessibility-first approach, including clear contrast, scalable text, and keyboard-friendly navigation.</w:t>
      </w:r>
    </w:p>
    <w:p>
      <w:pPr>
        <w:spacing w:after="60"/>
        <w:ind w:left="283" w:hanging="170"/>
      </w:pPr>
      <w:r>
        <w:rPr>
          <w:b/>
        </w:rPr>
        <w:t xml:space="preserve">• </w:t>
      </w:r>
      <w:r>
        <w:t>Visual identity placeholders for palette, typography, iconography, and logo treatments.</w:t>
      </w:r>
    </w:p>
    <w:p>
      <w:pPr>
        <w:spacing w:after="60"/>
        <w:ind w:left="283" w:hanging="170"/>
      </w:pPr>
      <w:r>
        <w:rPr>
          <w:b/>
        </w:rPr>
        <w:t xml:space="preserve">• </w:t>
      </w:r>
      <w:r>
        <w:t>A coherent system of panels, windows, controls, and notification surfaces.</w:t>
      </w:r>
    </w:p>
    <w:p>
      <w:pPr>
        <w:pStyle w:val="Heading2"/>
        <w:spacing w:before="160" w:after="60"/>
      </w:pPr>
      <w:r>
        <w:t>5.2 Window manager</w:t>
      </w:r>
    </w:p>
    <w:p>
      <w:r>
        <w:t>The desktop stack should rely on a compositor and window-management model capable of smooth interaction, low-latency input, and a stable rendering path. A software-rendered prototype may be acceptable in early phases, but the architecture should remain ready for Vulkan-based acceleration.</w:t>
      </w:r>
    </w:p>
    <w:p>
      <w:pPr>
        <w:pStyle w:val="Heading2"/>
        <w:spacing w:before="160" w:after="60"/>
      </w:pPr>
      <w:r>
        <w:t>5.3 Core applications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File Manager</w:t>
            </w:r>
          </w:p>
        </w:tc>
        <w:tc>
          <w:tcPr>
            <w:tcW w:type="dxa" w:w="6520"/>
            <w:shd w:fill="F9FBFE"/>
            <w:tcMar>
              <w:top w:w="120" w:type="dxa"/>
              <w:start w:w="120" w:type="dxa"/>
              <w:bottom w:w="120" w:type="dxa"/>
              <w:end w:w="120" w:type="dxa"/>
            </w:tcMar>
            <w:vAlign w:val="center"/>
          </w:tcPr>
          <w:p>
            <w:pPr>
              <w:jc w:val="left"/>
            </w:pPr>
            <w:r>
              <w:rPr>
                <w:sz w:val="19"/>
              </w:rPr>
              <w:t>Core navigation and file operations with a simple and trustworthy interaction model.</w:t>
            </w:r>
          </w:p>
        </w:tc>
      </w:tr>
      <w:tr>
        <w:tc>
          <w:tcPr>
            <w:tcW w:type="dxa" w:w="2551"/>
            <w:shd w:fill="F9FBFE"/>
            <w:tcMar>
              <w:top w:w="120" w:type="dxa"/>
              <w:start w:w="120" w:type="dxa"/>
              <w:bottom w:w="120" w:type="dxa"/>
              <w:end w:w="120" w:type="dxa"/>
            </w:tcMar>
            <w:vAlign w:val="center"/>
          </w:tcPr>
          <w:p>
            <w:pPr>
              <w:jc w:val="left"/>
            </w:pPr>
            <w:r>
              <w:rPr>
                <w:b/>
                <w:color w:val="44546A"/>
                <w:sz w:val="19"/>
              </w:rPr>
              <w:t>Settings</w:t>
            </w:r>
          </w:p>
        </w:tc>
        <w:tc>
          <w:tcPr>
            <w:tcW w:type="dxa" w:w="6520"/>
            <w:shd w:fill="F9FBFE"/>
            <w:tcMar>
              <w:top w:w="120" w:type="dxa"/>
              <w:start w:w="120" w:type="dxa"/>
              <w:bottom w:w="120" w:type="dxa"/>
              <w:end w:w="120" w:type="dxa"/>
            </w:tcMar>
            <w:vAlign w:val="center"/>
          </w:tcPr>
          <w:p>
            <w:pPr>
              <w:jc w:val="left"/>
            </w:pPr>
            <w:r>
              <w:rPr>
                <w:sz w:val="19"/>
              </w:rPr>
              <w:t>Central location for system configuration, permissions, display options, networking, and updates.</w:t>
            </w:r>
          </w:p>
        </w:tc>
      </w:tr>
      <w:tr>
        <w:tc>
          <w:tcPr>
            <w:tcW w:type="dxa" w:w="2551"/>
            <w:shd w:fill="F9FBFE"/>
            <w:tcMar>
              <w:top w:w="120" w:type="dxa"/>
              <w:start w:w="120" w:type="dxa"/>
              <w:bottom w:w="120" w:type="dxa"/>
              <w:end w:w="120" w:type="dxa"/>
            </w:tcMar>
            <w:vAlign w:val="center"/>
          </w:tcPr>
          <w:p>
            <w:pPr>
              <w:jc w:val="left"/>
            </w:pPr>
            <w:r>
              <w:rPr>
                <w:b/>
                <w:color w:val="44546A"/>
                <w:sz w:val="19"/>
              </w:rPr>
              <w:t>Terminal</w:t>
            </w:r>
          </w:p>
        </w:tc>
        <w:tc>
          <w:tcPr>
            <w:tcW w:type="dxa" w:w="6520"/>
            <w:shd w:fill="F9FBFE"/>
            <w:tcMar>
              <w:top w:w="120" w:type="dxa"/>
              <w:start w:w="120" w:type="dxa"/>
              <w:bottom w:w="120" w:type="dxa"/>
              <w:end w:w="120" w:type="dxa"/>
            </w:tcMar>
            <w:vAlign w:val="center"/>
          </w:tcPr>
          <w:p>
            <w:pPr>
              <w:jc w:val="left"/>
            </w:pPr>
            <w:r>
              <w:rPr>
                <w:sz w:val="19"/>
              </w:rPr>
              <w:t>Command-line access for administration, development, and recovery use cases.</w:t>
            </w:r>
          </w:p>
        </w:tc>
      </w:tr>
      <w:tr>
        <w:tc>
          <w:tcPr>
            <w:tcW w:type="dxa" w:w="2551"/>
            <w:shd w:fill="F9FBFE"/>
            <w:tcMar>
              <w:top w:w="120" w:type="dxa"/>
              <w:start w:w="120" w:type="dxa"/>
              <w:bottom w:w="120" w:type="dxa"/>
              <w:end w:w="120" w:type="dxa"/>
            </w:tcMar>
            <w:vAlign w:val="center"/>
          </w:tcPr>
          <w:p>
            <w:pPr>
              <w:jc w:val="left"/>
            </w:pPr>
            <w:r>
              <w:rPr>
                <w:b/>
                <w:color w:val="44546A"/>
                <w:sz w:val="19"/>
              </w:rPr>
              <w:t>Text Editor</w:t>
            </w:r>
          </w:p>
        </w:tc>
        <w:tc>
          <w:tcPr>
            <w:tcW w:type="dxa" w:w="6520"/>
            <w:shd w:fill="F9FBFE"/>
            <w:tcMar>
              <w:top w:w="120" w:type="dxa"/>
              <w:start w:w="120" w:type="dxa"/>
              <w:bottom w:w="120" w:type="dxa"/>
              <w:end w:w="120" w:type="dxa"/>
            </w:tcMar>
            <w:vAlign w:val="center"/>
          </w:tcPr>
          <w:p>
            <w:pPr>
              <w:jc w:val="left"/>
            </w:pPr>
            <w:r>
              <w:rPr>
                <w:sz w:val="19"/>
              </w:rPr>
              <w:t>A lightweight default editor for notes, plain text, and configuration files.</w:t>
            </w:r>
          </w:p>
        </w:tc>
      </w:tr>
      <w:tr>
        <w:tc>
          <w:tcPr>
            <w:tcW w:type="dxa" w:w="2551"/>
            <w:shd w:fill="F9FBFE"/>
            <w:tcMar>
              <w:top w:w="120" w:type="dxa"/>
              <w:start w:w="120" w:type="dxa"/>
              <w:bottom w:w="120" w:type="dxa"/>
              <w:end w:w="120" w:type="dxa"/>
            </w:tcMar>
            <w:vAlign w:val="center"/>
          </w:tcPr>
          <w:p>
            <w:pPr>
              <w:jc w:val="left"/>
            </w:pPr>
            <w:r>
              <w:rPr>
                <w:b/>
                <w:color w:val="44546A"/>
                <w:sz w:val="19"/>
              </w:rPr>
              <w:t>Software Center</w:t>
            </w:r>
          </w:p>
        </w:tc>
        <w:tc>
          <w:tcPr>
            <w:tcW w:type="dxa" w:w="6520"/>
            <w:shd w:fill="F9FBFE"/>
            <w:tcMar>
              <w:top w:w="120" w:type="dxa"/>
              <w:start w:w="120" w:type="dxa"/>
              <w:bottom w:w="120" w:type="dxa"/>
              <w:end w:w="120" w:type="dxa"/>
            </w:tcMar>
            <w:vAlign w:val="center"/>
          </w:tcPr>
          <w:p>
            <w:pPr>
              <w:jc w:val="left"/>
            </w:pPr>
            <w:r>
              <w:rPr>
                <w:sz w:val="19"/>
              </w:rPr>
              <w:t>Application discovery, installation, update, and verification workflow.</w:t>
            </w:r>
          </w:p>
        </w:tc>
      </w:tr>
      <w:tr>
        <w:tc>
          <w:tcPr>
            <w:tcW w:type="dxa" w:w="2551"/>
            <w:shd w:fill="F9FBFE"/>
            <w:tcMar>
              <w:top w:w="120" w:type="dxa"/>
              <w:start w:w="120" w:type="dxa"/>
              <w:bottom w:w="120" w:type="dxa"/>
              <w:end w:w="120" w:type="dxa"/>
            </w:tcMar>
            <w:vAlign w:val="center"/>
          </w:tcPr>
          <w:p>
            <w:pPr>
              <w:jc w:val="left"/>
            </w:pPr>
            <w:r>
              <w:rPr>
                <w:b/>
                <w:color w:val="44546A"/>
                <w:sz w:val="19"/>
              </w:rPr>
              <w:t>Task Manager</w:t>
            </w:r>
          </w:p>
        </w:tc>
        <w:tc>
          <w:tcPr>
            <w:tcW w:type="dxa" w:w="6520"/>
            <w:shd w:fill="F9FBFE"/>
            <w:tcMar>
              <w:top w:w="120" w:type="dxa"/>
              <w:start w:w="120" w:type="dxa"/>
              <w:bottom w:w="120" w:type="dxa"/>
              <w:end w:w="120" w:type="dxa"/>
            </w:tcMar>
            <w:vAlign w:val="center"/>
          </w:tcPr>
          <w:p>
            <w:pPr>
              <w:jc w:val="left"/>
            </w:pPr>
            <w:r>
              <w:rPr>
                <w:sz w:val="19"/>
              </w:rPr>
              <w:t>Inspection of processes, performance, memory use, and system activity.</w:t>
            </w:r>
          </w:p>
        </w:tc>
      </w:tr>
      <w:tr>
        <w:tc>
          <w:tcPr>
            <w:tcW w:type="dxa" w:w="2551"/>
            <w:shd w:fill="F9FBFE"/>
            <w:tcMar>
              <w:top w:w="120" w:type="dxa"/>
              <w:start w:w="120" w:type="dxa"/>
              <w:bottom w:w="120" w:type="dxa"/>
              <w:end w:w="120" w:type="dxa"/>
            </w:tcMar>
            <w:vAlign w:val="center"/>
          </w:tcPr>
          <w:p>
            <w:pPr>
              <w:jc w:val="left"/>
            </w:pPr>
            <w:r>
              <w:rPr>
                <w:b/>
                <w:color w:val="44546A"/>
                <w:sz w:val="19"/>
              </w:rPr>
              <w:t>Update Manager</w:t>
            </w:r>
          </w:p>
        </w:tc>
        <w:tc>
          <w:tcPr>
            <w:tcW w:type="dxa" w:w="6520"/>
            <w:shd w:fill="F9FBFE"/>
            <w:tcMar>
              <w:top w:w="120" w:type="dxa"/>
              <w:start w:w="120" w:type="dxa"/>
              <w:bottom w:w="120" w:type="dxa"/>
              <w:end w:w="120" w:type="dxa"/>
            </w:tcMar>
            <w:vAlign w:val="center"/>
          </w:tcPr>
          <w:p>
            <w:pPr>
              <w:jc w:val="left"/>
            </w:pPr>
            <w:r>
              <w:rPr>
                <w:sz w:val="19"/>
              </w:rPr>
              <w:t>Clear operating system and package update workflow with visible status and minimal confusion.</w:t>
            </w:r>
          </w:p>
        </w:tc>
      </w:tr>
    </w:tbl>
    <w:p/>
    <w:p>
      <w:pPr>
        <w:pStyle w:val="Heading1"/>
        <w:spacing w:before="240" w:after="120"/>
      </w:pPr>
      <w:r>
        <w:t>6. App framework</w:t>
      </w:r>
    </w:p>
    <w:p>
      <w:r>
        <w:t>A native application framework is essential if the operating system is to become a serious long-term platform. The preferred direction is a Rust-first SDK with room for C and C++ interoperability, stable APIs, and strong security boundaries.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Developer SDK</w:t>
            </w:r>
          </w:p>
        </w:tc>
        <w:tc>
          <w:tcPr>
            <w:tcW w:type="dxa" w:w="6520"/>
            <w:shd w:fill="F9FBFE"/>
            <w:tcMar>
              <w:top w:w="120" w:type="dxa"/>
              <w:start w:w="120" w:type="dxa"/>
              <w:bottom w:w="120" w:type="dxa"/>
              <w:end w:w="120" w:type="dxa"/>
            </w:tcMar>
            <w:vAlign w:val="center"/>
          </w:tcPr>
          <w:p>
            <w:pPr>
              <w:jc w:val="left"/>
            </w:pPr>
            <w:r>
              <w:rPr>
                <w:sz w:val="19"/>
              </w:rPr>
              <w:t>Provide windows, events, input, graphics, file I/O, and networking interfaces through a documented and versioned Rust-first API.</w:t>
            </w:r>
          </w:p>
        </w:tc>
      </w:tr>
      <w:tr>
        <w:tc>
          <w:tcPr>
            <w:tcW w:type="dxa" w:w="2551"/>
            <w:shd w:fill="F9FBFE"/>
            <w:tcMar>
              <w:top w:w="120" w:type="dxa"/>
              <w:start w:w="120" w:type="dxa"/>
              <w:bottom w:w="120" w:type="dxa"/>
              <w:end w:w="120" w:type="dxa"/>
            </w:tcMar>
            <w:vAlign w:val="center"/>
          </w:tcPr>
          <w:p>
            <w:pPr>
              <w:jc w:val="left"/>
            </w:pPr>
            <w:r>
              <w:rPr>
                <w:b/>
                <w:color w:val="44546A"/>
                <w:sz w:val="19"/>
              </w:rPr>
              <w:t>Language interoperability</w:t>
            </w:r>
          </w:p>
        </w:tc>
        <w:tc>
          <w:tcPr>
            <w:tcW w:type="dxa" w:w="6520"/>
            <w:shd w:fill="F9FBFE"/>
            <w:tcMar>
              <w:top w:w="120" w:type="dxa"/>
              <w:start w:w="120" w:type="dxa"/>
              <w:bottom w:w="120" w:type="dxa"/>
              <w:end w:w="120" w:type="dxa"/>
            </w:tcMar>
            <w:vAlign w:val="center"/>
          </w:tcPr>
          <w:p>
            <w:pPr>
              <w:jc w:val="left"/>
            </w:pPr>
            <w:r>
              <w:rPr>
                <w:sz w:val="19"/>
              </w:rPr>
              <w:t>Enable C and C++ bindings where beneficial so that the platform is not artificially limited to one language ecosystem.</w:t>
            </w:r>
          </w:p>
        </w:tc>
      </w:tr>
      <w:tr>
        <w:tc>
          <w:tcPr>
            <w:tcW w:type="dxa" w:w="2551"/>
            <w:shd w:fill="F9FBFE"/>
            <w:tcMar>
              <w:top w:w="120" w:type="dxa"/>
              <w:start w:w="120" w:type="dxa"/>
              <w:bottom w:w="120" w:type="dxa"/>
              <w:end w:w="120" w:type="dxa"/>
            </w:tcMar>
            <w:vAlign w:val="center"/>
          </w:tcPr>
          <w:p>
            <w:pPr>
              <w:jc w:val="left"/>
            </w:pPr>
            <w:r>
              <w:rPr>
                <w:b/>
                <w:color w:val="44546A"/>
                <w:sz w:val="19"/>
              </w:rPr>
              <w:t>Packaging</w:t>
            </w:r>
          </w:p>
        </w:tc>
        <w:tc>
          <w:tcPr>
            <w:tcW w:type="dxa" w:w="6520"/>
            <w:shd w:fill="F9FBFE"/>
            <w:tcMar>
              <w:top w:w="120" w:type="dxa"/>
              <w:start w:w="120" w:type="dxa"/>
              <w:bottom w:w="120" w:type="dxa"/>
              <w:end w:w="120" w:type="dxa"/>
            </w:tcMar>
            <w:vAlign w:val="center"/>
          </w:tcPr>
          <w:p>
            <w:pPr>
              <w:jc w:val="left"/>
            </w:pPr>
            <w:r>
              <w:rPr>
                <w:sz w:val="19"/>
              </w:rPr>
              <w:t>Use a structured package format with dependency handling, metadata, signature options, and sandbox integration.</w:t>
            </w:r>
          </w:p>
        </w:tc>
      </w:tr>
      <w:tr>
        <w:tc>
          <w:tcPr>
            <w:tcW w:type="dxa" w:w="2551"/>
            <w:shd w:fill="F9FBFE"/>
            <w:tcMar>
              <w:top w:w="120" w:type="dxa"/>
              <w:start w:w="120" w:type="dxa"/>
              <w:bottom w:w="120" w:type="dxa"/>
              <w:end w:w="120" w:type="dxa"/>
            </w:tcMar>
            <w:vAlign w:val="center"/>
          </w:tcPr>
          <w:p>
            <w:pPr>
              <w:jc w:val="left"/>
            </w:pPr>
            <w:r>
              <w:rPr>
                <w:b/>
                <w:color w:val="44546A"/>
                <w:sz w:val="19"/>
              </w:rPr>
              <w:t>Distribution</w:t>
            </w:r>
          </w:p>
        </w:tc>
        <w:tc>
          <w:tcPr>
            <w:tcW w:type="dxa" w:w="6520"/>
            <w:shd w:fill="F9FBFE"/>
            <w:tcMar>
              <w:top w:w="120" w:type="dxa"/>
              <w:start w:w="120" w:type="dxa"/>
              <w:bottom w:w="120" w:type="dxa"/>
              <w:end w:w="120" w:type="dxa"/>
            </w:tcMar>
            <w:vAlign w:val="center"/>
          </w:tcPr>
          <w:p>
            <w:pPr>
              <w:jc w:val="left"/>
            </w:pPr>
            <w:r>
              <w:rPr>
                <w:sz w:val="19"/>
              </w:rPr>
              <w:t>Support both an official application store and independent distribution, with optional verification rather than blanket restriction.</w:t>
            </w:r>
          </w:p>
        </w:tc>
      </w:tr>
      <w:tr>
        <w:tc>
          <w:tcPr>
            <w:tcW w:type="dxa" w:w="2551"/>
            <w:shd w:fill="F9FBFE"/>
            <w:tcMar>
              <w:top w:w="120" w:type="dxa"/>
              <w:start w:w="120" w:type="dxa"/>
              <w:bottom w:w="120" w:type="dxa"/>
              <w:end w:w="120" w:type="dxa"/>
            </w:tcMar>
            <w:vAlign w:val="center"/>
          </w:tcPr>
          <w:p>
            <w:pPr>
              <w:jc w:val="left"/>
            </w:pPr>
            <w:r>
              <w:rPr>
                <w:b/>
                <w:color w:val="44546A"/>
                <w:sz w:val="19"/>
              </w:rPr>
              <w:t>Security</w:t>
            </w:r>
          </w:p>
        </w:tc>
        <w:tc>
          <w:tcPr>
            <w:tcW w:type="dxa" w:w="6520"/>
            <w:shd w:fill="F9FBFE"/>
            <w:tcMar>
              <w:top w:w="120" w:type="dxa"/>
              <w:start w:w="120" w:type="dxa"/>
              <w:bottom w:w="120" w:type="dxa"/>
              <w:end w:w="120" w:type="dxa"/>
            </w:tcMar>
            <w:vAlign w:val="center"/>
          </w:tcPr>
          <w:p>
            <w:pPr>
              <w:jc w:val="left"/>
            </w:pPr>
            <w:r>
              <w:rPr>
                <w:sz w:val="19"/>
              </w:rPr>
              <w:t>Applications should operate within a permission and sandbox framework designed for practical safety rather than user hostility.</w:t>
            </w:r>
          </w:p>
        </w:tc>
      </w:tr>
    </w:tbl>
    <w:p/>
    <w:p>
      <w:pPr>
        <w:pStyle w:val="Heading1"/>
        <w:spacing w:before="240" w:after="120"/>
      </w:pPr>
      <w:r>
        <w:t>7. Gaming support</w:t>
      </w:r>
    </w:p>
    <w:p>
      <w:r>
        <w:t>Gaming is positioned as a strategic differentiator rather than a secondary feature. The platform should therefore be designed to support low overhead, responsive input, modern graphics APIs, and future compatibility research for Windows-targeted titles.</w:t>
      </w:r>
    </w:p>
    <w:p>
      <w:pPr>
        <w:spacing w:after="60"/>
        <w:ind w:left="283" w:hanging="170"/>
      </w:pPr>
      <w:r>
        <w:rPr>
          <w:b/>
        </w:rPr>
        <w:t xml:space="preserve">• </w:t>
      </w:r>
      <w:r>
        <w:t>Vulkan-first graphics strategy for native rendering and modern game support.</w:t>
      </w:r>
    </w:p>
    <w:p>
      <w:pPr>
        <w:spacing w:after="60"/>
        <w:ind w:left="283" w:hanging="170"/>
      </w:pPr>
      <w:r>
        <w:rPr>
          <w:b/>
        </w:rPr>
        <w:t xml:space="preserve">• </w:t>
      </w:r>
      <w:r>
        <w:t>Low-overhead system design and scheduler behaviour suitable for gaming workloads.</w:t>
      </w:r>
    </w:p>
    <w:p>
      <w:pPr>
        <w:spacing w:after="60"/>
        <w:ind w:left="283" w:hanging="170"/>
      </w:pPr>
      <w:r>
        <w:rPr>
          <w:b/>
        </w:rPr>
        <w:t xml:space="preserve">• </w:t>
      </w:r>
      <w:r>
        <w:t>Future exploration of DirectX-to-Vulkan translation approaches and compatibility middleware.</w:t>
      </w:r>
    </w:p>
    <w:p>
      <w:pPr>
        <w:spacing w:after="60"/>
        <w:ind w:left="283" w:hanging="170"/>
      </w:pPr>
      <w:r>
        <w:rPr>
          <w:b/>
        </w:rPr>
        <w:t xml:space="preserve">• </w:t>
      </w:r>
      <w:r>
        <w:t>A dedicated Game Mode concept for prioritising foreground performance and suppressing non-essential background activity.</w:t>
      </w:r>
    </w:p>
    <w:p>
      <w:pPr>
        <w:spacing w:after="60"/>
        <w:ind w:left="283" w:hanging="170"/>
      </w:pPr>
      <w:r>
        <w:rPr>
          <w:b/>
        </w:rPr>
        <w:t xml:space="preserve">• </w:t>
      </w:r>
      <w:r>
        <w:t>Long-term investigation into anti-cheat compatibility and driver expectations where lawful and technically viable.</w:t>
      </w:r>
    </w:p>
    <w:p>
      <w:pPr>
        <w:pStyle w:val="Heading1"/>
        <w:spacing w:before="240" w:after="120"/>
      </w:pPr>
      <w:r>
        <w:t>8. Security and privacy</w:t>
      </w:r>
    </w:p>
    <w:p>
      <w:pPr>
        <w:pStyle w:val="Heading2"/>
        <w:spacing w:before="160" w:after="60"/>
      </w:pPr>
      <w:r>
        <w:t>8.1 Privacy posture</w:t>
      </w:r>
    </w:p>
    <w:p>
      <w:r>
        <w:t>Privacy should be a product principle, not an afterthought. The default position is zero forced telemetry, transparent data handling, and user-visible controls where any diagnostic or optional sharing exists.</w:t>
      </w:r>
    </w:p>
    <w:p>
      <w:pPr>
        <w:pStyle w:val="Heading2"/>
        <w:spacing w:before="160" w:after="60"/>
      </w:pPr>
      <w:r>
        <w:t>8.2 Security posture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Memory safety</w:t>
            </w:r>
          </w:p>
        </w:tc>
        <w:tc>
          <w:tcPr>
            <w:tcW w:type="dxa" w:w="6520"/>
            <w:shd w:fill="F9FBFE"/>
            <w:tcMar>
              <w:top w:w="120" w:type="dxa"/>
              <w:start w:w="120" w:type="dxa"/>
              <w:bottom w:w="120" w:type="dxa"/>
              <w:end w:w="120" w:type="dxa"/>
            </w:tcMar>
            <w:vAlign w:val="center"/>
          </w:tcPr>
          <w:p>
            <w:pPr>
              <w:jc w:val="left"/>
            </w:pPr>
            <w:r>
              <w:rPr>
                <w:sz w:val="19"/>
              </w:rPr>
              <w:t>Use Rust to reduce classes of memory corruption and unsafe behaviour in core components where practical.</w:t>
            </w:r>
          </w:p>
        </w:tc>
      </w:tr>
      <w:tr>
        <w:tc>
          <w:tcPr>
            <w:tcW w:type="dxa" w:w="2551"/>
            <w:shd w:fill="F9FBFE"/>
            <w:tcMar>
              <w:top w:w="120" w:type="dxa"/>
              <w:start w:w="120" w:type="dxa"/>
              <w:bottom w:w="120" w:type="dxa"/>
              <w:end w:w="120" w:type="dxa"/>
            </w:tcMar>
            <w:vAlign w:val="center"/>
          </w:tcPr>
          <w:p>
            <w:pPr>
              <w:jc w:val="left"/>
            </w:pPr>
            <w:r>
              <w:rPr>
                <w:b/>
                <w:color w:val="44546A"/>
                <w:sz w:val="19"/>
              </w:rPr>
              <w:t>Isolation</w:t>
            </w:r>
          </w:p>
        </w:tc>
        <w:tc>
          <w:tcPr>
            <w:tcW w:type="dxa" w:w="6520"/>
            <w:shd w:fill="F9FBFE"/>
            <w:tcMar>
              <w:top w:w="120" w:type="dxa"/>
              <w:start w:w="120" w:type="dxa"/>
              <w:bottom w:w="120" w:type="dxa"/>
              <w:end w:w="120" w:type="dxa"/>
            </w:tcMar>
            <w:vAlign w:val="center"/>
          </w:tcPr>
          <w:p>
            <w:pPr>
              <w:jc w:val="left"/>
            </w:pPr>
            <w:r>
              <w:rPr>
                <w:sz w:val="19"/>
              </w:rPr>
              <w:t>Maintain user and kernel separation, process boundaries, and future sandboxing support.</w:t>
            </w:r>
          </w:p>
        </w:tc>
      </w:tr>
      <w:tr>
        <w:tc>
          <w:tcPr>
            <w:tcW w:type="dxa" w:w="2551"/>
            <w:shd w:fill="F9FBFE"/>
            <w:tcMar>
              <w:top w:w="120" w:type="dxa"/>
              <w:start w:w="120" w:type="dxa"/>
              <w:bottom w:w="120" w:type="dxa"/>
              <w:end w:w="120" w:type="dxa"/>
            </w:tcMar>
            <w:vAlign w:val="center"/>
          </w:tcPr>
          <w:p>
            <w:pPr>
              <w:jc w:val="left"/>
            </w:pPr>
            <w:r>
              <w:rPr>
                <w:b/>
                <w:color w:val="44546A"/>
                <w:sz w:val="19"/>
              </w:rPr>
              <w:t>Permissions</w:t>
            </w:r>
          </w:p>
        </w:tc>
        <w:tc>
          <w:tcPr>
            <w:tcW w:type="dxa" w:w="6520"/>
            <w:shd w:fill="F9FBFE"/>
            <w:tcMar>
              <w:top w:w="120" w:type="dxa"/>
              <w:start w:w="120" w:type="dxa"/>
              <w:bottom w:w="120" w:type="dxa"/>
              <w:end w:w="120" w:type="dxa"/>
            </w:tcMar>
            <w:vAlign w:val="center"/>
          </w:tcPr>
          <w:p>
            <w:pPr>
              <w:jc w:val="left"/>
            </w:pPr>
            <w:r>
              <w:rPr>
                <w:sz w:val="19"/>
              </w:rPr>
              <w:t>Adopt a clear permissions model for sensitive resources such as camera, microphone, files, devices, and network access.</w:t>
            </w:r>
          </w:p>
        </w:tc>
      </w:tr>
      <w:tr>
        <w:tc>
          <w:tcPr>
            <w:tcW w:type="dxa" w:w="2551"/>
            <w:shd w:fill="F9FBFE"/>
            <w:tcMar>
              <w:top w:w="120" w:type="dxa"/>
              <w:start w:w="120" w:type="dxa"/>
              <w:bottom w:w="120" w:type="dxa"/>
              <w:end w:w="120" w:type="dxa"/>
            </w:tcMar>
            <w:vAlign w:val="center"/>
          </w:tcPr>
          <w:p>
            <w:pPr>
              <w:jc w:val="left"/>
            </w:pPr>
            <w:r>
              <w:rPr>
                <w:b/>
                <w:color w:val="44546A"/>
                <w:sz w:val="19"/>
              </w:rPr>
              <w:t>Integrity</w:t>
            </w:r>
          </w:p>
        </w:tc>
        <w:tc>
          <w:tcPr>
            <w:tcW w:type="dxa" w:w="6520"/>
            <w:shd w:fill="F9FBFE"/>
            <w:tcMar>
              <w:top w:w="120" w:type="dxa"/>
              <w:start w:w="120" w:type="dxa"/>
              <w:bottom w:w="120" w:type="dxa"/>
              <w:end w:w="120" w:type="dxa"/>
            </w:tcMar>
            <w:vAlign w:val="center"/>
          </w:tcPr>
          <w:p>
            <w:pPr>
              <w:jc w:val="left"/>
            </w:pPr>
            <w:r>
              <w:rPr>
                <w:sz w:val="19"/>
              </w:rPr>
              <w:t>Plan for secure boot, kernel integrity checks, and trusted update paths as the system matures.</w:t>
            </w:r>
          </w:p>
        </w:tc>
      </w:tr>
      <w:tr>
        <w:tc>
          <w:tcPr>
            <w:tcW w:type="dxa" w:w="2551"/>
            <w:shd w:fill="F9FBFE"/>
            <w:tcMar>
              <w:top w:w="120" w:type="dxa"/>
              <w:start w:w="120" w:type="dxa"/>
              <w:bottom w:w="120" w:type="dxa"/>
              <w:end w:w="120" w:type="dxa"/>
            </w:tcMar>
            <w:vAlign w:val="center"/>
          </w:tcPr>
          <w:p>
            <w:pPr>
              <w:jc w:val="left"/>
            </w:pPr>
            <w:r>
              <w:rPr>
                <w:b/>
                <w:color w:val="44546A"/>
                <w:sz w:val="19"/>
              </w:rPr>
              <w:t>Optional protection</w:t>
            </w:r>
          </w:p>
        </w:tc>
        <w:tc>
          <w:tcPr>
            <w:tcW w:type="dxa" w:w="6520"/>
            <w:shd w:fill="F9FBFE"/>
            <w:tcMar>
              <w:top w:w="120" w:type="dxa"/>
              <w:start w:w="120" w:type="dxa"/>
              <w:bottom w:w="120" w:type="dxa"/>
              <w:end w:w="120" w:type="dxa"/>
            </w:tcMar>
            <w:vAlign w:val="center"/>
          </w:tcPr>
          <w:p>
            <w:pPr>
              <w:jc w:val="left"/>
            </w:pPr>
            <w:r>
              <w:rPr>
                <w:sz w:val="19"/>
              </w:rPr>
              <w:t>Support encrypted user data and related hardening features as premium or standard capabilities depending on edition strategy.</w:t>
            </w:r>
          </w:p>
        </w:tc>
      </w:tr>
    </w:tbl>
    <w:p/>
    <w:p>
      <w:pPr>
        <w:pStyle w:val="Heading1"/>
        <w:spacing w:before="240" w:after="120"/>
      </w:pPr>
      <w:r>
        <w:t>9. Roadmap</w:t>
      </w:r>
    </w:p>
    <w:p>
      <w:r>
        <w:t>The implementation roadmap should remain incremental. The initial objective is not feature completeness but a stable progression from bootable kernel to usable desktop platform.</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Phase 1 - Kernel and shell</w:t>
            </w:r>
          </w:p>
        </w:tc>
        <w:tc>
          <w:tcPr>
            <w:tcW w:type="dxa" w:w="6520"/>
            <w:shd w:fill="F9FBFE"/>
            <w:tcMar>
              <w:top w:w="120" w:type="dxa"/>
              <w:start w:w="120" w:type="dxa"/>
              <w:bottom w:w="120" w:type="dxa"/>
              <w:end w:w="120" w:type="dxa"/>
            </w:tcMar>
            <w:vAlign w:val="center"/>
          </w:tcPr>
          <w:p>
            <w:pPr>
              <w:jc w:val="left"/>
            </w:pPr>
            <w:r>
              <w:rPr>
                <w:sz w:val="19"/>
              </w:rPr>
              <w:t>Boot flow, Rust kernel skeleton, memory management foundations, interrupts, timer support, early text output, and a basic shell or command environment.</w:t>
            </w:r>
          </w:p>
        </w:tc>
      </w:tr>
      <w:tr>
        <w:tc>
          <w:tcPr>
            <w:tcW w:type="dxa" w:w="2551"/>
            <w:shd w:fill="F9FBFE"/>
            <w:tcMar>
              <w:top w:w="120" w:type="dxa"/>
              <w:start w:w="120" w:type="dxa"/>
              <w:bottom w:w="120" w:type="dxa"/>
              <w:end w:w="120" w:type="dxa"/>
            </w:tcMar>
            <w:vAlign w:val="center"/>
          </w:tcPr>
          <w:p>
            <w:pPr>
              <w:jc w:val="left"/>
            </w:pPr>
            <w:r>
              <w:rPr>
                <w:b/>
                <w:color w:val="44546A"/>
                <w:sz w:val="19"/>
              </w:rPr>
              <w:t>Phase 2 - GUI and desktop</w:t>
            </w:r>
          </w:p>
        </w:tc>
        <w:tc>
          <w:tcPr>
            <w:tcW w:type="dxa" w:w="6520"/>
            <w:shd w:fill="F9FBFE"/>
            <w:tcMar>
              <w:top w:w="120" w:type="dxa"/>
              <w:start w:w="120" w:type="dxa"/>
              <w:bottom w:w="120" w:type="dxa"/>
              <w:end w:w="120" w:type="dxa"/>
            </w:tcMar>
            <w:vAlign w:val="center"/>
          </w:tcPr>
          <w:p>
            <w:pPr>
              <w:jc w:val="left"/>
            </w:pPr>
            <w:r>
              <w:rPr>
                <w:sz w:val="19"/>
              </w:rPr>
              <w:t>Desktop shell, window management, compositor prototype, and the first essential desktop interactions.</w:t>
            </w:r>
          </w:p>
        </w:tc>
      </w:tr>
      <w:tr>
        <w:tc>
          <w:tcPr>
            <w:tcW w:type="dxa" w:w="2551"/>
            <w:shd w:fill="F9FBFE"/>
            <w:tcMar>
              <w:top w:w="120" w:type="dxa"/>
              <w:start w:w="120" w:type="dxa"/>
              <w:bottom w:w="120" w:type="dxa"/>
              <w:end w:w="120" w:type="dxa"/>
            </w:tcMar>
            <w:vAlign w:val="center"/>
          </w:tcPr>
          <w:p>
            <w:pPr>
              <w:jc w:val="left"/>
            </w:pPr>
            <w:r>
              <w:rPr>
                <w:b/>
                <w:color w:val="44546A"/>
                <w:sz w:val="19"/>
              </w:rPr>
              <w:t>Phase 3 - Networking and apps</w:t>
            </w:r>
          </w:p>
        </w:tc>
        <w:tc>
          <w:tcPr>
            <w:tcW w:type="dxa" w:w="6520"/>
            <w:shd w:fill="F9FBFE"/>
            <w:tcMar>
              <w:top w:w="120" w:type="dxa"/>
              <w:start w:w="120" w:type="dxa"/>
              <w:bottom w:w="120" w:type="dxa"/>
              <w:end w:w="120" w:type="dxa"/>
            </w:tcMar>
            <w:vAlign w:val="center"/>
          </w:tcPr>
          <w:p>
            <w:pPr>
              <w:jc w:val="left"/>
            </w:pPr>
            <w:r>
              <w:rPr>
                <w:sz w:val="19"/>
              </w:rPr>
              <w:t>TCP/IP foundations, sockets, application runtime, package handling, and basic first-party applications.</w:t>
            </w:r>
          </w:p>
        </w:tc>
      </w:tr>
      <w:tr>
        <w:tc>
          <w:tcPr>
            <w:tcW w:type="dxa" w:w="2551"/>
            <w:shd w:fill="F9FBFE"/>
            <w:tcMar>
              <w:top w:w="120" w:type="dxa"/>
              <w:start w:w="120" w:type="dxa"/>
              <w:bottom w:w="120" w:type="dxa"/>
              <w:end w:w="120" w:type="dxa"/>
            </w:tcMar>
            <w:vAlign w:val="center"/>
          </w:tcPr>
          <w:p>
            <w:pPr>
              <w:jc w:val="left"/>
            </w:pPr>
            <w:r>
              <w:rPr>
                <w:b/>
                <w:color w:val="44546A"/>
                <w:sz w:val="19"/>
              </w:rPr>
              <w:t>Phase 4 - Optimisation and compatibility</w:t>
            </w:r>
          </w:p>
        </w:tc>
        <w:tc>
          <w:tcPr>
            <w:tcW w:type="dxa" w:w="6520"/>
            <w:shd w:fill="F9FBFE"/>
            <w:tcMar>
              <w:top w:w="120" w:type="dxa"/>
              <w:start w:w="120" w:type="dxa"/>
              <w:bottom w:w="120" w:type="dxa"/>
              <w:end w:w="120" w:type="dxa"/>
            </w:tcMar>
            <w:vAlign w:val="center"/>
          </w:tcPr>
          <w:p>
            <w:pPr>
              <w:jc w:val="left"/>
            </w:pPr>
            <w:r>
              <w:rPr>
                <w:sz w:val="19"/>
              </w:rPr>
              <w:t>Performance tuning, improved drivers, gaming-focused refinements, and early compatibility research.</w:t>
            </w:r>
          </w:p>
        </w:tc>
      </w:tr>
      <w:tr>
        <w:tc>
          <w:tcPr>
            <w:tcW w:type="dxa" w:w="2551"/>
            <w:shd w:fill="F9FBFE"/>
            <w:tcMar>
              <w:top w:w="120" w:type="dxa"/>
              <w:start w:w="120" w:type="dxa"/>
              <w:bottom w:w="120" w:type="dxa"/>
              <w:end w:w="120" w:type="dxa"/>
            </w:tcMar>
            <w:vAlign w:val="center"/>
          </w:tcPr>
          <w:p>
            <w:pPr>
              <w:jc w:val="left"/>
            </w:pPr>
            <w:r>
              <w:rPr>
                <w:b/>
                <w:color w:val="44546A"/>
                <w:sz w:val="19"/>
              </w:rPr>
              <w:t>Phase 5 - Enterprise and pro features</w:t>
            </w:r>
          </w:p>
        </w:tc>
        <w:tc>
          <w:tcPr>
            <w:tcW w:type="dxa" w:w="6520"/>
            <w:shd w:fill="F9FBFE"/>
            <w:tcMar>
              <w:top w:w="120" w:type="dxa"/>
              <w:start w:w="120" w:type="dxa"/>
              <w:bottom w:w="120" w:type="dxa"/>
              <w:end w:w="120" w:type="dxa"/>
            </w:tcMar>
            <w:vAlign w:val="center"/>
          </w:tcPr>
          <w:p>
            <w:pPr>
              <w:jc w:val="left"/>
            </w:pPr>
            <w:r>
              <w:rPr>
                <w:sz w:val="19"/>
              </w:rPr>
              <w:t>Administrative tooling, support workflows, compliance additions, advanced security controls, and OEM readiness.</w:t>
            </w:r>
          </w:p>
        </w:tc>
      </w:tr>
    </w:tbl>
    <w:p/>
    <w:p>
      <w:pPr>
        <w:pStyle w:val="Heading1"/>
        <w:spacing w:before="240" w:after="120"/>
      </w:pPr>
      <w:r>
        <w:t>10. Branding placeholders</w:t>
      </w:r>
    </w:p>
    <w:p>
      <w:r>
        <w:t>The following placeholders are intentionally embedded throughout the concept so that later branding work can be applied without rewriting the technical structure.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OS name placeholder</w:t>
            </w:r>
          </w:p>
        </w:tc>
        <w:tc>
          <w:tcPr>
            <w:tcW w:type="dxa" w:w="6520"/>
            <w:shd w:fill="F9FBFE"/>
            <w:tcMar>
              <w:top w:w="120" w:type="dxa"/>
              <w:start w:w="120" w:type="dxa"/>
              <w:bottom w:w="120" w:type="dxa"/>
              <w:end w:w="120" w:type="dxa"/>
            </w:tcMar>
            <w:vAlign w:val="center"/>
          </w:tcPr>
          <w:p>
            <w:pPr>
              <w:jc w:val="left"/>
            </w:pPr>
            <w:r>
              <w:rPr>
                <w:sz w:val="19"/>
              </w:rPr>
              <w:t>[OS Name Placeholder]</w:t>
            </w:r>
          </w:p>
        </w:tc>
      </w:tr>
      <w:tr>
        <w:tc>
          <w:tcPr>
            <w:tcW w:type="dxa" w:w="2551"/>
            <w:shd w:fill="F9FBFE"/>
            <w:tcMar>
              <w:top w:w="120" w:type="dxa"/>
              <w:start w:w="120" w:type="dxa"/>
              <w:bottom w:w="120" w:type="dxa"/>
              <w:end w:w="120" w:type="dxa"/>
            </w:tcMar>
            <w:vAlign w:val="center"/>
          </w:tcPr>
          <w:p>
            <w:pPr>
              <w:jc w:val="left"/>
            </w:pPr>
            <w:r>
              <w:rPr>
                <w:b/>
                <w:color w:val="44546A"/>
                <w:sz w:val="19"/>
              </w:rPr>
              <w:t>Logo placeholder</w:t>
            </w:r>
          </w:p>
        </w:tc>
        <w:tc>
          <w:tcPr>
            <w:tcW w:type="dxa" w:w="6520"/>
            <w:shd w:fill="F9FBFE"/>
            <w:tcMar>
              <w:top w:w="120" w:type="dxa"/>
              <w:start w:w="120" w:type="dxa"/>
              <w:bottom w:w="120" w:type="dxa"/>
              <w:end w:w="120" w:type="dxa"/>
            </w:tcMar>
            <w:vAlign w:val="center"/>
          </w:tcPr>
          <w:p>
            <w:pPr>
              <w:jc w:val="left"/>
            </w:pPr>
            <w:r>
              <w:rPr>
                <w:sz w:val="19"/>
              </w:rPr>
              <w:t>[Logo Placeholder]</w:t>
            </w:r>
          </w:p>
        </w:tc>
      </w:tr>
      <w:tr>
        <w:tc>
          <w:tcPr>
            <w:tcW w:type="dxa" w:w="2551"/>
            <w:shd w:fill="F9FBFE"/>
            <w:tcMar>
              <w:top w:w="120" w:type="dxa"/>
              <w:start w:w="120" w:type="dxa"/>
              <w:bottom w:w="120" w:type="dxa"/>
              <w:end w:w="120" w:type="dxa"/>
            </w:tcMar>
            <w:vAlign w:val="center"/>
          </w:tcPr>
          <w:p>
            <w:pPr>
              <w:jc w:val="left"/>
            </w:pPr>
            <w:r>
              <w:rPr>
                <w:b/>
                <w:color w:val="44546A"/>
                <w:sz w:val="19"/>
              </w:rPr>
              <w:t>Slogan placeholder</w:t>
            </w:r>
          </w:p>
        </w:tc>
        <w:tc>
          <w:tcPr>
            <w:tcW w:type="dxa" w:w="6520"/>
            <w:shd w:fill="F9FBFE"/>
            <w:tcMar>
              <w:top w:w="120" w:type="dxa"/>
              <w:start w:w="120" w:type="dxa"/>
              <w:bottom w:w="120" w:type="dxa"/>
              <w:end w:w="120" w:type="dxa"/>
            </w:tcMar>
            <w:vAlign w:val="center"/>
          </w:tcPr>
          <w:p>
            <w:pPr>
              <w:jc w:val="left"/>
            </w:pPr>
            <w:r>
              <w:rPr>
                <w:sz w:val="19"/>
              </w:rPr>
              <w:t>[Slogan Placeholder]</w:t>
            </w:r>
          </w:p>
        </w:tc>
      </w:tr>
      <w:tr>
        <w:tc>
          <w:tcPr>
            <w:tcW w:type="dxa" w:w="2551"/>
            <w:shd w:fill="F9FBFE"/>
            <w:tcMar>
              <w:top w:w="120" w:type="dxa"/>
              <w:start w:w="120" w:type="dxa"/>
              <w:bottom w:w="120" w:type="dxa"/>
              <w:end w:w="120" w:type="dxa"/>
            </w:tcMar>
            <w:vAlign w:val="center"/>
          </w:tcPr>
          <w:p>
            <w:pPr>
              <w:jc w:val="left"/>
            </w:pPr>
            <w:r>
              <w:rPr>
                <w:b/>
                <w:color w:val="44546A"/>
                <w:sz w:val="19"/>
              </w:rPr>
              <w:t>Color palette placeholder</w:t>
            </w:r>
          </w:p>
        </w:tc>
        <w:tc>
          <w:tcPr>
            <w:tcW w:type="dxa" w:w="6520"/>
            <w:shd w:fill="F9FBFE"/>
            <w:tcMar>
              <w:top w:w="120" w:type="dxa"/>
              <w:start w:w="120" w:type="dxa"/>
              <w:bottom w:w="120" w:type="dxa"/>
              <w:end w:w="120" w:type="dxa"/>
            </w:tcMar>
            <w:vAlign w:val="center"/>
          </w:tcPr>
          <w:p>
            <w:pPr>
              <w:jc w:val="left"/>
            </w:pPr>
            <w:r>
              <w:rPr>
                <w:sz w:val="19"/>
              </w:rPr>
              <w:t>[Color Palette Placeholder]</w:t>
            </w:r>
          </w:p>
        </w:tc>
      </w:tr>
      <w:tr>
        <w:tc>
          <w:tcPr>
            <w:tcW w:type="dxa" w:w="2551"/>
            <w:shd w:fill="F9FBFE"/>
            <w:tcMar>
              <w:top w:w="120" w:type="dxa"/>
              <w:start w:w="120" w:type="dxa"/>
              <w:bottom w:w="120" w:type="dxa"/>
              <w:end w:w="120" w:type="dxa"/>
            </w:tcMar>
            <w:vAlign w:val="center"/>
          </w:tcPr>
          <w:p>
            <w:pPr>
              <w:jc w:val="left"/>
            </w:pPr>
            <w:r>
              <w:rPr>
                <w:b/>
                <w:color w:val="44546A"/>
                <w:sz w:val="19"/>
              </w:rPr>
              <w:t>Typography placeholder</w:t>
            </w:r>
          </w:p>
        </w:tc>
        <w:tc>
          <w:tcPr>
            <w:tcW w:type="dxa" w:w="6520"/>
            <w:shd w:fill="F9FBFE"/>
            <w:tcMar>
              <w:top w:w="120" w:type="dxa"/>
              <w:start w:w="120" w:type="dxa"/>
              <w:bottom w:w="120" w:type="dxa"/>
              <w:end w:w="120" w:type="dxa"/>
            </w:tcMar>
            <w:vAlign w:val="center"/>
          </w:tcPr>
          <w:p>
            <w:pPr>
              <w:jc w:val="left"/>
            </w:pPr>
            <w:r>
              <w:rPr>
                <w:sz w:val="19"/>
              </w:rPr>
              <w:t>[Typography Placeholder]</w:t>
            </w:r>
          </w:p>
        </w:tc>
      </w:tr>
    </w:tbl>
    <w:p/>
    <w:p>
      <w:pPr>
        <w:pStyle w:val="Heading1"/>
        <w:spacing w:before="240" w:after="120"/>
      </w:pPr>
      <w:r>
        <w:t>Appendices</w:t>
      </w:r>
    </w:p>
    <w:p>
      <w:pPr>
        <w:pStyle w:val="Heading2"/>
        <w:spacing w:before="160" w:after="60"/>
      </w:pPr>
      <w:r>
        <w:t>Appendix A - Glossary</w:t>
      </w:r>
    </w:p>
    <w:p>
      <w:r>
        <w:t>Working definitions for technical and business terms should be maintained here as the project matures.</w:t>
      </w:r>
    </w:p>
    <w:p>
      <w:pPr>
        <w:pStyle w:val="Heading2"/>
        <w:spacing w:before="160" w:after="60"/>
      </w:pPr>
      <w:r>
        <w:t>Appendix B - Technical diagrams</w:t>
      </w:r>
    </w:p>
    <w:p>
      <w:r>
        <w:t>Future diagrams should illustrate kernel architecture, memory flow, driver layout, desktop stack, and networking relationships.</w:t>
      </w:r>
    </w:p>
    <w:p>
      <w:pPr>
        <w:pStyle w:val="Heading2"/>
        <w:spacing w:before="160" w:after="60"/>
      </w:pPr>
      <w:r>
        <w:t>Appendix C - API overview</w:t>
      </w:r>
    </w:p>
    <w:p>
      <w:r>
        <w:t>This appendix should later summarise stable application-facing interfaces, versioning assumptions, and developer tooling.</w:t>
      </w:r>
    </w:p>
    <w:p>
      <w:pPr>
        <w:pStyle w:val="Heading2"/>
        <w:spacing w:before="160" w:after="60"/>
      </w:pPr>
      <w:r>
        <w:t>Appendix D - Future expansion concepts</w:t>
      </w:r>
    </w:p>
    <w:p>
      <w:r>
        <w:t>Potential future directions may include ARM support, cloud-managed deployments, and related form factors such as a mobile-oriented edition.</w:t>
      </w:r>
    </w:p>
    <w:sectPr w:rsidR="00FC693F" w:rsidRPr="0006063C" w:rsidSect="00034616">
      <w:footerReference w:type="default" r:id="rId9"/>
      <w:head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European Desktop OS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rPr>
      <w:rFonts w:ascii="Aptos" w:hAnsi="Aptos"/>
      <w:b/>
      <w:color w:val="595959"/>
      <w:sz w:val="17"/>
    </w:rPr>
  </w:style>
  <w:style w:type="paragraph" w:customStyle="1" w:styleId="Callout">
    <w:name w:val="Callout"/>
    <w:rPr>
      <w:rFonts w:ascii="Aptos" w:hAnsi="Aptos"/>
      <w:i w:val="0"/>
      <w:color w:val="26262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