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Статус проекта «Единое окно»</w:t>
      </w:r>
    </w:p>
    <w:p>
      <w:r>
        <w:t>Проект стартовал 12.01.2026, плановое завершение – 28.02.2027. Пройдено три этапа из пяти.</w:t>
      </w:r>
    </w:p>
    <w:p>
      <w:pPr>
        <w:pStyle w:val="Heading2"/>
      </w:pPr>
      <w:r>
        <w:t>Вехи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Этап</w:t>
            </w:r>
          </w:p>
        </w:tc>
        <w:tc>
          <w:tcPr>
            <w:tcW w:type="dxa" w:w="2160"/>
          </w:tcPr>
          <w:p>
            <w:r>
              <w:t>План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</w:tr>
      <w:tr>
        <w:tc>
          <w:tcPr>
            <w:tcW w:type="dxa" w:w="2160"/>
          </w:tcPr>
          <w:p>
            <w:r>
              <w:t>Обследование</w:t>
            </w:r>
          </w:p>
        </w:tc>
        <w:tc>
          <w:tcPr>
            <w:tcW w:type="dxa" w:w="2160"/>
          </w:tcPr>
          <w:p>
            <w:r>
              <w:t>28.02.2026</w:t>
            </w:r>
          </w:p>
        </w:tc>
        <w:tc>
          <w:tcPr>
            <w:tcW w:type="dxa" w:w="2160"/>
          </w:tcPr>
          <w:p>
            <w:r>
              <w:t>28.02.2026</w:t>
            </w:r>
          </w:p>
        </w:tc>
        <w:tc>
          <w:tcPr>
            <w:tcW w:type="dxa" w:w="2160"/>
          </w:tcPr>
          <w:p>
            <w:r>
              <w:t>закрыт</w:t>
            </w:r>
          </w:p>
        </w:tc>
      </w:tr>
      <w:tr>
        <w:tc>
          <w:tcPr>
            <w:tcW w:type="dxa" w:w="2160"/>
          </w:tcPr>
          <w:p>
            <w:r>
              <w:t>Проектирование</w:t>
            </w:r>
          </w:p>
        </w:tc>
        <w:tc>
          <w:tcPr>
            <w:tcW w:type="dxa" w:w="2160"/>
          </w:tcPr>
          <w:p>
            <w:r>
              <w:t>30.04.2026</w:t>
            </w:r>
          </w:p>
        </w:tc>
        <w:tc>
          <w:tcPr>
            <w:tcW w:type="dxa" w:w="2160"/>
          </w:tcPr>
          <w:p>
            <w:r>
              <w:t>14.05.2026</w:t>
            </w:r>
          </w:p>
        </w:tc>
        <w:tc>
          <w:tcPr>
            <w:tcW w:type="dxa" w:w="2160"/>
          </w:tcPr>
          <w:p>
            <w:r>
              <w:t>закрыт</w:t>
            </w:r>
          </w:p>
        </w:tc>
      </w:tr>
      <w:tr>
        <w:tc>
          <w:tcPr>
            <w:tcW w:type="dxa" w:w="2160"/>
          </w:tcPr>
          <w:p>
            <w:r>
              <w:t>Интеграция с ERP</w:t>
            </w:r>
          </w:p>
        </w:tc>
        <w:tc>
          <w:tcPr>
            <w:tcW w:type="dxa" w:w="2160"/>
          </w:tcPr>
          <w:p>
            <w:r>
              <w:t>31.08.2026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отставание 3 недели</w:t>
            </w:r>
          </w:p>
        </w:tc>
      </w:tr>
      <w:tr>
        <w:tc>
          <w:tcPr>
            <w:tcW w:type="dxa" w:w="2160"/>
          </w:tcPr>
          <w:p>
            <w:r>
              <w:t>Опытная эксплуатация</w:t>
            </w:r>
          </w:p>
        </w:tc>
        <w:tc>
          <w:tcPr>
            <w:tcW w:type="dxa" w:w="2160"/>
          </w:tcPr>
          <w:p>
            <w:r>
              <w:t>30.11.2026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не начат</w:t>
            </w:r>
          </w:p>
        </w:tc>
      </w:tr>
      <w:tr>
        <w:tc>
          <w:tcPr>
            <w:tcW w:type="dxa" w:w="2160"/>
          </w:tcPr>
          <w:p>
            <w:r>
              <w:t>Промышленная эксплуатация</w:t>
            </w:r>
          </w:p>
        </w:tc>
        <w:tc>
          <w:tcPr>
            <w:tcW w:type="dxa" w:w="2160"/>
          </w:tcPr>
          <w:p>
            <w:r>
              <w:t>28.02.2027</w:t>
            </w:r>
          </w:p>
        </w:tc>
        <w:tc>
          <w:tcPr>
            <w:tcW w:type="dxa" w:w="2160"/>
          </w:tcPr>
          <w:p>
            <w:r>
              <w:t>–</w:t>
            </w:r>
          </w:p>
        </w:tc>
        <w:tc>
          <w:tcPr>
            <w:tcW w:type="dxa" w:w="2160"/>
          </w:tcPr>
          <w:p>
            <w:r>
              <w:t>не начат</w:t>
            </w:r>
          </w:p>
        </w:tc>
      </w:tr>
    </w:tbl>
    <w:p>
      <w:pPr>
        <w:pStyle w:val="Heading2"/>
      </w:pPr>
      <w:r>
        <w:t>Причина отставания</w:t>
      </w:r>
    </w:p>
    <w:p>
      <w:r>
        <w:t>Интеграция с ERP потребовала 14 доработок вместо запланированных 6: справочники контрагентов в двух системах разошлись. Команда интеграции – 3 человека, требуется 5.</w:t>
      </w:r>
    </w:p>
    <w:p>
      <w:pPr>
        <w:pStyle w:val="Heading2"/>
      </w:pPr>
      <w:r>
        <w:t>Риски</w:t>
      </w:r>
    </w:p>
    <w:p>
      <w:pPr>
        <w:pStyle w:val="ListBullet"/>
      </w:pPr>
      <w:r>
        <w:t>Отставание интеграции сдвигает опытную эксплуатацию на декабрь — пик нагрузки на бизнес</w:t>
      </w:r>
    </w:p>
    <w:p>
      <w:pPr>
        <w:pStyle w:val="ListBullet"/>
      </w:pPr>
      <w:r>
        <w:t>Второй подрядчик занят до 30.11.2026, привлечь раньше нельзя</w:t>
      </w:r>
    </w:p>
    <w:p>
      <w:pPr>
        <w:pStyle w:val="ListBullet"/>
      </w:pPr>
      <w:r>
        <w:t>Бюджет проекта исчерпан на 62 %, резерв не тронут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Проектный офис | документ обновляется еженедельно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Проект «Единое окно» | Статус на 15.09.2026 | для управляющего комитета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