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Requirement Analysis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Technology Stack (Architecture &amp; Stack)</w:t>
      </w:r>
    </w:p>
    <w:tbl>
      <w:tblPr>
        <w:tblW w:type="pct" w:w="3500"/>
        <w:jc w:val="center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27"/>
        <w:gridCol w:w="4507"/>
      </w:tblGrid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 October 2026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StaffSync — Human Resource Management System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Technical Architecture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StaffSync uses a three-tier MERN architecture. The presentation tier is a React single-page application; the application tier is a Node.js and Express REST API; the data tier is MongoDB, accessed through Mongoose. In production one Render web service runs the API and serves the built React app from the same address. Password-reset emails go through any SMTP provider. Versions below are from `client/package.json`, `server/package.json`, `render.yaml` and `.github/workflows/ci.yml`.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architecture diagram is in D3 — Solution Architecture.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Table-1: Components &amp; Technologies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93"/>
        <w:gridCol w:w="1981"/>
        <w:gridCol w:w="4260"/>
        <w:gridCol w:w="2972"/>
      </w:tblGrid>
      <w:tr>
        <w:trPr>
          <w:tblHeader/>
        </w:trPr>
        <w:tc>
          <w:tcPr>
            <w:tcW w:type="pct" w:w="3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pct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21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interface for HR, managers, employees and platform administrators; responsive, light and dark themes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19, Material UI 9 (Emotion), React Router 7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state and API access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state in Redux; one Axios client per account type attaches the token and normalises errors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Redux Toolkit 2, React Redux 9, Axios 1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tooling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Development server, production build, lint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 8 with @vitejs/plugin-react 6; oxlint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Logic-1: API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 endpoints for authentication, organisations, people, attendance, leave, dashboards, reports, announcements, training, notifications, demo and platform administration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24 (CI and Render; server supports ≥ 20.6), Express 5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Logic-2: security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authentication, password hashing, headers, rate limits, input validation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jsonwebtoken 9 (HS256), bcryptjs 3, Helmet 8, express-rate-limit 8, express-validator 7, cors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Logic-3: services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Notifications, statistics, password reset email, nightly demo reset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Plain Node.js modules; Nodemailer 10 for SMTP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collections: organisations, users, employees, attendance, leaves, announcements, trainings, notifications, platform admins, platform audit log, counters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(Atlas; replica set needed for transactions), Mongoose 9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Secrets and settings outside the code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dotenv; `.env.example` templates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tests over HTTP against throwaway databases; client unit tests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built-in test runner (`node --test`)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Lint, tests and build on every push and pull request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Actions; MongoDB 7 replica set in Docker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web service: API and static app; health check `/api/health`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(blueprint `render.yaml`)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Table-2: Application Characteristics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93"/>
        <w:gridCol w:w="1981"/>
        <w:gridCol w:w="4260"/>
        <w:gridCol w:w="2972"/>
      </w:tblGrid>
      <w:tr>
        <w:trPr>
          <w:tblHeader/>
        </w:trPr>
        <w:tc>
          <w:tcPr>
            <w:tcW w:type="pct" w:w="3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pct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pct" w:w="21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frameworks and libraries are open source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React, Express, Mongoose, Material UI, Vite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Hashed passwords; signed, expiring tokens re-checked on every request; role checks; rate limits; strict headers and CSP; whitelisted input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bcryptjs (cost 12), JWT HS256, Helmet, express-rate-limit, express-validator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Multi-tenancy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Many companies share one installation; each sees only its own data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Mongoose plugin `tenantScoped` with AsyncLocalStorage request context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Stateless REST API; indexed queries; paginated lists (max 100 per page)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Express, MongoDB indexes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endpoint reporting the database state; graceful shutdown; configuration checked at start-up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Express, Render health check</w:t>
            </w:r>
          </w:p>
        </w:tc>
      </w:tr>
      <w:tr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Measured with a 500-person benchmark; one aggregation per request to load the user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`npm run bench` (see E2)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References</w:t>
      </w:r>
    </w:p>
    <rootKey>w:p</rootKey>
    <rootKey>w:p</rootKey>
    <rootKey>w:p</rootKey>
    <rootKey>w:p</rootKey>
    <rootKey>w:p</rootKey>
    <rootKey>w:p</rootKey>
    <rootKey>w:p</rootKey>
    <rootKey>w:p</rootKey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StaffSync — </w:t>
    </w:r>
    <w:r>
      <w:rPr>
        <w:rFonts w:ascii="Calibri" w:cs="Calibri" w:eastAsia="Calibri" w:hAnsi="Calibri"/>
        <w:color w:val="777777"/>
        <w:sz w:val="16"/>
        <w:szCs w:val="16"/>
      </w:rPr>
      <w:t xml:space="preserve">B2-Technology-Stack</w:t>
    </w:r>
    <w:r>
      <w:rPr>
        <w:rFonts w:ascii="Calibri" w:cs="Calibri" w:eastAsia="Calibri" w:hAnsi="Calibri"/>
        <w:color w:val="777777"/>
        <w:sz w:val="16"/>
        <w:szCs w:val="16"/>
      </w:rPr>
      <w:t xml:space="preserve">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B2-Technology-Stack</dc:title>
  <dc:creator>StaffSync project documentation</dc:creator>
  <cp:lastModifiedBy>Un-named</cp:lastModifiedBy>
  <cp:revision>1</cp:revision>
  <dcterms:created xsi:type="dcterms:W3CDTF">2026-10-16T20:39:45.102Z</dcterms:created>
  <dcterms:modified xsi:type="dcterms:W3CDTF">2026-10-16T20:39:45.102Z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