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Project Design Phase</w:t>
      </w:r>
    </w:p>
    <w:p>
      <w:pPr>
        <w:spacing w:after="200"/>
        <w:jc w:val="center"/>
      </w:pPr>
      <w:r>
        <w:rPr>
          <w:rFonts w:ascii="Calibri" w:cs="Calibri" w:eastAsia="Calibri" w:hAnsi="Calibri"/>
          <w:b/>
          <w:bCs/>
          <w:sz w:val="26"/>
          <w:szCs w:val="26"/>
        </w:rPr>
        <w:t xml:space="preserve">Solution Architecture</w:t>
      </w:r>
    </w:p>
    <w:tbl>
      <w:tblPr>
        <w:tblW w:type="pct" w:w="35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2427"/>
        <w:gridCol w:w="4507"/>
      </w:tblGrid>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Date</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17 October 2026</w:t>
            </w: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ID</w:t>
            </w:r>
          </w:p>
        </w:tc>
        <w:tc>
          <w:tcPr>
            <w:tcW w:type="pct" w:w="3250"/>
            <w:tcMar>
              <w:top w:type="dxa" w:w="60"/>
              <w:left w:type="dxa" w:w="100"/>
              <w:bottom w:type="dxa" w:w="60"/>
              <w:right w:type="dxa" w:w="100"/>
            </w:tcMar>
          </w:tcPr>
          <w:p>
            <w:pPr>
              <w:spacing w:after="40"/>
            </w:pP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Project Name</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StaffSync — Human Resource Management System</w:t>
            </w: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Maximum Marks</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 Marks</w:t>
            </w:r>
          </w:p>
        </w:tc>
      </w:tr>
    </w:tbl>
    <w:p>
      <w:pPr>
        <w:spacing w:after="120"/>
      </w:pPr>
    </w:p>
    <w:p>
      <w:pPr>
        <w:pStyle w:val="Heading1"/>
        <w:spacing w:after="120" w:before="240"/>
      </w:pPr>
      <w:r>
        <w:rPr>
          <w:rFonts w:ascii="Calibri" w:cs="Calibri" w:eastAsia="Calibri" w:hAnsi="Calibri"/>
          <w:b/>
          <w:bCs/>
          <w:sz w:val="30"/>
          <w:szCs w:val="30"/>
        </w:rPr>
        <w:t xml:space="preserve">Solution Architecture</w:t>
      </w:r>
    </w:p>
    <w:p>
      <w:pPr>
        <w:spacing w:after="120"/>
      </w:pPr>
      <w:r>
        <w:rPr>
          <w:rFonts w:ascii="Calibri" w:cs="Calibri" w:eastAsia="Calibri" w:hAnsi="Calibri"/>
        </w:rPr>
        <w:t xml:space="preserve">StaffSync is a three-tier web application: a React single-page app in the browser, an Express 5 REST API on Node.js, and MongoDB. In production one Render web service runs the API and also serves the built React app, so both share one address. Every request passes the same ordered chain of middleware before it reaches business logic, and every database query is limited to the caller’s organisation. The architecture aims for:</w:t>
      </w:r>
    </w:p>
    <rootKey>w:p</rootKey>
    <rootKey>w:p</rootKey>
    <rootKey>w:p</rootKey>
    <rootKey>w:p</rootKey>
    <rootKey>w:p</rootKey>
    <w:p>
      <w:pPr>
        <w:pStyle w:val="Heading2"/>
        <w:spacing w:after="100" w:before="240"/>
      </w:pPr>
      <w:r>
        <w:rPr>
          <w:rFonts w:ascii="Calibri" w:cs="Calibri" w:eastAsia="Calibri" w:hAnsi="Calibri"/>
          <w:b/>
          <w:bCs/>
          <w:sz w:val="26"/>
          <w:szCs w:val="26"/>
        </w:rPr>
        <w:t xml:space="preserve">Solution architecture diagram</w:t>
      </w:r>
    </w:p>
    <w:p>
      <w:pPr>
        <w:spacing w:after="60"/>
        <w:jc w:val="center"/>
      </w:pPr>
      <w:r>
        <w:drawing>
          <wp:inline distT="0" distB="0" distL="0" distR="0">
            <wp:extent cx="6096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7242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 StaffSync solution architecture</w:t>
      </w:r>
    </w:p>
    <w:p>
      <w:pPr>
        <w:pStyle w:val="Heading2"/>
        <w:spacing w:after="100" w:before="240"/>
      </w:pPr>
      <w:r>
        <w:rPr>
          <w:rFonts w:ascii="Calibri" w:cs="Calibri" w:eastAsia="Calibri" w:hAnsi="Calibri"/>
          <w:b/>
          <w:bCs/>
          <w:sz w:val="26"/>
          <w:szCs w:val="26"/>
        </w:rPr>
        <w:t xml:space="preserve">Components</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1981"/>
        <w:gridCol w:w="5151"/>
        <w:gridCol w:w="2774"/>
      </w:tblGrid>
      <w:tr>
        <w:trPr>
          <w:tblHeader/>
        </w:trPr>
        <w:tc>
          <w:tcPr>
            <w:tcW w:type="pct" w:w="10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Tier / component</w:t>
            </w:r>
          </w:p>
        </w:tc>
        <w:tc>
          <w:tcPr>
            <w:tcW w:type="pct" w:w="26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Responsibility</w:t>
            </w:r>
          </w:p>
        </w:tc>
        <w:tc>
          <w:tcPr>
            <w:tcW w:type="pct" w:w="14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Source</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React SPA</w:t>
            </w:r>
          </w:p>
        </w:tc>
        <w:tc>
          <w:tcPr>
            <w:tcW w:type="pct" w:w="2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Pages for each role; session in Redux; route guards for convenience (the API enforces access)</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`client/src` (routes, pages, store)</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API clients</w:t>
            </w:r>
          </w:p>
        </w:tc>
        <w:tc>
          <w:tcPr>
            <w:tcW w:type="pct" w:w="2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Two Axios instances (organisation users, platform admins); attach the token; turn errors into readable messages</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`client/src/services/api.js`</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Security middleware</w:t>
            </w:r>
          </w:p>
        </w:tc>
        <w:tc>
          <w:tcPr>
            <w:tcW w:type="pct" w:w="2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CORS allow-list, Helmet headers, rate limits, no-store caching, repeated-query rejection</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`server/config/cors.js`, `server/config/security.js`</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Authentication</w:t>
            </w:r>
          </w:p>
        </w:tc>
        <w:tc>
          <w:tcPr>
            <w:tcW w:type="pct" w:w="2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Verify JWT; load user, employee and organisation in one aggregation; enter the organisation context</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`server/middleware/authMiddleware.js`</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Authorisation</w:t>
            </w:r>
          </w:p>
        </w:tc>
        <w:tc>
          <w:tcPr>
            <w:tcW w:type="pct" w:w="2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Role check per route; ownership and team checks in controllers</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`authorize()` in `server/middleware/authMiddleware.js`; controllers</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Validation</w:t>
            </w:r>
          </w:p>
        </w:tc>
        <w:tc>
          <w:tcPr>
            <w:tcW w:type="pct" w:w="2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Whitelist of fields and types per endpoint</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`server/validators/*.js`, `server/middleware/validate.js`</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Controllers and services</w:t>
            </w:r>
          </w:p>
        </w:tc>
        <w:tc>
          <w:tcPr>
            <w:tcW w:type="pct" w:w="2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Business rules; notifications; statistics; password reset; demo reset</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`server/controllers`, `server/services`</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Data access</w:t>
            </w:r>
          </w:p>
        </w:tc>
        <w:tc>
          <w:tcPr>
            <w:tcW w:type="pct" w:w="2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Mongoose models; `tenantScoped` plugin scopes every operation</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`server/models`</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Errors</w:t>
            </w:r>
          </w:p>
        </w:tc>
        <w:tc>
          <w:tcPr>
            <w:tcW w:type="pct" w:w="2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One handler; consistent JSON; no internal details in production</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`server/middleware/errorMiddleware.js`</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Database</w:t>
            </w:r>
          </w:p>
        </w:tc>
        <w:tc>
          <w:tcPr>
            <w:tcW w:type="pct" w:w="2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MongoDB Atlas; replica set required for the sign-up transaction</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`MONGO_URI`</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Email</w:t>
            </w:r>
          </w:p>
        </w:tc>
        <w:tc>
          <w:tcPr>
            <w:tcW w:type="pct" w:w="2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Password-reset emails through SMTP</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`services/passwordResetService.js`</w:t>
            </w:r>
          </w:p>
        </w:tc>
      </w:tr>
      <w:tr>
        <w:tc>
          <w:tcPr>
            <w:tcW w:type="pct" w:w="1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Delivery</w:t>
            </w:r>
          </w:p>
        </w:tc>
        <w:tc>
          <w:tcPr>
            <w:tcW w:type="pct" w:w="2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GitHub Actions CI (lint, tests, build); Render blueprint with health check and auto-deploy</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`.github/workflows/ci.yml`, `render.yaml`</w:t>
            </w:r>
          </w:p>
        </w:tc>
      </w:tr>
    </w:tbl>
    <w:p>
      <w:pPr>
        <w:pStyle w:val="Heading2"/>
        <w:spacing w:after="100" w:before="240"/>
      </w:pPr>
      <w:r>
        <w:rPr>
          <w:rFonts w:ascii="Calibri" w:cs="Calibri" w:eastAsia="Calibri" w:hAnsi="Calibri"/>
          <w:b/>
          <w:bCs/>
          <w:sz w:val="26"/>
          <w:szCs w:val="26"/>
        </w:rPr>
        <w:t xml:space="preserve">Request lifecycle example — approving a leave request</w:t>
      </w:r>
    </w:p>
    <w:p>
      <w:pPr>
        <w:spacing w:after="120"/>
      </w:pPr>
      <w:r>
        <w:rPr>
          <w:rFonts w:ascii="Calibri" w:cs="Calibri" w:eastAsia="Calibri" w:hAnsi="Calibri"/>
        </w:rPr>
        <w:t xml:space="preserve">The sequence below follows one request through the architecture, showing where authentication, authorisation, validation, the atomic update and the notification happen.</w:t>
      </w:r>
    </w:p>
    <w:p>
      <w:pPr>
        <w:spacing w:after="60"/>
        <w:jc w:val="center"/>
      </w:pPr>
      <w:r>
        <w:drawing>
          <wp:inline distT="0" distB="0" distL="0" distR="0">
            <wp:extent cx="6096000" cy="4152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1529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 Sequence for PUT /api/leaves/:id/approve</w:t>
      </w:r>
    </w:p>
    <w:p>
      <w:pPr>
        <w:pStyle w:val="Heading2"/>
        <w:spacing w:after="100" w:before="240"/>
      </w:pPr>
      <w:r>
        <w:rPr>
          <w:rFonts w:ascii="Calibri" w:cs="Calibri" w:eastAsia="Calibri" w:hAnsi="Calibri"/>
          <w:b/>
          <w:bCs/>
          <w:sz w:val="26"/>
          <w:szCs w:val="26"/>
        </w:rPr>
        <w:t xml:space="preserve">Deployment view</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2477"/>
        <w:gridCol w:w="7430"/>
      </w:tblGrid>
      <w:tr>
        <w:trPr>
          <w:tblHeader/>
        </w:trPr>
        <w:tc>
          <w:tcPr>
            <w:tcW w:type="pct" w:w="125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Item</w:t>
            </w:r>
          </w:p>
        </w:tc>
        <w:tc>
          <w:tcPr>
            <w:tcW w:type="pct" w:w="375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Configuration (from render.yaml)</w:t>
            </w:r>
          </w:p>
        </w:tc>
      </w:tr>
      <w:tr>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Service</w:t>
            </w:r>
          </w:p>
        </w:tc>
        <w:tc>
          <w:tcPr>
            <w:tcW w:type="pct" w:w="3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One Render web service, Node.js 24, free plan, region Singapore</w:t>
            </w:r>
          </w:p>
        </w:tc>
      </w:tr>
      <w:tr>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Build</w:t>
            </w:r>
          </w:p>
        </w:tc>
        <w:tc>
          <w:tcPr>
            <w:tcW w:type="pct" w:w="3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Install server production dependencies; install client and build it with Vite</w:t>
            </w:r>
          </w:p>
        </w:tc>
      </w:tr>
      <w:tr>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Start</w:t>
            </w:r>
          </w:p>
        </w:tc>
        <w:tc>
          <w:tcPr>
            <w:tcW w:type="pct" w:w="3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`npm start --prefix server`; the server also serves the built client</w:t>
            </w:r>
          </w:p>
        </w:tc>
      </w:tr>
      <w:tr>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Health check</w:t>
            </w:r>
          </w:p>
        </w:tc>
        <w:tc>
          <w:tcPr>
            <w:tcW w:type="pct" w:w="3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`/api/health` (reports API status and database connection)</w:t>
            </w:r>
          </w:p>
        </w:tc>
      </w:tr>
      <w:tr>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Secrets</w:t>
            </w:r>
          </w:p>
        </w:tc>
        <w:tc>
          <w:tcPr>
            <w:tcW w:type="pct" w:w="3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`JWT_SECRET` generated by Render; `MONGO_URI` and SMTP settings entered in the dashboard</w:t>
            </w:r>
          </w:p>
        </w:tc>
      </w:tr>
      <w:tr>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Deployment status</w:t>
            </w:r>
          </w:p>
        </w:tc>
        <w:tc>
          <w:tcPr>
            <w:tcW w:type="pct" w:w="3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Configured, not verified live: no deployment URL is recorded in the project</w:t>
            </w:r>
          </w:p>
        </w:tc>
      </w:tr>
    </w:tbl>
    <w:p>
      <w:pPr>
        <w:pStyle w:val="Heading2"/>
        <w:spacing w:after="100" w:before="240"/>
      </w:pPr>
      <w:r>
        <w:rPr>
          <w:rFonts w:ascii="Calibri" w:cs="Calibri" w:eastAsia="Calibri" w:hAnsi="Calibri"/>
          <w:b/>
          <w:bCs/>
          <w:sz w:val="26"/>
          <w:szCs w:val="26"/>
        </w:rPr>
        <w:t xml:space="preserve">Architecture decisions</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2774"/>
        <w:gridCol w:w="3962"/>
        <w:gridCol w:w="3170"/>
      </w:tblGrid>
      <w:tr>
        <w:trPr>
          <w:tblHeader/>
        </w:trPr>
        <w:tc>
          <w:tcPr>
            <w:tcW w:type="pct" w:w="14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Decision</w:t>
            </w:r>
          </w:p>
        </w:tc>
        <w:tc>
          <w:tcPr>
            <w:tcW w:type="pct" w:w="20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Reason</w:t>
            </w:r>
          </w:p>
        </w:tc>
        <w:tc>
          <w:tcPr>
            <w:tcW w:type="pct" w:w="16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Trade-off</w:t>
            </w:r>
          </w:p>
        </w:tc>
      </w:tr>
      <w:tr>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Token in localStorage, sent as a Bearer header</w:t>
            </w:r>
          </w:p>
        </w:tc>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Works when the app and API are on different domains without CSRF tokens</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Exposed to XSS; mitigated by React escaping, a strict script CSP on served pages and token expiry</w:t>
            </w:r>
          </w:p>
        </w:tc>
      </w:tr>
      <w:tr>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Isolation in a Mongoose plugin, not in each controller</w:t>
            </w:r>
          </w:p>
        </w:tc>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 forgotten filter cannot leak another company’s data; unscoped queries throw</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Platform-level code must opt out explicitly with runAsPlatform()</w:t>
            </w:r>
          </w:p>
        </w:tc>
      </w:tr>
      <w:tr>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Atomic findOneAndUpdate for leave decisions</w:t>
            </w:r>
          </w:p>
        </w:tc>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Guarantees one decision even under simultaneous clicks</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 second decider gets 409 instead of a silent overwrite</w:t>
            </w:r>
          </w:p>
        </w:tc>
      </w:tr>
      <w:tr>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Single service for API and app</w:t>
            </w:r>
          </w:p>
        </w:tc>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One address, simpler CORS and deployment</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API and front end scale together</w:t>
            </w:r>
          </w:p>
        </w:tc>
      </w:tr>
      <w:tr>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In-memory rate limiting</w:t>
            </w:r>
          </w:p>
        </w:tc>
        <w:tc>
          <w:tcPr>
            <w:tcW w:type="pct" w:w="20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 extra infrastructure</w:t>
            </w:r>
          </w:p>
        </w:tc>
        <w:tc>
          <w:tcPr>
            <w:tcW w:type="pct" w:w="1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Limits reset on restart and are per instance</w:t>
            </w:r>
          </w:p>
        </w:tc>
      </w:tr>
    </w:tbl>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StaffSync — </w:t>
    </w:r>
    <w:r>
      <w:rPr>
        <w:rFonts w:ascii="Calibri" w:cs="Calibri" w:eastAsia="Calibri" w:hAnsi="Calibri"/>
        <w:color w:val="777777"/>
        <w:sz w:val="16"/>
        <w:szCs w:val="16"/>
      </w:rPr>
      <w:t xml:space="preserve">D3-Solution-Architecture</w:t>
    </w:r>
    <w:r>
      <w:rPr>
        <w:rFonts w:ascii="Calibri" w:cs="Calibri" w:eastAsia="Calibri" w:hAnsi="Calibri"/>
        <w:color w:val="777777"/>
        <w:sz w:val="16"/>
        <w:szCs w:val="16"/>
      </w:rPr>
      <w:t xml:space="preserv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529ddcaf919ce668042a1a137493244a957dfac.png"/><Relationship Id="rId9" Type="http://schemas.openxmlformats.org/officeDocument/2006/relationships/image" Target="media/40b72e7fcd902eec5c070394066e2626445759b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D3-Solution-Architecture</dc:title>
  <dc:creator>StaffSync project documentation</dc:creator>
  <cp:lastModifiedBy>Un-named</cp:lastModifiedBy>
  <cp:revision>1</cp:revision>
  <dcterms:created xsi:type="dcterms:W3CDTF">2026-10-16T20:41:55.295Z</dcterms:created>
  <dcterms:modified xsi:type="dcterms:W3CDTF">2026-10-16T20:41:55.295Z</dcterms:modified>
</cp:coreProperties>
</file>

<file path=docProps/custom.xml><?xml version="1.0" encoding="utf-8"?>
<Properties xmlns="http://schemas.openxmlformats.org/officeDocument/2006/custom-properties" xmlns:vt="http://schemas.openxmlformats.org/officeDocument/2006/docPropsVTypes"/>
</file>