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D2C25" w14:textId="77777777" w:rsidR="007A7886" w:rsidRPr="007A7886" w:rsidRDefault="007A7886" w:rsidP="007A7886">
      <w:pPr>
        <w:pStyle w:val="Heading1"/>
        <w:jc w:val="center"/>
      </w:pPr>
      <w:r w:rsidRPr="007A7886">
        <w:t>North Sydney &amp; Hornsby Housing Affordability Report</w:t>
      </w:r>
    </w:p>
    <w:p w14:paraId="2DF75809" w14:textId="77777777" w:rsidR="007A7886" w:rsidRDefault="007A7886" w:rsidP="007A7886">
      <w:pPr>
        <w:rPr>
          <w:b/>
          <w:bCs/>
        </w:rPr>
      </w:pPr>
    </w:p>
    <w:p w14:paraId="3833742A" w14:textId="1426C244" w:rsidR="007A7886" w:rsidRPr="00094D86" w:rsidRDefault="007A7886" w:rsidP="00094D86">
      <w:pPr>
        <w:rPr>
          <w:sz w:val="28"/>
          <w:szCs w:val="28"/>
        </w:rPr>
      </w:pPr>
      <w:r w:rsidRPr="00094D86">
        <w:rPr>
          <w:sz w:val="28"/>
          <w:szCs w:val="28"/>
        </w:rPr>
        <w:t>Analysis period: 2022-Q1 to 2025-Q3</w:t>
      </w:r>
    </w:p>
    <w:p w14:paraId="28FC383D" w14:textId="77777777" w:rsidR="007A7886" w:rsidRPr="007A7886" w:rsidRDefault="007A7886" w:rsidP="007A7886">
      <w:pPr>
        <w:pStyle w:val="Heading3"/>
      </w:pPr>
      <w:r w:rsidRPr="007A7886">
        <w:t>Executive summary</w:t>
      </w:r>
    </w:p>
    <w:p w14:paraId="6F0652DA" w14:textId="77777777" w:rsidR="007A7886" w:rsidRDefault="007A7886" w:rsidP="007A7886">
      <w:r w:rsidRPr="007A7886">
        <w:t xml:space="preserve">North Sydney &amp; Hornsby is best understood as a </w:t>
      </w:r>
      <w:r w:rsidRPr="007A7886">
        <w:rPr>
          <w:b/>
          <w:bCs/>
        </w:rPr>
        <w:t>high-cost but internally segmented housing market</w:t>
      </w:r>
      <w:r w:rsidRPr="007A7886">
        <w:t xml:space="preserve">. By 2025-Q3, the region recorded a median sales price of about </w:t>
      </w:r>
      <w:r w:rsidRPr="007A7886">
        <w:rPr>
          <w:b/>
          <w:bCs/>
        </w:rPr>
        <w:t>$1.82 million</w:t>
      </w:r>
      <w:r w:rsidRPr="007A7886">
        <w:t xml:space="preserve">, median weekly rent of </w:t>
      </w:r>
      <w:r w:rsidRPr="007A7886">
        <w:rPr>
          <w:b/>
          <w:bCs/>
        </w:rPr>
        <w:t>$844</w:t>
      </w:r>
      <w:r w:rsidRPr="007A7886">
        <w:t xml:space="preserve">, a </w:t>
      </w:r>
      <w:r w:rsidRPr="007A7886">
        <w:rPr>
          <w:b/>
          <w:bCs/>
        </w:rPr>
        <w:t>12.9x Price-to-Income ratio</w:t>
      </w:r>
      <w:r w:rsidRPr="007A7886">
        <w:t xml:space="preserve">, and </w:t>
      </w:r>
      <w:r w:rsidRPr="007A7886">
        <w:rPr>
          <w:b/>
          <w:bCs/>
        </w:rPr>
        <w:t>30.9% rent burden</w:t>
      </w:r>
      <w:r w:rsidRPr="007A7886">
        <w:t>.</w:t>
      </w:r>
    </w:p>
    <w:p w14:paraId="612B8445" w14:textId="394A194E" w:rsidR="00DA29FC" w:rsidRDefault="00DA29FC" w:rsidP="007A7886">
      <w:r w:rsidRPr="00DA29FC">
        <w:drawing>
          <wp:inline distT="0" distB="0" distL="0" distR="0" wp14:anchorId="44240E21" wp14:editId="4B34AA7B">
            <wp:extent cx="5943600" cy="2830195"/>
            <wp:effectExtent l="0" t="0" r="0" b="8255"/>
            <wp:docPr id="1961000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00075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5516" w14:textId="20042052" w:rsidR="00DA29FC" w:rsidRPr="00DA29FC" w:rsidRDefault="00DA29FC" w:rsidP="007A7886">
      <w:pPr>
        <w:rPr>
          <w:i/>
          <w:iCs/>
          <w:sz w:val="20"/>
          <w:szCs w:val="20"/>
        </w:rPr>
      </w:pPr>
      <w:r w:rsidRPr="00DA29FC">
        <w:rPr>
          <w:i/>
          <w:iCs/>
          <w:sz w:val="20"/>
          <w:szCs w:val="20"/>
        </w:rPr>
        <w:t>The region Consistently sits in the dual pressure region with both weekly rent and sales price above median mark</w:t>
      </w:r>
    </w:p>
    <w:p w14:paraId="60A5551A" w14:textId="77777777" w:rsidR="007A7886" w:rsidRDefault="007A7886" w:rsidP="007A7886">
      <w:r w:rsidRPr="007A7886">
        <w:t xml:space="preserve">The main change since 2022 has not been a uniform escalation in purchase prices. Instead, </w:t>
      </w:r>
      <w:r w:rsidRPr="007A7886">
        <w:rPr>
          <w:b/>
          <w:bCs/>
        </w:rPr>
        <w:t>rents have repriced much more consistently than sales prices</w:t>
      </w:r>
      <w:r w:rsidRPr="007A7886">
        <w:t xml:space="preserve">, while purchase activity has remained resilient. Across a comparable Q3 postcode cohort, median rent growth was around </w:t>
      </w:r>
      <w:r w:rsidRPr="007A7886">
        <w:rPr>
          <w:b/>
          <w:bCs/>
        </w:rPr>
        <w:t>39%</w:t>
      </w:r>
      <w:r w:rsidRPr="007A7886">
        <w:t xml:space="preserve">, versus only about </w:t>
      </w:r>
      <w:r w:rsidRPr="007A7886">
        <w:rPr>
          <w:b/>
          <w:bCs/>
        </w:rPr>
        <w:t>6% median sales-price growth</w:t>
      </w:r>
      <w:r w:rsidRPr="007A7886">
        <w:t xml:space="preserve">. At the same time, sales transactions increased by roughly </w:t>
      </w:r>
      <w:r w:rsidRPr="007A7886">
        <w:rPr>
          <w:b/>
          <w:bCs/>
        </w:rPr>
        <w:t>22%</w:t>
      </w:r>
      <w:r w:rsidRPr="007A7886">
        <w:t>.</w:t>
      </w:r>
    </w:p>
    <w:p w14:paraId="350468BE" w14:textId="42D0EDC2" w:rsidR="007A7886" w:rsidRDefault="007A7886" w:rsidP="007A7886">
      <w:r w:rsidRPr="007A7886">
        <w:lastRenderedPageBreak/>
        <w:drawing>
          <wp:inline distT="0" distB="0" distL="0" distR="0" wp14:anchorId="643E0C95" wp14:editId="537BB6EB">
            <wp:extent cx="5943600" cy="2834005"/>
            <wp:effectExtent l="0" t="0" r="0" b="4445"/>
            <wp:docPr id="1450065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0652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B2197" w14:textId="4902479F" w:rsidR="007A7886" w:rsidRPr="007A7886" w:rsidRDefault="007A7886" w:rsidP="007A7886">
      <w:pPr>
        <w:rPr>
          <w:i/>
          <w:iCs/>
          <w:sz w:val="20"/>
          <w:szCs w:val="20"/>
        </w:rPr>
      </w:pPr>
      <w:r w:rsidRPr="007A7886">
        <w:rPr>
          <w:i/>
          <w:iCs/>
          <w:sz w:val="20"/>
          <w:szCs w:val="20"/>
        </w:rPr>
        <w:t xml:space="preserve"> A comparison b/w rent and sales price growth: North Sydney and Hornsby</w:t>
      </w:r>
    </w:p>
    <w:p w14:paraId="41BEB377" w14:textId="77777777" w:rsidR="007A7886" w:rsidRPr="007A7886" w:rsidRDefault="007A7886" w:rsidP="007A7886">
      <w:r w:rsidRPr="007A7886">
        <w:t xml:space="preserve">The result is a region where purchase affordability remains structurally poor, but the </w:t>
      </w:r>
      <w:r w:rsidRPr="007A7886">
        <w:rPr>
          <w:b/>
          <w:bCs/>
        </w:rPr>
        <w:t>incremental affordability deterioration since 2022 has increasingly come from renting</w:t>
      </w:r>
      <w:r w:rsidRPr="007A7886">
        <w:t>.</w:t>
      </w:r>
    </w:p>
    <w:p w14:paraId="4BF7C115" w14:textId="53EB38CA" w:rsidR="007A7886" w:rsidRPr="007A7886" w:rsidRDefault="007A7886" w:rsidP="007A7886"/>
    <w:p w14:paraId="7AB72F32" w14:textId="5078FB7A" w:rsidR="007A7886" w:rsidRPr="007A7886" w:rsidRDefault="007A7886" w:rsidP="007A7886">
      <w:pPr>
        <w:pStyle w:val="Heading3"/>
      </w:pPr>
      <w:r w:rsidRPr="007A7886">
        <w:t xml:space="preserve">Market </w:t>
      </w:r>
      <w:proofErr w:type="spellStart"/>
      <w:r w:rsidRPr="007A7886">
        <w:t>behaviour</w:t>
      </w:r>
      <w:proofErr w:type="spellEnd"/>
      <w:r w:rsidRPr="007A7886">
        <w:t>: stable rental base, lower turnover, stronger rents</w:t>
      </w:r>
    </w:p>
    <w:p w14:paraId="609A98EF" w14:textId="77777777" w:rsidR="007A7886" w:rsidRPr="007A7886" w:rsidRDefault="007A7886" w:rsidP="007A7886">
      <w:r w:rsidRPr="007A7886">
        <w:t>The rental market did not materially shrink. For the same 15 suburbs observed across Q3 periods: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577"/>
        <w:gridCol w:w="1063"/>
        <w:gridCol w:w="1063"/>
        <w:gridCol w:w="1031"/>
      </w:tblGrid>
      <w:tr w:rsidR="007A7886" w:rsidRPr="007A7886" w14:paraId="0B71F695" w14:textId="77777777" w:rsidTr="007A78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E9E7C3" w14:textId="77777777" w:rsidR="007A7886" w:rsidRPr="007A7886" w:rsidRDefault="007A7886" w:rsidP="007A7886">
            <w:pPr>
              <w:spacing w:after="160" w:line="278" w:lineRule="auto"/>
            </w:pPr>
            <w:r w:rsidRPr="007A7886">
              <w:t>Rental-market indicator</w:t>
            </w:r>
          </w:p>
        </w:tc>
        <w:tc>
          <w:tcPr>
            <w:tcW w:w="0" w:type="auto"/>
            <w:hideMark/>
          </w:tcPr>
          <w:p w14:paraId="196CDCA3" w14:textId="77777777" w:rsidR="007A7886" w:rsidRPr="007A7886" w:rsidRDefault="007A7886" w:rsidP="007A788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2022-Q3</w:t>
            </w:r>
          </w:p>
        </w:tc>
        <w:tc>
          <w:tcPr>
            <w:tcW w:w="0" w:type="auto"/>
            <w:hideMark/>
          </w:tcPr>
          <w:p w14:paraId="005926EB" w14:textId="77777777" w:rsidR="007A7886" w:rsidRPr="007A7886" w:rsidRDefault="007A7886" w:rsidP="007A788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2025-Q3</w:t>
            </w:r>
          </w:p>
        </w:tc>
        <w:tc>
          <w:tcPr>
            <w:tcW w:w="0" w:type="auto"/>
            <w:hideMark/>
          </w:tcPr>
          <w:p w14:paraId="7736C6B5" w14:textId="77777777" w:rsidR="007A7886" w:rsidRPr="007A7886" w:rsidRDefault="007A7886" w:rsidP="007A788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Change</w:t>
            </w:r>
          </w:p>
        </w:tc>
      </w:tr>
      <w:tr w:rsidR="007A7886" w:rsidRPr="007A7886" w14:paraId="2C59A03B" w14:textId="77777777" w:rsidTr="007A78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D787D" w14:textId="77777777" w:rsidR="007A7886" w:rsidRPr="007A7886" w:rsidRDefault="007A7886" w:rsidP="007A7886">
            <w:pPr>
              <w:spacing w:after="160" w:line="278" w:lineRule="auto"/>
            </w:pPr>
            <w:r w:rsidRPr="007A7886">
              <w:t>Overall rental bonds</w:t>
            </w:r>
          </w:p>
        </w:tc>
        <w:tc>
          <w:tcPr>
            <w:tcW w:w="0" w:type="auto"/>
            <w:hideMark/>
          </w:tcPr>
          <w:p w14:paraId="55D41C64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45,294</w:t>
            </w:r>
          </w:p>
        </w:tc>
        <w:tc>
          <w:tcPr>
            <w:tcW w:w="0" w:type="auto"/>
            <w:hideMark/>
          </w:tcPr>
          <w:p w14:paraId="4551FF05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45,013</w:t>
            </w:r>
          </w:p>
        </w:tc>
        <w:tc>
          <w:tcPr>
            <w:tcW w:w="0" w:type="auto"/>
            <w:hideMark/>
          </w:tcPr>
          <w:p w14:paraId="75B142B9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rPr>
                <w:b/>
                <w:bCs/>
              </w:rPr>
              <w:t>-0.6%</w:t>
            </w:r>
          </w:p>
        </w:tc>
      </w:tr>
      <w:tr w:rsidR="007A7886" w:rsidRPr="007A7886" w14:paraId="06E41889" w14:textId="77777777" w:rsidTr="007A78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64B601" w14:textId="77777777" w:rsidR="007A7886" w:rsidRPr="007A7886" w:rsidRDefault="007A7886" w:rsidP="007A7886">
            <w:pPr>
              <w:spacing w:after="160" w:line="278" w:lineRule="auto"/>
            </w:pPr>
            <w:r w:rsidRPr="007A7886">
              <w:t>New bonds</w:t>
            </w:r>
          </w:p>
        </w:tc>
        <w:tc>
          <w:tcPr>
            <w:tcW w:w="0" w:type="auto"/>
            <w:hideMark/>
          </w:tcPr>
          <w:p w14:paraId="03A6EB2E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4,657</w:t>
            </w:r>
          </w:p>
        </w:tc>
        <w:tc>
          <w:tcPr>
            <w:tcW w:w="0" w:type="auto"/>
            <w:hideMark/>
          </w:tcPr>
          <w:p w14:paraId="3598FAA2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3,868</w:t>
            </w:r>
          </w:p>
        </w:tc>
        <w:tc>
          <w:tcPr>
            <w:tcW w:w="0" w:type="auto"/>
            <w:hideMark/>
          </w:tcPr>
          <w:p w14:paraId="48D3F829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rPr>
                <w:b/>
                <w:bCs/>
              </w:rPr>
              <w:t>-16.9%</w:t>
            </w:r>
          </w:p>
        </w:tc>
      </w:tr>
      <w:tr w:rsidR="007A7886" w:rsidRPr="007A7886" w14:paraId="26DBC0B3" w14:textId="77777777" w:rsidTr="007A78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8DF8DD" w14:textId="77777777" w:rsidR="007A7886" w:rsidRPr="007A7886" w:rsidRDefault="007A7886" w:rsidP="007A7886">
            <w:pPr>
              <w:spacing w:after="160" w:line="278" w:lineRule="auto"/>
            </w:pPr>
            <w:r w:rsidRPr="007A7886">
              <w:t>Weighted turnover</w:t>
            </w:r>
          </w:p>
        </w:tc>
        <w:tc>
          <w:tcPr>
            <w:tcW w:w="0" w:type="auto"/>
            <w:hideMark/>
          </w:tcPr>
          <w:p w14:paraId="1C911FDD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10.28%</w:t>
            </w:r>
          </w:p>
        </w:tc>
        <w:tc>
          <w:tcPr>
            <w:tcW w:w="0" w:type="auto"/>
            <w:hideMark/>
          </w:tcPr>
          <w:p w14:paraId="06801238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8.59%</w:t>
            </w:r>
          </w:p>
        </w:tc>
        <w:tc>
          <w:tcPr>
            <w:tcW w:w="0" w:type="auto"/>
            <w:hideMark/>
          </w:tcPr>
          <w:p w14:paraId="7A4792E8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rPr>
                <w:b/>
                <w:bCs/>
              </w:rPr>
              <w:t>-1.69 pp</w:t>
            </w:r>
          </w:p>
        </w:tc>
      </w:tr>
    </w:tbl>
    <w:p w14:paraId="16571B8C" w14:textId="77777777" w:rsidR="007A7886" w:rsidRDefault="007A7886" w:rsidP="007A7886"/>
    <w:p w14:paraId="577C5497" w14:textId="2A22DBCD" w:rsidR="007A7886" w:rsidRPr="007A7886" w:rsidRDefault="007A7886" w:rsidP="007A7886">
      <w:r w:rsidRPr="007A7886">
        <w:t xml:space="preserve">Therefore, the strongest interpretation is </w:t>
      </w:r>
      <w:r w:rsidRPr="007A7886">
        <w:rPr>
          <w:b/>
          <w:bCs/>
        </w:rPr>
        <w:t>lower rental mobility/turnover rather than a shrinking rental base</w:t>
      </w:r>
      <w:r w:rsidRPr="007A7886">
        <w:t>. There is some Q1–Q3 seasonality in turnover, but the Q3-to-Q3 comparison confirms that the longer-run reduction is not simply seasonal.</w:t>
      </w:r>
    </w:p>
    <w:p w14:paraId="57C5FC39" w14:textId="77777777" w:rsidR="007A7886" w:rsidRPr="007A7886" w:rsidRDefault="007A7886" w:rsidP="007A7886">
      <w:r w:rsidRPr="007A7886">
        <w:t xml:space="preserve">In contrast, purchase activity strengthened. Across comparable Q3 suburbs, total sales rose from roughly </w:t>
      </w:r>
      <w:r w:rsidRPr="007A7886">
        <w:rPr>
          <w:b/>
          <w:bCs/>
        </w:rPr>
        <w:t>1,499 to 1,827 (+22%)</w:t>
      </w:r>
      <w:r w:rsidRPr="007A7886">
        <w:t>. High purchase costs therefore did not prevent transaction activity from recovering.</w:t>
      </w:r>
    </w:p>
    <w:p w14:paraId="6169E89A" w14:textId="77777777" w:rsidR="007A7886" w:rsidRPr="007A7886" w:rsidRDefault="007A7886" w:rsidP="007A7886">
      <w:r w:rsidRPr="007A7886">
        <w:t>This creates an important regional pattern:</w:t>
      </w:r>
    </w:p>
    <w:p w14:paraId="370D4A3E" w14:textId="77777777" w:rsidR="007A7886" w:rsidRDefault="007A7886" w:rsidP="007A7886">
      <w:pPr>
        <w:rPr>
          <w:b/>
          <w:bCs/>
        </w:rPr>
      </w:pPr>
      <w:r w:rsidRPr="007A7886">
        <w:rPr>
          <w:b/>
          <w:bCs/>
        </w:rPr>
        <w:t>The ownership market remained active, while rents rose strongly within a broadly stable rental-bond base but with fewer new leases relative to that base.</w:t>
      </w:r>
    </w:p>
    <w:p w14:paraId="5A16E6D1" w14:textId="5D945624" w:rsidR="00DA29FC" w:rsidRDefault="00DA29FC" w:rsidP="007A7886">
      <w:r w:rsidRPr="00DA29FC">
        <w:lastRenderedPageBreak/>
        <w:drawing>
          <wp:inline distT="0" distB="0" distL="0" distR="0" wp14:anchorId="1EB98B9B" wp14:editId="4F2D7BB2">
            <wp:extent cx="5302523" cy="4134062"/>
            <wp:effectExtent l="0" t="0" r="0" b="0"/>
            <wp:docPr id="448587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5878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2523" cy="413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2ABEE" w14:textId="4D86E31B" w:rsidR="00DA29FC" w:rsidRPr="00DA29FC" w:rsidRDefault="00DA29FC" w:rsidP="007A7886">
      <w:pPr>
        <w:rPr>
          <w:i/>
          <w:iCs/>
          <w:sz w:val="20"/>
          <w:szCs w:val="20"/>
        </w:rPr>
      </w:pPr>
      <w:r w:rsidRPr="00DA29FC">
        <w:rPr>
          <w:i/>
          <w:iCs/>
          <w:sz w:val="20"/>
          <w:szCs w:val="20"/>
        </w:rPr>
        <w:t>North Sydney Hornsby Suburb Patterns</w:t>
      </w:r>
    </w:p>
    <w:p w14:paraId="13E5EE63" w14:textId="01EE7D4C" w:rsidR="007A7886" w:rsidRPr="007A7886" w:rsidRDefault="007A7886" w:rsidP="007A7886"/>
    <w:p w14:paraId="76F718D7" w14:textId="0EE3428E" w:rsidR="007A7886" w:rsidRPr="007A7886" w:rsidRDefault="007A7886" w:rsidP="007A7886">
      <w:pPr>
        <w:pStyle w:val="Heading3"/>
      </w:pPr>
      <w:r w:rsidRPr="007A7886">
        <w:t>Affordability shifted increasingly toward the rental side</w:t>
      </w:r>
    </w:p>
    <w:p w14:paraId="0080D7E3" w14:textId="77777777" w:rsidR="007A7886" w:rsidRPr="007A7886" w:rsidRDefault="007A7886" w:rsidP="007A7886">
      <w:r w:rsidRPr="007A7886">
        <w:t xml:space="preserve">Among comparable suburbs, median rent burden increased from roughly </w:t>
      </w:r>
      <w:r w:rsidRPr="007A7886">
        <w:rPr>
          <w:b/>
          <w:bCs/>
        </w:rPr>
        <w:t>23% in 2022-Q2 to 31% by 2025-Q3</w:t>
      </w:r>
      <w:r w:rsidRPr="007A7886">
        <w:t xml:space="preserve">, while Rent-v-CPI moved from approximately </w:t>
      </w:r>
      <w:r w:rsidRPr="007A7886">
        <w:rPr>
          <w:b/>
          <w:bCs/>
        </w:rPr>
        <w:t>+1% to +18%</w:t>
      </w:r>
      <w:r w:rsidRPr="007A7886">
        <w:t>.</w:t>
      </w:r>
    </w:p>
    <w:p w14:paraId="69E6C29B" w14:textId="77777777" w:rsidR="007A7886" w:rsidRPr="007A7886" w:rsidRDefault="007A7886" w:rsidP="007A7886">
      <w:r w:rsidRPr="007A7886">
        <w:t>Price-to-Income ratios remained high but were much less uniformly directional. Some suburbs experienced rising prices, others stagnation, and others large movements caused partly by transaction/property mix.</w:t>
      </w:r>
    </w:p>
    <w:p w14:paraId="54C4956A" w14:textId="77777777" w:rsidR="007A7886" w:rsidRDefault="007A7886" w:rsidP="007A7886">
      <w:r w:rsidRPr="007A7886">
        <w:t xml:space="preserve">This is reflected in the change in affordability classifications. In 2022, the sample was dominated by </w:t>
      </w:r>
      <w:r w:rsidRPr="007A7886">
        <w:rPr>
          <w:b/>
          <w:bCs/>
        </w:rPr>
        <w:t>purchase-led or moderate-purchase-pressure markets</w:t>
      </w:r>
      <w:r w:rsidRPr="007A7886">
        <w:t xml:space="preserve">. By 2025-Q3, the geography had shifted toward a mixture of </w:t>
      </w:r>
      <w:r w:rsidRPr="007A7886">
        <w:rPr>
          <w:b/>
          <w:bCs/>
        </w:rPr>
        <w:t>rent-led, combined-pressure and persistent purchase-led markets</w:t>
      </w:r>
      <w:r w:rsidRPr="007A7886">
        <w:t>.</w:t>
      </w:r>
    </w:p>
    <w:p w14:paraId="3E1F7AEC" w14:textId="489747C8" w:rsidR="00DA29FC" w:rsidRDefault="00DA29FC" w:rsidP="007A7886">
      <w:r w:rsidRPr="00DA29FC">
        <w:lastRenderedPageBreak/>
        <w:drawing>
          <wp:inline distT="0" distB="0" distL="0" distR="0" wp14:anchorId="6EA9AD4D" wp14:editId="7E6A6784">
            <wp:extent cx="3645087" cy="3721291"/>
            <wp:effectExtent l="0" t="0" r="0" b="0"/>
            <wp:docPr id="1284279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2791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5087" cy="3721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E81CE" w14:textId="2201A8D4" w:rsidR="00DA29FC" w:rsidRPr="00DA29FC" w:rsidRDefault="00DA29FC" w:rsidP="007A7886">
      <w:pPr>
        <w:rPr>
          <w:i/>
          <w:iCs/>
          <w:sz w:val="20"/>
          <w:szCs w:val="20"/>
        </w:rPr>
      </w:pPr>
      <w:r w:rsidRPr="00DA29FC">
        <w:rPr>
          <w:i/>
          <w:iCs/>
          <w:sz w:val="20"/>
          <w:szCs w:val="20"/>
        </w:rPr>
        <w:t>Pressure Drivers in different suburbs at 2025-Q3: North Sydney and Hornsby</w:t>
      </w:r>
    </w:p>
    <w:p w14:paraId="5AECF53C" w14:textId="4793464C" w:rsidR="00DA29FC" w:rsidRPr="007A7886" w:rsidRDefault="007A7886" w:rsidP="007A7886">
      <w:r w:rsidRPr="007A7886">
        <w:t xml:space="preserve">The region therefore does </w:t>
      </w:r>
      <w:r w:rsidRPr="007A7886">
        <w:rPr>
          <w:b/>
          <w:bCs/>
        </w:rPr>
        <w:t>not</w:t>
      </w:r>
      <w:r w:rsidRPr="007A7886">
        <w:t xml:space="preserve"> have one affordability problem. It contains several distinct regimes.</w:t>
      </w:r>
    </w:p>
    <w:p w14:paraId="17DA2252" w14:textId="6760AC4F" w:rsidR="007A7886" w:rsidRPr="007A7886" w:rsidRDefault="007A7886" w:rsidP="007A7886">
      <w:pPr>
        <w:pStyle w:val="Heading3"/>
      </w:pPr>
      <w:r w:rsidRPr="007A7886">
        <w:t>Spatial affordability structure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124"/>
        <w:gridCol w:w="2615"/>
        <w:gridCol w:w="2126"/>
        <w:gridCol w:w="3925"/>
      </w:tblGrid>
      <w:tr w:rsidR="007A7886" w:rsidRPr="007A7886" w14:paraId="1F44EDB3" w14:textId="77777777" w:rsidTr="007A78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635F49" w14:textId="77777777" w:rsidR="007A7886" w:rsidRPr="007A7886" w:rsidRDefault="007A7886" w:rsidP="007A7886">
            <w:pPr>
              <w:spacing w:after="160" w:line="278" w:lineRule="auto"/>
            </w:pPr>
            <w:r w:rsidRPr="007A7886">
              <w:t>Market type</w:t>
            </w:r>
          </w:p>
        </w:tc>
        <w:tc>
          <w:tcPr>
            <w:tcW w:w="0" w:type="auto"/>
            <w:hideMark/>
          </w:tcPr>
          <w:p w14:paraId="4D4B2F89" w14:textId="77777777" w:rsidR="007A7886" w:rsidRPr="007A7886" w:rsidRDefault="007A7886" w:rsidP="007A788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Key suburbs</w:t>
            </w:r>
          </w:p>
        </w:tc>
        <w:tc>
          <w:tcPr>
            <w:tcW w:w="0" w:type="auto"/>
            <w:hideMark/>
          </w:tcPr>
          <w:p w14:paraId="586B8790" w14:textId="77777777" w:rsidR="007A7886" w:rsidRPr="007A7886" w:rsidRDefault="007A7886" w:rsidP="007A788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2025-Q3 profile</w:t>
            </w:r>
          </w:p>
        </w:tc>
        <w:tc>
          <w:tcPr>
            <w:tcW w:w="0" w:type="auto"/>
            <w:hideMark/>
          </w:tcPr>
          <w:p w14:paraId="303C95A0" w14:textId="77777777" w:rsidR="007A7886" w:rsidRPr="007A7886" w:rsidRDefault="007A7886" w:rsidP="007A788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Interpretation</w:t>
            </w:r>
          </w:p>
        </w:tc>
      </w:tr>
      <w:tr w:rsidR="007A7886" w:rsidRPr="007A7886" w14:paraId="3C3AC7C0" w14:textId="77777777" w:rsidTr="007A78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5FA5F3" w14:textId="77777777" w:rsidR="007A7886" w:rsidRPr="007A7886" w:rsidRDefault="007A7886" w:rsidP="007A7886">
            <w:pPr>
              <w:spacing w:after="160" w:line="278" w:lineRule="auto"/>
            </w:pPr>
            <w:r w:rsidRPr="007A7886">
              <w:t>Lower North Shore rent-led / apartment belt</w:t>
            </w:r>
          </w:p>
        </w:tc>
        <w:tc>
          <w:tcPr>
            <w:tcW w:w="0" w:type="auto"/>
            <w:hideMark/>
          </w:tcPr>
          <w:p w14:paraId="1A6E1E6A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Artarmon, Greenwich, Kirribilli, Lavender Bay; Chatswood as proxy</w:t>
            </w:r>
          </w:p>
        </w:tc>
        <w:tc>
          <w:tcPr>
            <w:tcW w:w="0" w:type="auto"/>
            <w:hideMark/>
          </w:tcPr>
          <w:p w14:paraId="0D9198C2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P/I generally moderate; rents rising strongly</w:t>
            </w:r>
          </w:p>
        </w:tc>
        <w:tc>
          <w:tcPr>
            <w:tcW w:w="0" w:type="auto"/>
            <w:hideMark/>
          </w:tcPr>
          <w:p w14:paraId="259E128F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Large apartment/rental markets where rental deterioration has outpaced purchase pressure</w:t>
            </w:r>
          </w:p>
        </w:tc>
      </w:tr>
      <w:tr w:rsidR="007A7886" w:rsidRPr="007A7886" w14:paraId="4DA57F8D" w14:textId="77777777" w:rsidTr="007A78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0DD563" w14:textId="77777777" w:rsidR="007A7886" w:rsidRPr="007A7886" w:rsidRDefault="007A7886" w:rsidP="007A7886">
            <w:pPr>
              <w:spacing w:after="160" w:line="278" w:lineRule="auto"/>
            </w:pPr>
            <w:r w:rsidRPr="007A7886">
              <w:t>Prestige purchase-led belt</w:t>
            </w:r>
          </w:p>
        </w:tc>
        <w:tc>
          <w:tcPr>
            <w:tcW w:w="0" w:type="auto"/>
            <w:hideMark/>
          </w:tcPr>
          <w:p w14:paraId="4BBFF920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Mosman, Castlecrag, Castle Cove, East Killara</w:t>
            </w:r>
          </w:p>
        </w:tc>
        <w:tc>
          <w:tcPr>
            <w:tcW w:w="0" w:type="auto"/>
            <w:hideMark/>
          </w:tcPr>
          <w:p w14:paraId="1EC52961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 xml:space="preserve">Median P/I </w:t>
            </w:r>
            <w:r w:rsidRPr="007A7886">
              <w:rPr>
                <w:b/>
                <w:bCs/>
              </w:rPr>
              <w:t>~15.5x</w:t>
            </w:r>
            <w:r w:rsidRPr="007A7886">
              <w:t xml:space="preserve">, burden </w:t>
            </w:r>
            <w:r w:rsidRPr="007A7886">
              <w:rPr>
                <w:b/>
                <w:bCs/>
              </w:rPr>
              <w:t>~28.6%</w:t>
            </w:r>
          </w:p>
        </w:tc>
        <w:tc>
          <w:tcPr>
            <w:tcW w:w="0" w:type="auto"/>
            <w:hideMark/>
          </w:tcPr>
          <w:p w14:paraId="0CD11F2B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Property values remain extremely high even where recent price growth is modest</w:t>
            </w:r>
          </w:p>
        </w:tc>
      </w:tr>
      <w:tr w:rsidR="007A7886" w:rsidRPr="007A7886" w14:paraId="56F57DDD" w14:textId="77777777" w:rsidTr="007A78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1B1046" w14:textId="77777777" w:rsidR="007A7886" w:rsidRPr="007A7886" w:rsidRDefault="007A7886" w:rsidP="007A7886">
            <w:pPr>
              <w:spacing w:after="160" w:line="278" w:lineRule="auto"/>
            </w:pPr>
            <w:r w:rsidRPr="007A7886">
              <w:t>Upper North Shore combined-pressure belt</w:t>
            </w:r>
          </w:p>
        </w:tc>
        <w:tc>
          <w:tcPr>
            <w:tcW w:w="0" w:type="auto"/>
            <w:hideMark/>
          </w:tcPr>
          <w:p w14:paraId="664C3547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 xml:space="preserve">St Ives, </w:t>
            </w:r>
            <w:proofErr w:type="spellStart"/>
            <w:r w:rsidRPr="007A7886">
              <w:t>Pymble</w:t>
            </w:r>
            <w:proofErr w:type="spellEnd"/>
            <w:r w:rsidRPr="007A7886">
              <w:t xml:space="preserve">, East Lindfield, </w:t>
            </w:r>
            <w:proofErr w:type="spellStart"/>
            <w:r w:rsidRPr="007A7886">
              <w:t>Normanhurst</w:t>
            </w:r>
            <w:proofErr w:type="spellEnd"/>
          </w:p>
        </w:tc>
        <w:tc>
          <w:tcPr>
            <w:tcW w:w="0" w:type="auto"/>
            <w:hideMark/>
          </w:tcPr>
          <w:p w14:paraId="14A4DB8F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 xml:space="preserve">Median P/I </w:t>
            </w:r>
            <w:r w:rsidRPr="007A7886">
              <w:rPr>
                <w:b/>
                <w:bCs/>
              </w:rPr>
              <w:t>~15.6x</w:t>
            </w:r>
            <w:r w:rsidRPr="007A7886">
              <w:t xml:space="preserve">, burden </w:t>
            </w:r>
            <w:r w:rsidRPr="007A7886">
              <w:rPr>
                <w:b/>
                <w:bCs/>
              </w:rPr>
              <w:t>~33%</w:t>
            </w:r>
            <w:r w:rsidRPr="007A7886">
              <w:t xml:space="preserve">, Rent-v-CPI </w:t>
            </w:r>
            <w:r w:rsidRPr="007A7886">
              <w:rPr>
                <w:b/>
                <w:bCs/>
              </w:rPr>
              <w:t>~+31.6%</w:t>
            </w:r>
          </w:p>
        </w:tc>
        <w:tc>
          <w:tcPr>
            <w:tcW w:w="0" w:type="auto"/>
            <w:hideMark/>
          </w:tcPr>
          <w:p w14:paraId="1387AC9B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Buying was already expensive; rents subsequently deteriorated enough to create pressure in both tenures</w:t>
            </w:r>
          </w:p>
        </w:tc>
      </w:tr>
      <w:tr w:rsidR="007A7886" w:rsidRPr="007A7886" w14:paraId="52EA8B03" w14:textId="77777777" w:rsidTr="007A78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EA7309" w14:textId="77777777" w:rsidR="007A7886" w:rsidRPr="007A7886" w:rsidRDefault="007A7886" w:rsidP="007A7886">
            <w:pPr>
              <w:spacing w:after="160" w:line="278" w:lineRule="auto"/>
            </w:pPr>
            <w:r w:rsidRPr="007A7886">
              <w:t>Northern affordability release</w:t>
            </w:r>
          </w:p>
        </w:tc>
        <w:tc>
          <w:tcPr>
            <w:tcW w:w="0" w:type="auto"/>
            <w:hideMark/>
          </w:tcPr>
          <w:p w14:paraId="174BDB64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Asquith</w:t>
            </w:r>
          </w:p>
        </w:tc>
        <w:tc>
          <w:tcPr>
            <w:tcW w:w="0" w:type="auto"/>
            <w:hideMark/>
          </w:tcPr>
          <w:p w14:paraId="542C4ADE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 xml:space="preserve">P/I </w:t>
            </w:r>
            <w:r w:rsidRPr="007A7886">
              <w:rPr>
                <w:b/>
                <w:bCs/>
              </w:rPr>
              <w:t>7.0x</w:t>
            </w:r>
            <w:r w:rsidRPr="007A7886">
              <w:t xml:space="preserve">, burden </w:t>
            </w:r>
            <w:r w:rsidRPr="007A7886">
              <w:rPr>
                <w:b/>
                <w:bCs/>
              </w:rPr>
              <w:t>32.7%</w:t>
            </w:r>
            <w:r w:rsidRPr="007A7886">
              <w:t xml:space="preserve">, Rent-v-CPI </w:t>
            </w:r>
            <w:r w:rsidRPr="007A7886">
              <w:rPr>
                <w:b/>
                <w:bCs/>
              </w:rPr>
              <w:t>+23.6%</w:t>
            </w:r>
          </w:p>
        </w:tc>
        <w:tc>
          <w:tcPr>
            <w:tcW w:w="0" w:type="auto"/>
            <w:hideMark/>
          </w:tcPr>
          <w:p w14:paraId="424101B0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Purchase affordability improves sharply, but rental pressure remains</w:t>
            </w:r>
          </w:p>
        </w:tc>
      </w:tr>
      <w:tr w:rsidR="007A7886" w:rsidRPr="007A7886" w14:paraId="02CEA6EE" w14:textId="77777777" w:rsidTr="007A78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E3D646" w14:textId="77777777" w:rsidR="007A7886" w:rsidRPr="007A7886" w:rsidRDefault="007A7886" w:rsidP="007A7886">
            <w:pPr>
              <w:spacing w:after="160" w:line="278" w:lineRule="auto"/>
            </w:pPr>
            <w:r w:rsidRPr="007A7886">
              <w:t>Transition market</w:t>
            </w:r>
          </w:p>
        </w:tc>
        <w:tc>
          <w:tcPr>
            <w:tcW w:w="0" w:type="auto"/>
            <w:hideMark/>
          </w:tcPr>
          <w:p w14:paraId="619FE949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Lane Cove North</w:t>
            </w:r>
          </w:p>
        </w:tc>
        <w:tc>
          <w:tcPr>
            <w:tcW w:w="0" w:type="auto"/>
            <w:hideMark/>
          </w:tcPr>
          <w:p w14:paraId="4EC575A7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 xml:space="preserve">P/I </w:t>
            </w:r>
            <w:r w:rsidRPr="007A7886">
              <w:rPr>
                <w:b/>
                <w:bCs/>
              </w:rPr>
              <w:t>8.3x</w:t>
            </w:r>
            <w:r w:rsidRPr="007A7886">
              <w:t xml:space="preserve">, burden </w:t>
            </w:r>
            <w:r w:rsidRPr="007A7886">
              <w:rPr>
                <w:b/>
                <w:bCs/>
              </w:rPr>
              <w:t>27.2%</w:t>
            </w:r>
          </w:p>
        </w:tc>
        <w:tc>
          <w:tcPr>
            <w:tcW w:w="0" w:type="auto"/>
            <w:hideMark/>
          </w:tcPr>
          <w:p w14:paraId="083F633C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 xml:space="preserve">Relatively balanced bridge between apartment-oriented Lower North </w:t>
            </w:r>
            <w:r w:rsidRPr="007A7886">
              <w:lastRenderedPageBreak/>
              <w:t>Shore and higher-pressure northern markets</w:t>
            </w:r>
          </w:p>
        </w:tc>
      </w:tr>
    </w:tbl>
    <w:p w14:paraId="0B2A1CB2" w14:textId="77777777" w:rsidR="007A7886" w:rsidRDefault="007A7886" w:rsidP="007A7886">
      <w:pPr>
        <w:rPr>
          <w:b/>
          <w:bCs/>
        </w:rPr>
      </w:pPr>
    </w:p>
    <w:p w14:paraId="2AC6E0AA" w14:textId="690BAFF5" w:rsidR="00DA29FC" w:rsidRDefault="00DA29FC" w:rsidP="007A7886">
      <w:pPr>
        <w:rPr>
          <w:b/>
          <w:bCs/>
        </w:rPr>
      </w:pPr>
      <w:r w:rsidRPr="00DA29FC">
        <w:rPr>
          <w:b/>
          <w:bCs/>
        </w:rPr>
        <w:drawing>
          <wp:inline distT="0" distB="0" distL="0" distR="0" wp14:anchorId="006A2665" wp14:editId="201CACAD">
            <wp:extent cx="5943600" cy="1395095"/>
            <wp:effectExtent l="0" t="0" r="0" b="0"/>
            <wp:docPr id="2132737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7371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C89DF" w14:textId="77FC9AE3" w:rsidR="00745C81" w:rsidRPr="00D156B9" w:rsidRDefault="00745C81" w:rsidP="00D156B9">
      <w:pPr>
        <w:spacing w:line="240" w:lineRule="auto"/>
        <w:rPr>
          <w:rStyle w:val="Strong"/>
          <w:b w:val="0"/>
          <w:bCs w:val="0"/>
          <w:i/>
          <w:iCs/>
          <w:sz w:val="20"/>
          <w:szCs w:val="20"/>
        </w:rPr>
      </w:pPr>
      <w:r w:rsidRPr="00745C81">
        <w:rPr>
          <w:i/>
          <w:iCs/>
          <w:sz w:val="20"/>
          <w:szCs w:val="20"/>
        </w:rPr>
        <w:t>Dual maps showcasing rent and purchase pressure in different suburbs by 2025-Q3</w:t>
      </w:r>
    </w:p>
    <w:p w14:paraId="4CE6996E" w14:textId="1B1E8978" w:rsidR="007A7886" w:rsidRPr="007A7886" w:rsidRDefault="007A7886" w:rsidP="007A7886">
      <w:pPr>
        <w:rPr>
          <w:rStyle w:val="Strong"/>
          <w:sz w:val="26"/>
          <w:szCs w:val="26"/>
        </w:rPr>
      </w:pPr>
      <w:r w:rsidRPr="007A7886">
        <w:rPr>
          <w:rStyle w:val="Strong"/>
          <w:sz w:val="26"/>
          <w:szCs w:val="26"/>
        </w:rPr>
        <w:t>Lower North Shore: rent-led rather than purchase-led</w:t>
      </w:r>
    </w:p>
    <w:p w14:paraId="4598E7CE" w14:textId="77777777" w:rsidR="007A7886" w:rsidRPr="007A7886" w:rsidRDefault="007A7886" w:rsidP="007A7886">
      <w:r w:rsidRPr="007A7886">
        <w:t xml:space="preserve">Apartment-oriented markets provide substantially </w:t>
      </w:r>
      <w:proofErr w:type="gramStart"/>
      <w:r w:rsidRPr="007A7886">
        <w:t>more smaller</w:t>
      </w:r>
      <w:proofErr w:type="gramEnd"/>
      <w:r w:rsidRPr="007A7886">
        <w:t xml:space="preserve">-dwelling capacity. ABS data show flats/apartments account for </w:t>
      </w:r>
      <w:r w:rsidRPr="007A7886">
        <w:rPr>
          <w:b/>
          <w:bCs/>
        </w:rPr>
        <w:t>86.8% of Kirribilli, 68.4% of Artarmon, 70.8% of Lane Cove North and 67.6% of Chatswood</w:t>
      </w:r>
      <w:r w:rsidRPr="007A7886">
        <w:t>. (</w:t>
      </w:r>
      <w:hyperlink r:id="rId12" w:tooltip="2021 Kirribilli, Census All persons QuickStats | Australian Bureau of Statistics" w:history="1">
        <w:r w:rsidRPr="007A7886">
          <w:rPr>
            <w:rStyle w:val="Hyperlink"/>
          </w:rPr>
          <w:t>Australian Bureau of Statistics</w:t>
        </w:r>
      </w:hyperlink>
      <w:r w:rsidRPr="007A7886">
        <w:t>)</w:t>
      </w:r>
    </w:p>
    <w:p w14:paraId="1601A853" w14:textId="77777777" w:rsidR="007A7886" w:rsidRPr="007A7886" w:rsidRDefault="007A7886" w:rsidP="007A7886">
      <w:r w:rsidRPr="007A7886">
        <w:t xml:space="preserve">This helps explain why purchase affordability is generally less extreme than in detached-house-dominated markets, but it has </w:t>
      </w:r>
      <w:r w:rsidRPr="007A7886">
        <w:rPr>
          <w:b/>
          <w:bCs/>
        </w:rPr>
        <w:t>not prevented rapid rental repricing</w:t>
      </w:r>
      <w:r w:rsidRPr="007A7886">
        <w:t>.</w:t>
      </w:r>
    </w:p>
    <w:p w14:paraId="58A32D80" w14:textId="77777777" w:rsidR="007A7886" w:rsidRPr="007A7886" w:rsidRDefault="007A7886" w:rsidP="007A7886">
      <w:r w:rsidRPr="007A7886">
        <w:t xml:space="preserve">Lane Cove North illustrates the softer transition: sales activity increased from </w:t>
      </w:r>
      <w:r w:rsidRPr="007A7886">
        <w:rPr>
          <w:b/>
          <w:bCs/>
        </w:rPr>
        <w:t>175 to 234</w:t>
      </w:r>
      <w:r w:rsidRPr="007A7886">
        <w:t xml:space="preserve">, sales-price growth reached </w:t>
      </w:r>
      <w:r w:rsidRPr="007A7886">
        <w:rPr>
          <w:b/>
          <w:bCs/>
        </w:rPr>
        <w:t>+25.4%</w:t>
      </w:r>
      <w:r w:rsidRPr="007A7886">
        <w:t xml:space="preserve">, and rent growth </w:t>
      </w:r>
      <w:r w:rsidRPr="007A7886">
        <w:rPr>
          <w:b/>
          <w:bCs/>
        </w:rPr>
        <w:t>+36.4%</w:t>
      </w:r>
      <w:r w:rsidRPr="007A7886">
        <w:t xml:space="preserve">, yet P/I remained only </w:t>
      </w:r>
      <w:r w:rsidRPr="007A7886">
        <w:rPr>
          <w:b/>
          <w:bCs/>
        </w:rPr>
        <w:t>8.3x</w:t>
      </w:r>
      <w:r w:rsidRPr="007A7886">
        <w:t>.</w:t>
      </w:r>
    </w:p>
    <w:p w14:paraId="07156DEE" w14:textId="77777777" w:rsidR="007A7886" w:rsidRDefault="007A7886" w:rsidP="007A7886">
      <w:r w:rsidRPr="007A7886">
        <w:t xml:space="preserve">Chatswood is more strongly rent-led. Using the project's </w:t>
      </w:r>
      <w:r w:rsidRPr="007A7886">
        <w:rPr>
          <w:b/>
          <w:bCs/>
        </w:rPr>
        <w:t>Chatswood West series as the proxy for Chatswood</w:t>
      </w:r>
      <w:r w:rsidRPr="007A7886">
        <w:t xml:space="preserve">, rent growth reaches </w:t>
      </w:r>
      <w:r w:rsidRPr="007A7886">
        <w:rPr>
          <w:b/>
          <w:bCs/>
        </w:rPr>
        <w:t>+47.3%</w:t>
      </w:r>
      <w:r w:rsidRPr="007A7886">
        <w:t xml:space="preserve">, burden </w:t>
      </w:r>
      <w:r w:rsidRPr="007A7886">
        <w:rPr>
          <w:b/>
          <w:bCs/>
        </w:rPr>
        <w:t>37.1%</w:t>
      </w:r>
      <w:r w:rsidRPr="007A7886">
        <w:t xml:space="preserve">, and P/I </w:t>
      </w:r>
      <w:r w:rsidRPr="007A7886">
        <w:rPr>
          <w:b/>
          <w:bCs/>
        </w:rPr>
        <w:t>11.0x</w:t>
      </w:r>
      <w:r w:rsidRPr="007A7886">
        <w:t xml:space="preserve">, while the rental base remains large at </w:t>
      </w:r>
      <w:r w:rsidRPr="007A7886">
        <w:rPr>
          <w:b/>
          <w:bCs/>
        </w:rPr>
        <w:t>5,224 bonds</w:t>
      </w:r>
      <w:r w:rsidRPr="007A7886">
        <w:t>. The negative sales-growth series should be treated cautiously because earlier observations show substantial price-mix volatility.</w:t>
      </w:r>
    </w:p>
    <w:p w14:paraId="6BB7CF7C" w14:textId="6637A372" w:rsidR="00745C81" w:rsidRDefault="00745C81" w:rsidP="00745C81">
      <w:pPr>
        <w:jc w:val="center"/>
      </w:pPr>
      <w:r w:rsidRPr="00745C81">
        <w:lastRenderedPageBreak/>
        <w:drawing>
          <wp:inline distT="0" distB="0" distL="0" distR="0" wp14:anchorId="7F862F77" wp14:editId="6BAAD0DE">
            <wp:extent cx="4673599" cy="3200400"/>
            <wp:effectExtent l="0" t="0" r="0" b="0"/>
            <wp:docPr id="1063410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4107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5902" cy="320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ED712" w14:textId="6AD8C8F3" w:rsidR="00DA29FC" w:rsidRPr="00745C81" w:rsidRDefault="00745C81" w:rsidP="00745C81">
      <w:pPr>
        <w:jc w:val="center"/>
        <w:rPr>
          <w:i/>
          <w:iCs/>
          <w:sz w:val="20"/>
          <w:szCs w:val="20"/>
        </w:rPr>
      </w:pPr>
      <w:r w:rsidRPr="00745C81">
        <w:rPr>
          <w:i/>
          <w:iCs/>
          <w:sz w:val="20"/>
          <w:szCs w:val="20"/>
        </w:rPr>
        <w:t>Lower North Shore Cluster</w:t>
      </w:r>
    </w:p>
    <w:p w14:paraId="5C27028D" w14:textId="115B43AA" w:rsidR="007A7886" w:rsidRPr="007A7886" w:rsidRDefault="007A7886" w:rsidP="007A7886">
      <w:pPr>
        <w:rPr>
          <w:b/>
          <w:bCs/>
          <w:sz w:val="26"/>
          <w:szCs w:val="26"/>
        </w:rPr>
      </w:pPr>
      <w:r w:rsidRPr="007A7886">
        <w:rPr>
          <w:b/>
          <w:bCs/>
          <w:sz w:val="26"/>
          <w:szCs w:val="26"/>
        </w:rPr>
        <w:t>Prestige belt: structural purchase pressure</w:t>
      </w:r>
    </w:p>
    <w:p w14:paraId="5F99B2D0" w14:textId="77777777" w:rsidR="007A7886" w:rsidRPr="007A7886" w:rsidRDefault="007A7886" w:rsidP="007A7886">
      <w:r w:rsidRPr="007A7886">
        <w:t xml:space="preserve">Castlecrag, Castle Cove and East Killara have fundamentally different housing structures. Castlecrag is </w:t>
      </w:r>
      <w:r w:rsidRPr="007A7886">
        <w:rPr>
          <w:b/>
          <w:bCs/>
        </w:rPr>
        <w:t>97.4% separate houses</w:t>
      </w:r>
      <w:r w:rsidRPr="007A7886">
        <w:t xml:space="preserve">, Castle Cove </w:t>
      </w:r>
      <w:r w:rsidRPr="007A7886">
        <w:rPr>
          <w:b/>
          <w:bCs/>
        </w:rPr>
        <w:t>90.3%</w:t>
      </w:r>
      <w:r w:rsidRPr="007A7886">
        <w:t xml:space="preserve">, and East Killara </w:t>
      </w:r>
      <w:r w:rsidRPr="007A7886">
        <w:rPr>
          <w:b/>
          <w:bCs/>
        </w:rPr>
        <w:t>99.5%</w:t>
      </w:r>
      <w:r w:rsidRPr="007A7886">
        <w:t xml:space="preserve">; 4+ bedroom dwellings account for </w:t>
      </w:r>
      <w:r w:rsidRPr="007A7886">
        <w:rPr>
          <w:b/>
          <w:bCs/>
        </w:rPr>
        <w:t>63.3%, 65.7% and 82.5%</w:t>
      </w:r>
      <w:r w:rsidRPr="007A7886">
        <w:t>, respectively. (</w:t>
      </w:r>
      <w:hyperlink r:id="rId14" w:tooltip="2021 Castlecrag, Census All persons QuickStats | Australian Bureau of Statistics" w:history="1">
        <w:r w:rsidRPr="007A7886">
          <w:rPr>
            <w:rStyle w:val="Hyperlink"/>
          </w:rPr>
          <w:t>Australian Bureau of Statistics</w:t>
        </w:r>
      </w:hyperlink>
      <w:r w:rsidRPr="007A7886">
        <w:t>)</w:t>
      </w:r>
    </w:p>
    <w:p w14:paraId="266DBC5E" w14:textId="77777777" w:rsidR="007A7886" w:rsidRDefault="007A7886" w:rsidP="007A7886">
      <w:r w:rsidRPr="007A7886">
        <w:t xml:space="preserve">This supports the dashboard result that these suburbs remain purchase-led even without exceptional recent price growth. Their problem is primarily the </w:t>
      </w:r>
      <w:r w:rsidRPr="007A7886">
        <w:rPr>
          <w:b/>
          <w:bCs/>
        </w:rPr>
        <w:t>absolute value of scarce, large and premium housing relative to household income</w:t>
      </w:r>
      <w:r w:rsidRPr="007A7886">
        <w:t>, rather than a new 2022–25 price boom.</w:t>
      </w:r>
    </w:p>
    <w:p w14:paraId="24626BD3" w14:textId="77777777" w:rsidR="00B7349B" w:rsidRDefault="00B7349B" w:rsidP="007A7886"/>
    <w:p w14:paraId="33513D05" w14:textId="096B752E" w:rsidR="009136E8" w:rsidRDefault="009136E8" w:rsidP="009136E8">
      <w:pPr>
        <w:jc w:val="center"/>
      </w:pPr>
      <w:r w:rsidRPr="009136E8">
        <w:drawing>
          <wp:inline distT="0" distB="0" distL="0" distR="0" wp14:anchorId="7A7B2BB1" wp14:editId="375A3D15">
            <wp:extent cx="4006850" cy="2514600"/>
            <wp:effectExtent l="0" t="0" r="0" b="0"/>
            <wp:docPr id="1953484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4844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07059" cy="2514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67B7F" w14:textId="5FDE4059" w:rsidR="009136E8" w:rsidRPr="009136E8" w:rsidRDefault="009136E8" w:rsidP="009136E8">
      <w:pPr>
        <w:jc w:val="center"/>
        <w:rPr>
          <w:i/>
          <w:iCs/>
          <w:sz w:val="20"/>
          <w:szCs w:val="20"/>
        </w:rPr>
      </w:pPr>
      <w:r w:rsidRPr="009136E8">
        <w:rPr>
          <w:i/>
          <w:iCs/>
          <w:sz w:val="20"/>
          <w:szCs w:val="20"/>
        </w:rPr>
        <w:t>Prestige Belt Regions</w:t>
      </w:r>
    </w:p>
    <w:p w14:paraId="5AE01DB7" w14:textId="67D28F64" w:rsidR="007A7886" w:rsidRPr="007A7886" w:rsidRDefault="007A7886" w:rsidP="007A7886">
      <w:pPr>
        <w:rPr>
          <w:b/>
          <w:bCs/>
          <w:sz w:val="26"/>
          <w:szCs w:val="26"/>
        </w:rPr>
      </w:pPr>
      <w:r w:rsidRPr="007A7886">
        <w:rPr>
          <w:b/>
          <w:bCs/>
          <w:sz w:val="26"/>
          <w:szCs w:val="26"/>
        </w:rPr>
        <w:lastRenderedPageBreak/>
        <w:t>Upper North Shore: genuine combined pressure</w:t>
      </w:r>
    </w:p>
    <w:p w14:paraId="62E0DED4" w14:textId="77777777" w:rsidR="007A7886" w:rsidRPr="007A7886" w:rsidRDefault="007A7886" w:rsidP="007A7886">
      <w:r w:rsidRPr="007A7886">
        <w:t xml:space="preserve">St Ives, </w:t>
      </w:r>
      <w:proofErr w:type="spellStart"/>
      <w:r w:rsidRPr="007A7886">
        <w:t>Pymble</w:t>
      </w:r>
      <w:proofErr w:type="spellEnd"/>
      <w:r w:rsidRPr="007A7886">
        <w:t xml:space="preserve">, East Lindfield and </w:t>
      </w:r>
      <w:proofErr w:type="spellStart"/>
      <w:r w:rsidRPr="007A7886">
        <w:t>Normanhurst</w:t>
      </w:r>
      <w:proofErr w:type="spellEnd"/>
      <w:r w:rsidRPr="007A7886">
        <w:t xml:space="preserve"> represent the strongest </w:t>
      </w:r>
      <w:r w:rsidRPr="007A7886">
        <w:rPr>
          <w:b/>
          <w:bCs/>
        </w:rPr>
        <w:t>double squeeze</w:t>
      </w:r>
      <w:r w:rsidRPr="007A7886">
        <w:t>.</w:t>
      </w:r>
    </w:p>
    <w:p w14:paraId="67D153B0" w14:textId="77777777" w:rsidR="007A7886" w:rsidRPr="007A7886" w:rsidRDefault="007A7886" w:rsidP="007A7886">
      <w:r w:rsidRPr="007A7886">
        <w:t xml:space="preserve">Purchase affordability was already poor near the start of the analysis, with the cluster around </w:t>
      </w:r>
      <w:r w:rsidRPr="007A7886">
        <w:rPr>
          <w:b/>
          <w:bCs/>
        </w:rPr>
        <w:t>15–16x income</w:t>
      </w:r>
      <w:r w:rsidRPr="007A7886">
        <w:t xml:space="preserve">. By 2025-Q3 that purchase pressure remained, but median rent burden had risen to about </w:t>
      </w:r>
      <w:r w:rsidRPr="007A7886">
        <w:rPr>
          <w:b/>
          <w:bCs/>
        </w:rPr>
        <w:t>33%</w:t>
      </w:r>
      <w:r w:rsidRPr="007A7886">
        <w:t xml:space="preserve"> and Rent-v-CPI to around </w:t>
      </w:r>
      <w:r w:rsidRPr="007A7886">
        <w:rPr>
          <w:b/>
          <w:bCs/>
        </w:rPr>
        <w:t>+32%</w:t>
      </w:r>
      <w:r w:rsidRPr="007A7886">
        <w:t>.</w:t>
      </w:r>
    </w:p>
    <w:p w14:paraId="64847D9F" w14:textId="77777777" w:rsidR="007A7886" w:rsidRPr="007A7886" w:rsidRDefault="007A7886" w:rsidP="007A7886">
      <w:r w:rsidRPr="007A7886">
        <w:t xml:space="preserve">The housing mix provides a strong structural explanation. </w:t>
      </w:r>
      <w:proofErr w:type="spellStart"/>
      <w:r w:rsidRPr="007A7886">
        <w:t>Pymble</w:t>
      </w:r>
      <w:proofErr w:type="spellEnd"/>
      <w:r w:rsidRPr="007A7886">
        <w:t xml:space="preserve"> is around </w:t>
      </w:r>
      <w:r w:rsidRPr="007A7886">
        <w:rPr>
          <w:b/>
          <w:bCs/>
        </w:rPr>
        <w:t>80% separate houses</w:t>
      </w:r>
      <w:r w:rsidRPr="007A7886">
        <w:t xml:space="preserve">, with about </w:t>
      </w:r>
      <w:r w:rsidRPr="007A7886">
        <w:rPr>
          <w:b/>
          <w:bCs/>
        </w:rPr>
        <w:t>60% 4+ bedroom dwellings</w:t>
      </w:r>
      <w:r w:rsidRPr="007A7886">
        <w:t xml:space="preserve">, while approximately </w:t>
      </w:r>
      <w:r w:rsidRPr="007A7886">
        <w:rPr>
          <w:b/>
          <w:bCs/>
        </w:rPr>
        <w:t xml:space="preserve">86% of </w:t>
      </w:r>
      <w:proofErr w:type="spellStart"/>
      <w:r w:rsidRPr="007A7886">
        <w:rPr>
          <w:b/>
          <w:bCs/>
        </w:rPr>
        <w:t>Normanhurst</w:t>
      </w:r>
      <w:proofErr w:type="spellEnd"/>
      <w:r w:rsidRPr="007A7886">
        <w:rPr>
          <w:b/>
          <w:bCs/>
        </w:rPr>
        <w:t xml:space="preserve"> dwellings have three or more bedrooms</w:t>
      </w:r>
      <w:r w:rsidRPr="007A7886">
        <w:t>. (</w:t>
      </w:r>
      <w:hyperlink r:id="rId16" w:tooltip="2021 Pymble, Census All persons QuickStats | Australian Bureau of Statistics" w:history="1">
        <w:r w:rsidRPr="007A7886">
          <w:rPr>
            <w:rStyle w:val="Hyperlink"/>
          </w:rPr>
          <w:t>Australian Bureau of Statistics</w:t>
        </w:r>
      </w:hyperlink>
      <w:r w:rsidRPr="007A7886">
        <w:t>)</w:t>
      </w:r>
    </w:p>
    <w:p w14:paraId="49D4322D" w14:textId="77777777" w:rsidR="007A7886" w:rsidRDefault="007A7886" w:rsidP="007A7886">
      <w:r w:rsidRPr="007A7886">
        <w:t>This becomes especially important when combined with the segment analysis.</w:t>
      </w:r>
    </w:p>
    <w:p w14:paraId="381494AE" w14:textId="1552F0F0" w:rsidR="00254FB2" w:rsidRDefault="00254FB2" w:rsidP="00254FB2">
      <w:pPr>
        <w:jc w:val="center"/>
      </w:pPr>
      <w:r w:rsidRPr="00254FB2">
        <w:drawing>
          <wp:inline distT="0" distB="0" distL="0" distR="0" wp14:anchorId="29F1E228" wp14:editId="4C53129F">
            <wp:extent cx="4006850" cy="3543300"/>
            <wp:effectExtent l="0" t="0" r="0" b="0"/>
            <wp:docPr id="977015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0155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07056" cy="354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636D7" w14:textId="1BE61164" w:rsidR="00254FB2" w:rsidRDefault="00254FB2" w:rsidP="00B7349B">
      <w:pPr>
        <w:jc w:val="center"/>
        <w:rPr>
          <w:i/>
          <w:iCs/>
          <w:sz w:val="20"/>
          <w:szCs w:val="20"/>
        </w:rPr>
      </w:pPr>
      <w:r w:rsidRPr="00254FB2">
        <w:rPr>
          <w:i/>
          <w:iCs/>
          <w:sz w:val="20"/>
          <w:szCs w:val="20"/>
        </w:rPr>
        <w:t>Combined Pressure Cluster</w:t>
      </w:r>
    </w:p>
    <w:p w14:paraId="063B84C6" w14:textId="77777777" w:rsidR="00B7349B" w:rsidRPr="00B7349B" w:rsidRDefault="00B7349B" w:rsidP="00B7349B">
      <w:pPr>
        <w:jc w:val="center"/>
        <w:rPr>
          <w:i/>
          <w:iCs/>
          <w:sz w:val="20"/>
          <w:szCs w:val="20"/>
        </w:rPr>
      </w:pPr>
    </w:p>
    <w:p w14:paraId="4628358D" w14:textId="4C8C3252" w:rsidR="007A7886" w:rsidRPr="007A7886" w:rsidRDefault="007A7886" w:rsidP="007A7886">
      <w:pPr>
        <w:pStyle w:val="Heading3"/>
      </w:pPr>
      <w:r w:rsidRPr="007A7886">
        <w:t>Segment drivers explain why the aggregate region appears less stressed</w:t>
      </w:r>
    </w:p>
    <w:p w14:paraId="0F9B474E" w14:textId="77777777" w:rsidR="007A7886" w:rsidRPr="007A7886" w:rsidRDefault="007A7886" w:rsidP="007A7886">
      <w:r w:rsidRPr="007A7886">
        <w:t xml:space="preserve">North Sydney &amp; Hornsby had a high 2021 median weekly household income of roughly </w:t>
      </w:r>
      <w:r w:rsidRPr="007A7886">
        <w:rPr>
          <w:b/>
          <w:bCs/>
        </w:rPr>
        <w:t>$2,729</w:t>
      </w:r>
      <w:r w:rsidRPr="007A7886">
        <w:t>, which lowers the measured burden ratio despite high nominal rents.</w:t>
      </w:r>
    </w:p>
    <w:p w14:paraId="530B3016" w14:textId="77777777" w:rsidR="007A7886" w:rsidRPr="007A7886" w:rsidRDefault="007A7886" w:rsidP="007A7886">
      <w:r w:rsidRPr="007A7886">
        <w:t>But housing composition matters just as much.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973"/>
        <w:gridCol w:w="1468"/>
        <w:gridCol w:w="1315"/>
        <w:gridCol w:w="1806"/>
        <w:gridCol w:w="2887"/>
      </w:tblGrid>
      <w:tr w:rsidR="007A7886" w:rsidRPr="007A7886" w14:paraId="22FCFD97" w14:textId="77777777" w:rsidTr="007A78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409109" w14:textId="77777777" w:rsidR="007A7886" w:rsidRPr="007A7886" w:rsidRDefault="007A7886" w:rsidP="007A7886">
            <w:pPr>
              <w:spacing w:after="160" w:line="278" w:lineRule="auto"/>
            </w:pPr>
            <w:r w:rsidRPr="007A7886">
              <w:t>2025-Q3 segment</w:t>
            </w:r>
          </w:p>
        </w:tc>
        <w:tc>
          <w:tcPr>
            <w:tcW w:w="0" w:type="auto"/>
            <w:hideMark/>
          </w:tcPr>
          <w:p w14:paraId="1B08E655" w14:textId="77777777" w:rsidR="007A7886" w:rsidRPr="007A7886" w:rsidRDefault="007A7886" w:rsidP="007A788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Approx. rent</w:t>
            </w:r>
          </w:p>
        </w:tc>
        <w:tc>
          <w:tcPr>
            <w:tcW w:w="0" w:type="auto"/>
            <w:hideMark/>
          </w:tcPr>
          <w:p w14:paraId="3F78F943" w14:textId="77777777" w:rsidR="007A7886" w:rsidRPr="007A7886" w:rsidRDefault="007A7886" w:rsidP="007A788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Rent vs CPI</w:t>
            </w:r>
          </w:p>
        </w:tc>
        <w:tc>
          <w:tcPr>
            <w:tcW w:w="0" w:type="auto"/>
            <w:hideMark/>
          </w:tcPr>
          <w:p w14:paraId="1EFF4387" w14:textId="77777777" w:rsidR="007A7886" w:rsidRPr="007A7886" w:rsidRDefault="007A7886" w:rsidP="007A788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Burden position</w:t>
            </w:r>
          </w:p>
        </w:tc>
        <w:tc>
          <w:tcPr>
            <w:tcW w:w="0" w:type="auto"/>
            <w:hideMark/>
          </w:tcPr>
          <w:p w14:paraId="41CE50C2" w14:textId="77777777" w:rsidR="007A7886" w:rsidRPr="007A7886" w:rsidRDefault="007A7886" w:rsidP="007A788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Market relevance</w:t>
            </w:r>
          </w:p>
        </w:tc>
      </w:tr>
      <w:tr w:rsidR="007A7886" w:rsidRPr="007A7886" w14:paraId="71FF3EC7" w14:textId="77777777" w:rsidTr="007A78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995EE6" w14:textId="77777777" w:rsidR="007A7886" w:rsidRPr="007A7886" w:rsidRDefault="007A7886" w:rsidP="007A7886">
            <w:pPr>
              <w:spacing w:after="160" w:line="278" w:lineRule="auto"/>
            </w:pPr>
            <w:r w:rsidRPr="007A7886">
              <w:t>Flat/unit</w:t>
            </w:r>
          </w:p>
        </w:tc>
        <w:tc>
          <w:tcPr>
            <w:tcW w:w="0" w:type="auto"/>
            <w:hideMark/>
          </w:tcPr>
          <w:p w14:paraId="3CDA7D9D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~$790</w:t>
            </w:r>
          </w:p>
        </w:tc>
        <w:tc>
          <w:tcPr>
            <w:tcW w:w="0" w:type="auto"/>
            <w:hideMark/>
          </w:tcPr>
          <w:p w14:paraId="2511C4A2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rPr>
                <w:b/>
                <w:bCs/>
              </w:rPr>
              <w:t>+10.8%</w:t>
            </w:r>
          </w:p>
        </w:tc>
        <w:tc>
          <w:tcPr>
            <w:tcW w:w="0" w:type="auto"/>
            <w:hideMark/>
          </w:tcPr>
          <w:p w14:paraId="35B1311A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Below overall</w:t>
            </w:r>
          </w:p>
        </w:tc>
        <w:tc>
          <w:tcPr>
            <w:tcW w:w="0" w:type="auto"/>
            <w:hideMark/>
          </w:tcPr>
          <w:p w14:paraId="69B57966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Dominates new bonds</w:t>
            </w:r>
          </w:p>
        </w:tc>
      </w:tr>
      <w:tr w:rsidR="007A7886" w:rsidRPr="007A7886" w14:paraId="04D4B504" w14:textId="77777777" w:rsidTr="007A78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185ABE" w14:textId="77777777" w:rsidR="007A7886" w:rsidRPr="007A7886" w:rsidRDefault="007A7886" w:rsidP="007A7886">
            <w:pPr>
              <w:spacing w:after="160" w:line="278" w:lineRule="auto"/>
            </w:pPr>
            <w:r w:rsidRPr="007A7886">
              <w:lastRenderedPageBreak/>
              <w:t>House</w:t>
            </w:r>
          </w:p>
        </w:tc>
        <w:tc>
          <w:tcPr>
            <w:tcW w:w="0" w:type="auto"/>
            <w:hideMark/>
          </w:tcPr>
          <w:p w14:paraId="095E0E02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~$1,300</w:t>
            </w:r>
          </w:p>
        </w:tc>
        <w:tc>
          <w:tcPr>
            <w:tcW w:w="0" w:type="auto"/>
            <w:hideMark/>
          </w:tcPr>
          <w:p w14:paraId="784C142D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rPr>
                <w:b/>
                <w:bCs/>
              </w:rPr>
              <w:t>+84.4%</w:t>
            </w:r>
          </w:p>
        </w:tc>
        <w:tc>
          <w:tcPr>
            <w:tcW w:w="0" w:type="auto"/>
            <w:hideMark/>
          </w:tcPr>
          <w:p w14:paraId="19AEFE0F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~+17 pp</w:t>
            </w:r>
          </w:p>
        </w:tc>
        <w:tc>
          <w:tcPr>
            <w:tcW w:w="0" w:type="auto"/>
            <w:hideMark/>
          </w:tcPr>
          <w:p w14:paraId="695534BA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Smaller but meaningful</w:t>
            </w:r>
          </w:p>
        </w:tc>
      </w:tr>
      <w:tr w:rsidR="007A7886" w:rsidRPr="007A7886" w14:paraId="4A91283A" w14:textId="77777777" w:rsidTr="007A78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310E13" w14:textId="77777777" w:rsidR="007A7886" w:rsidRPr="007A7886" w:rsidRDefault="007A7886" w:rsidP="007A7886">
            <w:pPr>
              <w:spacing w:after="160" w:line="278" w:lineRule="auto"/>
            </w:pPr>
            <w:r w:rsidRPr="007A7886">
              <w:t>1BR</w:t>
            </w:r>
          </w:p>
        </w:tc>
        <w:tc>
          <w:tcPr>
            <w:tcW w:w="0" w:type="auto"/>
            <w:hideMark/>
          </w:tcPr>
          <w:p w14:paraId="47F5F4E0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~$660</w:t>
            </w:r>
          </w:p>
        </w:tc>
        <w:tc>
          <w:tcPr>
            <w:tcW w:w="0" w:type="auto"/>
            <w:hideMark/>
          </w:tcPr>
          <w:p w14:paraId="41C00686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rPr>
                <w:b/>
                <w:bCs/>
              </w:rPr>
              <w:t>-7.5%</w:t>
            </w:r>
          </w:p>
        </w:tc>
        <w:tc>
          <w:tcPr>
            <w:tcW w:w="0" w:type="auto"/>
            <w:hideMark/>
          </w:tcPr>
          <w:p w14:paraId="7EC711A7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~-9 pp</w:t>
            </w:r>
          </w:p>
        </w:tc>
        <w:tc>
          <w:tcPr>
            <w:tcW w:w="0" w:type="auto"/>
            <w:hideMark/>
          </w:tcPr>
          <w:p w14:paraId="35FD1EBE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High activity</w:t>
            </w:r>
          </w:p>
        </w:tc>
      </w:tr>
      <w:tr w:rsidR="007A7886" w:rsidRPr="007A7886" w14:paraId="5D078389" w14:textId="77777777" w:rsidTr="007A78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C124AB" w14:textId="77777777" w:rsidR="007A7886" w:rsidRPr="007A7886" w:rsidRDefault="007A7886" w:rsidP="007A7886">
            <w:pPr>
              <w:spacing w:after="160" w:line="278" w:lineRule="auto"/>
            </w:pPr>
            <w:r w:rsidRPr="007A7886">
              <w:t>2BR</w:t>
            </w:r>
          </w:p>
        </w:tc>
        <w:tc>
          <w:tcPr>
            <w:tcW w:w="0" w:type="auto"/>
            <w:hideMark/>
          </w:tcPr>
          <w:p w14:paraId="35A887AB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~$840</w:t>
            </w:r>
          </w:p>
        </w:tc>
        <w:tc>
          <w:tcPr>
            <w:tcW w:w="0" w:type="auto"/>
            <w:hideMark/>
          </w:tcPr>
          <w:p w14:paraId="1D6972E8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rPr>
                <w:b/>
                <w:bCs/>
              </w:rPr>
              <w:t>+17.8%</w:t>
            </w:r>
          </w:p>
        </w:tc>
        <w:tc>
          <w:tcPr>
            <w:tcW w:w="0" w:type="auto"/>
            <w:hideMark/>
          </w:tcPr>
          <w:p w14:paraId="7169E234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~-2 pp</w:t>
            </w:r>
          </w:p>
        </w:tc>
        <w:tc>
          <w:tcPr>
            <w:tcW w:w="0" w:type="auto"/>
            <w:hideMark/>
          </w:tcPr>
          <w:p w14:paraId="0617E060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rPr>
                <w:b/>
                <w:bCs/>
              </w:rPr>
              <w:t>Largest activity segment</w:t>
            </w:r>
          </w:p>
        </w:tc>
      </w:tr>
      <w:tr w:rsidR="007A7886" w:rsidRPr="007A7886" w14:paraId="24BCD239" w14:textId="77777777" w:rsidTr="007A78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4E159C" w14:textId="77777777" w:rsidR="007A7886" w:rsidRPr="007A7886" w:rsidRDefault="007A7886" w:rsidP="007A7886">
            <w:pPr>
              <w:spacing w:after="160" w:line="278" w:lineRule="auto"/>
            </w:pPr>
            <w:r w:rsidRPr="007A7886">
              <w:t>3BR</w:t>
            </w:r>
          </w:p>
        </w:tc>
        <w:tc>
          <w:tcPr>
            <w:tcW w:w="0" w:type="auto"/>
            <w:hideMark/>
          </w:tcPr>
          <w:p w14:paraId="429FB84B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~$1,250</w:t>
            </w:r>
          </w:p>
        </w:tc>
        <w:tc>
          <w:tcPr>
            <w:tcW w:w="0" w:type="auto"/>
            <w:hideMark/>
          </w:tcPr>
          <w:p w14:paraId="046DFF0C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rPr>
                <w:b/>
                <w:bCs/>
              </w:rPr>
              <w:t>+74.8%</w:t>
            </w:r>
          </w:p>
        </w:tc>
        <w:tc>
          <w:tcPr>
            <w:tcW w:w="0" w:type="auto"/>
            <w:hideMark/>
          </w:tcPr>
          <w:p w14:paraId="0ADE351F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~+13 pp</w:t>
            </w:r>
          </w:p>
        </w:tc>
        <w:tc>
          <w:tcPr>
            <w:tcW w:w="0" w:type="auto"/>
            <w:hideMark/>
          </w:tcPr>
          <w:p w14:paraId="09A89DDD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Meaningful activity</w:t>
            </w:r>
          </w:p>
        </w:tc>
      </w:tr>
      <w:tr w:rsidR="007A7886" w:rsidRPr="007A7886" w14:paraId="736093E1" w14:textId="77777777" w:rsidTr="007A78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98B40" w14:textId="77777777" w:rsidR="007A7886" w:rsidRPr="007A7886" w:rsidRDefault="007A7886" w:rsidP="007A7886">
            <w:pPr>
              <w:spacing w:after="160" w:line="278" w:lineRule="auto"/>
            </w:pPr>
            <w:r w:rsidRPr="007A7886">
              <w:t>4+BR</w:t>
            </w:r>
          </w:p>
        </w:tc>
        <w:tc>
          <w:tcPr>
            <w:tcW w:w="0" w:type="auto"/>
            <w:hideMark/>
          </w:tcPr>
          <w:p w14:paraId="06C01F73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~$1,620</w:t>
            </w:r>
          </w:p>
        </w:tc>
        <w:tc>
          <w:tcPr>
            <w:tcW w:w="0" w:type="auto"/>
            <w:hideMark/>
          </w:tcPr>
          <w:p w14:paraId="1383225F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rPr>
                <w:b/>
                <w:bCs/>
              </w:rPr>
              <w:t>+127.8%</w:t>
            </w:r>
          </w:p>
        </w:tc>
        <w:tc>
          <w:tcPr>
            <w:tcW w:w="0" w:type="auto"/>
            <w:hideMark/>
          </w:tcPr>
          <w:p w14:paraId="28CA54B4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~+27 pp</w:t>
            </w:r>
          </w:p>
        </w:tc>
        <w:tc>
          <w:tcPr>
            <w:tcW w:w="0" w:type="auto"/>
            <w:hideMark/>
          </w:tcPr>
          <w:p w14:paraId="75204E16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Low volume / concentrated</w:t>
            </w:r>
          </w:p>
        </w:tc>
      </w:tr>
    </w:tbl>
    <w:p w14:paraId="2ECE8F7A" w14:textId="77777777" w:rsidR="007A7886" w:rsidRDefault="007A7886" w:rsidP="007A7886"/>
    <w:p w14:paraId="5B162289" w14:textId="76978B79" w:rsidR="007A7886" w:rsidRPr="007A7886" w:rsidRDefault="007A7886" w:rsidP="007A7886">
      <w:r w:rsidRPr="007A7886">
        <w:t xml:space="preserve">This produces a </w:t>
      </w:r>
      <w:r w:rsidRPr="007A7886">
        <w:rPr>
          <w:b/>
          <w:bCs/>
        </w:rPr>
        <w:t>two-speed rental market</w:t>
      </w:r>
      <w:r w:rsidRPr="007A7886">
        <w:t>.</w:t>
      </w:r>
    </w:p>
    <w:p w14:paraId="7B37CF16" w14:textId="77777777" w:rsidR="007A7886" w:rsidRDefault="007A7886" w:rsidP="007A7886">
      <w:r w:rsidRPr="007A7886">
        <w:t xml:space="preserve">Most rental transactions occur in flats/units and 1–2BR housing, where pressure is comparatively contained. The most severe affordability deterioration is concentrated in </w:t>
      </w:r>
      <w:r w:rsidRPr="007A7886">
        <w:rPr>
          <w:b/>
          <w:bCs/>
        </w:rPr>
        <w:t>houses and 3–4+ bedroom housing</w:t>
      </w:r>
      <w:r w:rsidRPr="007A7886">
        <w:t>.</w:t>
      </w:r>
    </w:p>
    <w:p w14:paraId="55E3B056" w14:textId="4C8F754D" w:rsidR="00D04437" w:rsidRDefault="00D04437" w:rsidP="007A7886">
      <w:r w:rsidRPr="00D04437">
        <w:drawing>
          <wp:inline distT="0" distB="0" distL="0" distR="0" wp14:anchorId="3693F885" wp14:editId="36C125D5">
            <wp:extent cx="5943600" cy="1668780"/>
            <wp:effectExtent l="0" t="0" r="0" b="7620"/>
            <wp:docPr id="1442596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5961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524E9" w14:textId="3F574223" w:rsidR="00D04437" w:rsidRDefault="00D04437" w:rsidP="007A7886">
      <w:pPr>
        <w:rPr>
          <w:i/>
          <w:iCs/>
          <w:sz w:val="20"/>
          <w:szCs w:val="20"/>
        </w:rPr>
      </w:pPr>
      <w:r w:rsidRPr="00D04437">
        <w:rPr>
          <w:i/>
          <w:iCs/>
          <w:sz w:val="20"/>
          <w:szCs w:val="20"/>
        </w:rPr>
        <w:t>Bedroom Count Statistics by 2025-Q3</w:t>
      </w:r>
    </w:p>
    <w:p w14:paraId="21CF2BA3" w14:textId="77777777" w:rsidR="00D04437" w:rsidRDefault="00D04437" w:rsidP="007A7886">
      <w:pPr>
        <w:rPr>
          <w:i/>
          <w:iCs/>
          <w:sz w:val="20"/>
          <w:szCs w:val="20"/>
        </w:rPr>
      </w:pPr>
    </w:p>
    <w:p w14:paraId="124F46FD" w14:textId="77777777" w:rsidR="00D04437" w:rsidRDefault="00D04437" w:rsidP="007A7886">
      <w:pPr>
        <w:rPr>
          <w:i/>
          <w:iCs/>
          <w:sz w:val="20"/>
          <w:szCs w:val="20"/>
        </w:rPr>
      </w:pPr>
    </w:p>
    <w:p w14:paraId="1F993392" w14:textId="77777777" w:rsidR="00D04437" w:rsidRDefault="00D04437" w:rsidP="007A7886">
      <w:pPr>
        <w:rPr>
          <w:i/>
          <w:iCs/>
          <w:sz w:val="20"/>
          <w:szCs w:val="20"/>
        </w:rPr>
      </w:pPr>
    </w:p>
    <w:p w14:paraId="13CB7843" w14:textId="429C0427" w:rsidR="00D04437" w:rsidRDefault="00D04437" w:rsidP="007A7886">
      <w:pPr>
        <w:rPr>
          <w:i/>
          <w:iCs/>
          <w:sz w:val="20"/>
          <w:szCs w:val="20"/>
        </w:rPr>
      </w:pPr>
      <w:r w:rsidRPr="00D04437">
        <w:rPr>
          <w:i/>
          <w:iCs/>
          <w:sz w:val="20"/>
          <w:szCs w:val="20"/>
        </w:rPr>
        <w:drawing>
          <wp:inline distT="0" distB="0" distL="0" distR="0" wp14:anchorId="76581751" wp14:editId="188A039A">
            <wp:extent cx="5943600" cy="1639570"/>
            <wp:effectExtent l="0" t="0" r="0" b="0"/>
            <wp:docPr id="1424788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7889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0A75" w14:textId="4C4FA9C0" w:rsidR="00D04437" w:rsidRPr="00D04437" w:rsidRDefault="00D04437" w:rsidP="007A7886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Dwelling type statistics by 2025-Q3</w:t>
      </w:r>
    </w:p>
    <w:p w14:paraId="0C20F532" w14:textId="77777777" w:rsidR="00D156B9" w:rsidRDefault="00D156B9" w:rsidP="007A7886"/>
    <w:p w14:paraId="64E739C9" w14:textId="28919FCB" w:rsidR="00D156B9" w:rsidRPr="00D156B9" w:rsidRDefault="00D156B9" w:rsidP="00D156B9">
      <w:r w:rsidRPr="00D156B9">
        <w:lastRenderedPageBreak/>
        <w:drawing>
          <wp:inline distT="0" distB="0" distL="0" distR="0" wp14:anchorId="2EF41570" wp14:editId="6EF90FE7">
            <wp:extent cx="5943600" cy="2888615"/>
            <wp:effectExtent l="0" t="0" r="0" b="6985"/>
            <wp:docPr id="19855432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88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6299A8" w14:textId="31D30E11" w:rsidR="00D156B9" w:rsidRPr="00D156B9" w:rsidRDefault="00D156B9" w:rsidP="007A7886">
      <w:pPr>
        <w:rPr>
          <w:i/>
          <w:iCs/>
          <w:sz w:val="20"/>
          <w:szCs w:val="20"/>
        </w:rPr>
      </w:pPr>
      <w:r w:rsidRPr="00D156B9">
        <w:rPr>
          <w:i/>
          <w:iCs/>
          <w:sz w:val="20"/>
          <w:szCs w:val="20"/>
        </w:rPr>
        <w:t>Reported Rental Bond Share by Bedroom count by 2025-Q3: North Sydney and Hornsby</w:t>
      </w:r>
    </w:p>
    <w:p w14:paraId="27B3EC37" w14:textId="77777777" w:rsidR="00D156B9" w:rsidRDefault="00D156B9" w:rsidP="007A7886"/>
    <w:p w14:paraId="282D578F" w14:textId="6F22D064" w:rsidR="00D156B9" w:rsidRDefault="00D156B9" w:rsidP="007A7886">
      <w:r w:rsidRPr="00D156B9">
        <w:drawing>
          <wp:inline distT="0" distB="0" distL="0" distR="0" wp14:anchorId="25A18976" wp14:editId="44B16C67">
            <wp:extent cx="5943600" cy="2811780"/>
            <wp:effectExtent l="0" t="0" r="0" b="7620"/>
            <wp:docPr id="1235574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5740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426B9" w14:textId="56B47685" w:rsidR="00D156B9" w:rsidRPr="00D156B9" w:rsidRDefault="00D156B9" w:rsidP="007A7886">
      <w:pPr>
        <w:rPr>
          <w:i/>
          <w:iCs/>
          <w:sz w:val="20"/>
          <w:szCs w:val="20"/>
        </w:rPr>
      </w:pPr>
      <w:r w:rsidRPr="00D156B9">
        <w:rPr>
          <w:i/>
          <w:iCs/>
          <w:sz w:val="20"/>
          <w:szCs w:val="20"/>
        </w:rPr>
        <w:t xml:space="preserve">Reported Rental Bond Share by </w:t>
      </w:r>
      <w:r>
        <w:rPr>
          <w:i/>
          <w:iCs/>
          <w:sz w:val="20"/>
          <w:szCs w:val="20"/>
        </w:rPr>
        <w:t>Dwelling Types</w:t>
      </w:r>
      <w:r w:rsidRPr="00D156B9">
        <w:rPr>
          <w:i/>
          <w:iCs/>
          <w:sz w:val="20"/>
          <w:szCs w:val="20"/>
        </w:rPr>
        <w:t xml:space="preserve"> by 2025-Q3: North Sydney and Hornsby</w:t>
      </w:r>
    </w:p>
    <w:p w14:paraId="27107FB9" w14:textId="3C79D000" w:rsidR="007A7886" w:rsidRPr="007A7886" w:rsidRDefault="007A7886" w:rsidP="007A7886">
      <w:r w:rsidRPr="007A7886">
        <w:t>That explains two otherwise conflicting observations:</w:t>
      </w:r>
    </w:p>
    <w:p w14:paraId="3F009215" w14:textId="77777777" w:rsidR="007A7886" w:rsidRPr="007A7886" w:rsidRDefault="007A7886" w:rsidP="007A7886">
      <w:r w:rsidRPr="007A7886">
        <w:t>North Sydney &amp; Hornsby can have some of Sydney's highest nominal rents while maintaining a comparatively moderate regional rent-burden ratio, yet still contain extremely stressed family-sized rental segments.</w:t>
      </w:r>
    </w:p>
    <w:p w14:paraId="13F0FA1C" w14:textId="77777777" w:rsidR="007A7886" w:rsidRPr="007A7886" w:rsidRDefault="007A7886" w:rsidP="007A7886">
      <w:r w:rsidRPr="007A7886">
        <w:t xml:space="preserve">It also explains why the </w:t>
      </w:r>
      <w:r w:rsidRPr="007A7886">
        <w:rPr>
          <w:b/>
          <w:bCs/>
        </w:rPr>
        <w:t>combined-pressure Upper North Shore</w:t>
      </w:r>
      <w:r w:rsidRPr="007A7886">
        <w:t xml:space="preserve"> is analytically important: its housing stock is concentrated precisely in the larger housing categories where the regional segment analysis finds the strongest rental stress.</w:t>
      </w:r>
    </w:p>
    <w:p w14:paraId="1EB7CCC8" w14:textId="77777777" w:rsidR="007A7886" w:rsidRPr="007A7886" w:rsidRDefault="007A7886" w:rsidP="007A7886">
      <w:r w:rsidRPr="007A7886">
        <w:lastRenderedPageBreak/>
        <w:t xml:space="preserve">Broader Sydney evidence reinforces this. Committee for Sydney/BDO reports that between 2011 and 2021 the stock of </w:t>
      </w:r>
      <w:r w:rsidRPr="007A7886">
        <w:rPr>
          <w:b/>
          <w:bCs/>
        </w:rPr>
        <w:t>3-bedroom dwellings increased only 3%</w:t>
      </w:r>
      <w:r w:rsidRPr="007A7886">
        <w:t xml:space="preserve">, versus </w:t>
      </w:r>
      <w:r w:rsidRPr="007A7886">
        <w:rPr>
          <w:b/>
          <w:bCs/>
        </w:rPr>
        <w:t>50% for 1BR and 27% for 2BR dwellings</w:t>
      </w:r>
      <w:r w:rsidRPr="007A7886">
        <w:t xml:space="preserve">, and that family-sized apartments exceeded its affordability threshold in more than </w:t>
      </w:r>
      <w:r w:rsidRPr="007A7886">
        <w:rPr>
          <w:b/>
          <w:bCs/>
        </w:rPr>
        <w:t>116 Sydney postcodes by 2025</w:t>
      </w:r>
      <w:r w:rsidRPr="007A7886">
        <w:t>. (</w:t>
      </w:r>
      <w:hyperlink r:id="rId22" w:tooltip="STATE OF THE CITY 2026 | BDO for the Committee for Sydney" w:history="1">
        <w:r w:rsidRPr="007A7886">
          <w:rPr>
            <w:rStyle w:val="Hyperlink"/>
          </w:rPr>
          <w:t>Committee for Sydney</w:t>
        </w:r>
      </w:hyperlink>
      <w:r w:rsidRPr="007A7886">
        <w:t>)</w:t>
      </w:r>
    </w:p>
    <w:p w14:paraId="3A032BDA" w14:textId="77777777" w:rsidR="00D156B9" w:rsidRPr="007A7886" w:rsidRDefault="00D156B9" w:rsidP="007A7886"/>
    <w:p w14:paraId="5313F160" w14:textId="7283254A" w:rsidR="007A7886" w:rsidRPr="007A7886" w:rsidRDefault="007A7886" w:rsidP="007A7886">
      <w:pPr>
        <w:pStyle w:val="Heading3"/>
      </w:pPr>
      <w:r w:rsidRPr="007A7886">
        <w:t>Asquith breaks the northward pattern</w:t>
      </w:r>
    </w:p>
    <w:p w14:paraId="3F1FDB06" w14:textId="77777777" w:rsidR="007A7886" w:rsidRPr="007A7886" w:rsidRDefault="007A7886" w:rsidP="007A7886">
      <w:r w:rsidRPr="007A7886">
        <w:t xml:space="preserve">Asquith is the clearest </w:t>
      </w:r>
      <w:r w:rsidRPr="007A7886">
        <w:rPr>
          <w:b/>
          <w:bCs/>
        </w:rPr>
        <w:t>purchase-affordability release valve</w:t>
      </w:r>
      <w:r w:rsidRPr="007A7886">
        <w:t>.</w:t>
      </w:r>
    </w:p>
    <w:p w14:paraId="44224547" w14:textId="77777777" w:rsidR="007A7886" w:rsidRPr="007A7886" w:rsidRDefault="007A7886" w:rsidP="007A7886">
      <w:r w:rsidRPr="007A7886">
        <w:t>By 2025-Q3:</w:t>
      </w:r>
    </w:p>
    <w:p w14:paraId="71C8954C" w14:textId="77777777" w:rsidR="007A7886" w:rsidRPr="007A7886" w:rsidRDefault="007A7886" w:rsidP="007A7886">
      <w:r w:rsidRPr="007A7886">
        <w:rPr>
          <w:b/>
          <w:bCs/>
        </w:rPr>
        <w:t>Sales price:</w:t>
      </w:r>
      <w:r w:rsidRPr="007A7886">
        <w:t xml:space="preserve"> ~$770k</w:t>
      </w:r>
      <w:r w:rsidRPr="007A7886">
        <w:br/>
      </w:r>
      <w:r w:rsidRPr="007A7886">
        <w:rPr>
          <w:b/>
          <w:bCs/>
        </w:rPr>
        <w:t>P/I:</w:t>
      </w:r>
      <w:r w:rsidRPr="007A7886">
        <w:t xml:space="preserve"> </w:t>
      </w:r>
      <w:r w:rsidRPr="007A7886">
        <w:rPr>
          <w:b/>
          <w:bCs/>
        </w:rPr>
        <w:t>7.0x</w:t>
      </w:r>
      <w:r w:rsidRPr="007A7886">
        <w:br/>
      </w:r>
      <w:r w:rsidRPr="007A7886">
        <w:rPr>
          <w:b/>
          <w:bCs/>
        </w:rPr>
        <w:t>Rent burden:</w:t>
      </w:r>
      <w:r w:rsidRPr="007A7886">
        <w:t xml:space="preserve"> </w:t>
      </w:r>
      <w:r w:rsidRPr="007A7886">
        <w:rPr>
          <w:b/>
          <w:bCs/>
        </w:rPr>
        <w:t>32.7%</w:t>
      </w:r>
      <w:r w:rsidRPr="007A7886">
        <w:br/>
      </w:r>
      <w:r w:rsidRPr="007A7886">
        <w:rPr>
          <w:b/>
          <w:bCs/>
        </w:rPr>
        <w:t>Rent growth:</w:t>
      </w:r>
      <w:r w:rsidRPr="007A7886">
        <w:t xml:space="preserve"> </w:t>
      </w:r>
      <w:r w:rsidRPr="007A7886">
        <w:rPr>
          <w:b/>
          <w:bCs/>
        </w:rPr>
        <w:t>+46.8%</w:t>
      </w:r>
      <w:r w:rsidRPr="007A7886">
        <w:br/>
      </w:r>
      <w:r w:rsidRPr="007A7886">
        <w:rPr>
          <w:b/>
          <w:bCs/>
        </w:rPr>
        <w:t>Sales-price growth:</w:t>
      </w:r>
      <w:r w:rsidRPr="007A7886">
        <w:t xml:space="preserve"> </w:t>
      </w:r>
      <w:r w:rsidRPr="007A7886">
        <w:rPr>
          <w:b/>
          <w:bCs/>
        </w:rPr>
        <w:t>+6.2%</w:t>
      </w:r>
      <w:r w:rsidRPr="007A7886">
        <w:br/>
      </w:r>
      <w:r w:rsidRPr="007A7886">
        <w:rPr>
          <w:b/>
          <w:bCs/>
        </w:rPr>
        <w:t>Sales:</w:t>
      </w:r>
      <w:r w:rsidRPr="007A7886">
        <w:t xml:space="preserve"> </w:t>
      </w:r>
      <w:r w:rsidRPr="007A7886">
        <w:rPr>
          <w:b/>
          <w:bCs/>
        </w:rPr>
        <w:t>244</w:t>
      </w:r>
      <w:r w:rsidRPr="007A7886">
        <w:br/>
      </w:r>
      <w:r w:rsidRPr="007A7886">
        <w:rPr>
          <w:b/>
          <w:bCs/>
        </w:rPr>
        <w:t>Overall bonds:</w:t>
      </w:r>
      <w:r w:rsidRPr="007A7886">
        <w:t xml:space="preserve"> </w:t>
      </w:r>
      <w:r w:rsidRPr="007A7886">
        <w:rPr>
          <w:b/>
          <w:bCs/>
        </w:rPr>
        <w:t>5,827</w:t>
      </w:r>
      <w:r w:rsidRPr="007A7886">
        <w:br/>
      </w:r>
      <w:r w:rsidRPr="007A7886">
        <w:rPr>
          <w:b/>
          <w:bCs/>
        </w:rPr>
        <w:t>Rental turnover:</w:t>
      </w:r>
      <w:r w:rsidRPr="007A7886">
        <w:t xml:space="preserve"> </w:t>
      </w:r>
      <w:r w:rsidRPr="007A7886">
        <w:rPr>
          <w:b/>
          <w:bCs/>
        </w:rPr>
        <w:t>6.9%</w:t>
      </w:r>
      <w:r w:rsidRPr="007A7886">
        <w:t>.</w:t>
      </w:r>
    </w:p>
    <w:p w14:paraId="37148304" w14:textId="77777777" w:rsidR="007A7886" w:rsidRPr="007A7886" w:rsidRDefault="007A7886" w:rsidP="007A7886">
      <w:r w:rsidRPr="007A7886">
        <w:t xml:space="preserve">Its housing structure differs materially from many nearby Upper North Shore suburbs. ABS data show </w:t>
      </w:r>
      <w:r w:rsidRPr="007A7886">
        <w:rPr>
          <w:b/>
          <w:bCs/>
        </w:rPr>
        <w:t>48.4% of Asquith dwellings are apartments</w:t>
      </w:r>
      <w:r w:rsidRPr="007A7886">
        <w:t>, compared with 21.7% across NSW. (</w:t>
      </w:r>
      <w:hyperlink r:id="rId23" w:tooltip="2021 Asquith, Census All persons QuickStats | Australian Bureau of Statistics" w:history="1">
        <w:r w:rsidRPr="007A7886">
          <w:rPr>
            <w:rStyle w:val="Hyperlink"/>
          </w:rPr>
          <w:t>Australian Bureau of Statistics</w:t>
        </w:r>
      </w:hyperlink>
      <w:r w:rsidRPr="007A7886">
        <w:t>)</w:t>
      </w:r>
    </w:p>
    <w:p w14:paraId="32ED91D3" w14:textId="77777777" w:rsidR="00D156B9" w:rsidRDefault="00D156B9" w:rsidP="007A7886"/>
    <w:p w14:paraId="0484B1AC" w14:textId="0F860ECB" w:rsidR="00D156B9" w:rsidRPr="00D156B9" w:rsidRDefault="00D156B9" w:rsidP="00D156B9">
      <w:r w:rsidRPr="00D156B9">
        <w:drawing>
          <wp:inline distT="0" distB="0" distL="0" distR="0" wp14:anchorId="31B4EA13" wp14:editId="0CCEA769">
            <wp:extent cx="5943600" cy="2425065"/>
            <wp:effectExtent l="0" t="0" r="0" b="0"/>
            <wp:docPr id="19739532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25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83A2D" w14:textId="77777777" w:rsidR="00D156B9" w:rsidRDefault="00D156B9" w:rsidP="007A7886"/>
    <w:p w14:paraId="2D0C52B0" w14:textId="77777777" w:rsidR="00D156B9" w:rsidRDefault="00D156B9" w:rsidP="007A7886"/>
    <w:p w14:paraId="4A07416C" w14:textId="51523F73" w:rsidR="00D156B9" w:rsidRPr="00D156B9" w:rsidRDefault="00D156B9" w:rsidP="00D156B9">
      <w:r w:rsidRPr="00D156B9">
        <w:lastRenderedPageBreak/>
        <w:drawing>
          <wp:inline distT="0" distB="0" distL="0" distR="0" wp14:anchorId="6A79498B" wp14:editId="30CEE908">
            <wp:extent cx="5943600" cy="2400300"/>
            <wp:effectExtent l="0" t="0" r="0" b="0"/>
            <wp:docPr id="17926427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03420" w14:textId="77777777" w:rsidR="00D156B9" w:rsidRDefault="00D156B9" w:rsidP="007A7886"/>
    <w:p w14:paraId="40644CF0" w14:textId="77777777" w:rsidR="00D156B9" w:rsidRDefault="00D156B9" w:rsidP="007A7886"/>
    <w:p w14:paraId="28F2F46A" w14:textId="4D7C9B72" w:rsidR="007A7886" w:rsidRPr="007A7886" w:rsidRDefault="007A7886" w:rsidP="007A7886">
      <w:r w:rsidRPr="007A7886">
        <w:t xml:space="preserve">That difference is supported by planning policy rather than being accidental. Hornsby Council's earlier housing strategy rezoned parts of Asquith for townhouse and </w:t>
      </w:r>
      <w:r w:rsidRPr="007A7886">
        <w:rPr>
          <w:b/>
          <w:bCs/>
        </w:rPr>
        <w:t>five- to ten-</w:t>
      </w:r>
      <w:proofErr w:type="spellStart"/>
      <w:r w:rsidRPr="007A7886">
        <w:rPr>
          <w:b/>
          <w:bCs/>
        </w:rPr>
        <w:t>storey</w:t>
      </w:r>
      <w:proofErr w:type="spellEnd"/>
      <w:r w:rsidRPr="007A7886">
        <w:rPr>
          <w:b/>
          <w:bCs/>
        </w:rPr>
        <w:t xml:space="preserve"> residential development</w:t>
      </w:r>
      <w:r w:rsidRPr="007A7886">
        <w:t xml:space="preserve">, while its later Housing Strategy identifies Asquith as one of the locations where future household growth is expected to occur in predominantly high-density housing. It also reports that </w:t>
      </w:r>
      <w:r w:rsidRPr="007A7886">
        <w:rPr>
          <w:b/>
          <w:bCs/>
        </w:rPr>
        <w:t>69% of apartments constructed in newer medium/high-density areas were two-bedroom apartments</w:t>
      </w:r>
      <w:r w:rsidRPr="007A7886">
        <w:t>. (</w:t>
      </w:r>
      <w:hyperlink r:id="rId26" w:tooltip="Housing Strategy | Hornsby Shire Council" w:history="1">
        <w:r w:rsidRPr="007A7886">
          <w:rPr>
            <w:rStyle w:val="Hyperlink"/>
          </w:rPr>
          <w:t>Hornsby Shire Council</w:t>
        </w:r>
      </w:hyperlink>
      <w:r w:rsidRPr="007A7886">
        <w:t>)</w:t>
      </w:r>
    </w:p>
    <w:p w14:paraId="0B9756AF" w14:textId="77777777" w:rsidR="007A7886" w:rsidRPr="007A7886" w:rsidRDefault="007A7886" w:rsidP="007A7886">
      <w:r w:rsidRPr="007A7886">
        <w:t>Asquith therefore demonstrates an important point:</w:t>
      </w:r>
    </w:p>
    <w:p w14:paraId="47E538B0" w14:textId="77777777" w:rsidR="007A7886" w:rsidRPr="007A7886" w:rsidRDefault="007A7886" w:rsidP="007A7886">
      <w:r w:rsidRPr="007A7886">
        <w:rPr>
          <w:b/>
          <w:bCs/>
        </w:rPr>
        <w:t>Additional apartment and smaller-dwelling capacity can materially improve purchase affordability without necessarily preventing rental pressure.</w:t>
      </w:r>
    </w:p>
    <w:p w14:paraId="3FBC8BDC" w14:textId="43A6402A" w:rsidR="007A7886" w:rsidRDefault="007A7886" w:rsidP="007A7886"/>
    <w:p w14:paraId="3F4E3B2F" w14:textId="77777777" w:rsidR="007A7886" w:rsidRPr="007A7886" w:rsidRDefault="007A7886" w:rsidP="00B7349B">
      <w:pPr>
        <w:pStyle w:val="Heading3"/>
      </w:pPr>
      <w:r w:rsidRPr="007A7886">
        <w:t>External evidence and planning context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6728"/>
        <w:gridCol w:w="4062"/>
      </w:tblGrid>
      <w:tr w:rsidR="007A7886" w:rsidRPr="007A7886" w14:paraId="40ABED03" w14:textId="77777777" w:rsidTr="007A78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13FC2" w14:textId="77777777" w:rsidR="007A7886" w:rsidRPr="007A7886" w:rsidRDefault="007A7886" w:rsidP="007A7886">
            <w:pPr>
              <w:spacing w:after="160" w:line="278" w:lineRule="auto"/>
            </w:pPr>
            <w:r w:rsidRPr="007A7886">
              <w:t>Evidence</w:t>
            </w:r>
          </w:p>
        </w:tc>
        <w:tc>
          <w:tcPr>
            <w:tcW w:w="0" w:type="auto"/>
            <w:hideMark/>
          </w:tcPr>
          <w:p w14:paraId="5D37CC78" w14:textId="77777777" w:rsidR="007A7886" w:rsidRPr="007A7886" w:rsidRDefault="007A7886" w:rsidP="007A7886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Relevance</w:t>
            </w:r>
          </w:p>
        </w:tc>
      </w:tr>
      <w:tr w:rsidR="007A7886" w:rsidRPr="007A7886" w14:paraId="5E0E2ECE" w14:textId="77777777" w:rsidTr="007A78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B068A1" w14:textId="77777777" w:rsidR="007A7886" w:rsidRPr="007A7886" w:rsidRDefault="007A7886" w:rsidP="007A7886">
            <w:pPr>
              <w:spacing w:after="160" w:line="278" w:lineRule="auto"/>
            </w:pPr>
            <w:r w:rsidRPr="007A7886">
              <w:t>ABS 2021 Census — North Sydney &amp; Hornsby: 46% of occupied dwellings were apartments; the region simultaneously contains substantial 2BR and 4+BR stock. (</w:t>
            </w:r>
            <w:hyperlink r:id="rId27" w:tooltip="2021 Sydney - North Sydney and Hornsby, Census All persons QuickStats | Australian Bureau of Statistics" w:history="1">
              <w:r w:rsidRPr="007A7886">
                <w:rPr>
                  <w:rStyle w:val="Hyperlink"/>
                </w:rPr>
                <w:t>Australian Bureau of Statistics</w:t>
              </w:r>
            </w:hyperlink>
            <w:r w:rsidRPr="007A7886">
              <w:t>)</w:t>
            </w:r>
          </w:p>
        </w:tc>
        <w:tc>
          <w:tcPr>
            <w:tcW w:w="0" w:type="auto"/>
            <w:hideMark/>
          </w:tcPr>
          <w:p w14:paraId="70AAA879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Confirms that the SA4 is structurally heterogeneous rather than one uniform housing market.</w:t>
            </w:r>
          </w:p>
        </w:tc>
      </w:tr>
      <w:tr w:rsidR="007A7886" w:rsidRPr="007A7886" w14:paraId="23F0ECDD" w14:textId="77777777" w:rsidTr="007A78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26709F" w14:textId="77777777" w:rsidR="007A7886" w:rsidRPr="007A7886" w:rsidRDefault="007A7886" w:rsidP="007A7886">
            <w:pPr>
              <w:spacing w:after="160" w:line="278" w:lineRule="auto"/>
            </w:pPr>
            <w:r w:rsidRPr="007A7886">
              <w:t xml:space="preserve">ABS suburb </w:t>
            </w:r>
            <w:proofErr w:type="spellStart"/>
            <w:r w:rsidRPr="007A7886">
              <w:t>QuickStats</w:t>
            </w:r>
            <w:proofErr w:type="spellEnd"/>
            <w:r w:rsidRPr="007A7886">
              <w:t xml:space="preserve"> for Artarmon, Lane Cove North, Kirribilli and Chatswood. (</w:t>
            </w:r>
            <w:hyperlink r:id="rId28" w:tooltip="2021 Artarmon, Census All persons QuickStats | Australian Bureau of Statistics" w:history="1">
              <w:r w:rsidRPr="007A7886">
                <w:rPr>
                  <w:rStyle w:val="Hyperlink"/>
                </w:rPr>
                <w:t>Australian Bureau of Statistics</w:t>
              </w:r>
            </w:hyperlink>
            <w:r w:rsidRPr="007A7886">
              <w:t>)</w:t>
            </w:r>
          </w:p>
        </w:tc>
        <w:tc>
          <w:tcPr>
            <w:tcW w:w="0" w:type="auto"/>
            <w:hideMark/>
          </w:tcPr>
          <w:p w14:paraId="1ABB7129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Supports the apartment-oriented Lower North Shore interpretation.</w:t>
            </w:r>
          </w:p>
        </w:tc>
      </w:tr>
      <w:tr w:rsidR="007A7886" w:rsidRPr="007A7886" w14:paraId="083042D0" w14:textId="77777777" w:rsidTr="007A78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BBB240" w14:textId="77777777" w:rsidR="007A7886" w:rsidRPr="007A7886" w:rsidRDefault="007A7886" w:rsidP="007A7886">
            <w:pPr>
              <w:spacing w:after="160" w:line="278" w:lineRule="auto"/>
            </w:pPr>
            <w:r w:rsidRPr="007A7886">
              <w:t>Willoughby Housing Position Statement identifies Artarmon Station as the suburb's focal point and notes most of the suburb lies within 800m of it, with strong public-transport accessibility. (</w:t>
            </w:r>
            <w:hyperlink r:id="rId29" w:tooltip="WILLOUGHBY CITY COUNCIL" w:history="1">
              <w:r w:rsidRPr="007A7886">
                <w:rPr>
                  <w:rStyle w:val="Hyperlink"/>
                </w:rPr>
                <w:t>Willoughby City Council</w:t>
              </w:r>
            </w:hyperlink>
            <w:r w:rsidRPr="007A7886">
              <w:t>)</w:t>
            </w:r>
          </w:p>
        </w:tc>
        <w:tc>
          <w:tcPr>
            <w:tcW w:w="0" w:type="auto"/>
            <w:hideMark/>
          </w:tcPr>
          <w:p w14:paraId="77B22487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Supports the transport-accessible apartment-belt interpretation without claiming transport caused rent growth.</w:t>
            </w:r>
          </w:p>
        </w:tc>
      </w:tr>
      <w:tr w:rsidR="007A7886" w:rsidRPr="007A7886" w14:paraId="4CBF6810" w14:textId="77777777" w:rsidTr="007A78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7FCB1A" w14:textId="77777777" w:rsidR="007A7886" w:rsidRPr="007A7886" w:rsidRDefault="007A7886" w:rsidP="007A7886">
            <w:pPr>
              <w:spacing w:after="160" w:line="278" w:lineRule="auto"/>
            </w:pPr>
            <w:r w:rsidRPr="007A7886">
              <w:lastRenderedPageBreak/>
              <w:t>ABS Castlecrag, Castle Cove and East Killara. (</w:t>
            </w:r>
            <w:hyperlink r:id="rId30" w:tooltip="2021 Castlecrag, Census All persons QuickStats | Australian Bureau of Statistics" w:history="1">
              <w:r w:rsidRPr="007A7886">
                <w:rPr>
                  <w:rStyle w:val="Hyperlink"/>
                </w:rPr>
                <w:t>Australian Bureau of Statistics</w:t>
              </w:r>
            </w:hyperlink>
            <w:r w:rsidRPr="007A7886">
              <w:t>)</w:t>
            </w:r>
          </w:p>
        </w:tc>
        <w:tc>
          <w:tcPr>
            <w:tcW w:w="0" w:type="auto"/>
            <w:hideMark/>
          </w:tcPr>
          <w:p w14:paraId="479F7E5C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Supports the low-density, large-home character of the purchase-led prestige cluster.</w:t>
            </w:r>
          </w:p>
        </w:tc>
      </w:tr>
      <w:tr w:rsidR="007A7886" w:rsidRPr="007A7886" w14:paraId="119A9EAB" w14:textId="77777777" w:rsidTr="007A78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080314" w14:textId="77777777" w:rsidR="007A7886" w:rsidRPr="007A7886" w:rsidRDefault="007A7886" w:rsidP="007A7886">
            <w:pPr>
              <w:spacing w:after="160" w:line="278" w:lineRule="auto"/>
            </w:pPr>
            <w:r w:rsidRPr="007A7886">
              <w:t>Hornsby Shire Housing Strategy. (</w:t>
            </w:r>
            <w:hyperlink r:id="rId31" w:tooltip="Housing Strategy | Hornsby Shire Council" w:history="1">
              <w:r w:rsidRPr="007A7886">
                <w:rPr>
                  <w:rStyle w:val="Hyperlink"/>
                </w:rPr>
                <w:t>Hornsby Shire Council</w:t>
              </w:r>
            </w:hyperlink>
            <w:r w:rsidRPr="007A7886">
              <w:t>)</w:t>
            </w:r>
          </w:p>
        </w:tc>
        <w:tc>
          <w:tcPr>
            <w:tcW w:w="0" w:type="auto"/>
            <w:hideMark/>
          </w:tcPr>
          <w:p w14:paraId="5C6B0B3A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Provides planning evidence for Asquith's higher-density housing role.</w:t>
            </w:r>
          </w:p>
        </w:tc>
      </w:tr>
      <w:tr w:rsidR="007A7886" w:rsidRPr="007A7886" w14:paraId="128DBD78" w14:textId="77777777" w:rsidTr="007A78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C5BD7E" w14:textId="77777777" w:rsidR="007A7886" w:rsidRPr="007A7886" w:rsidRDefault="007A7886" w:rsidP="007A7886">
            <w:pPr>
              <w:spacing w:after="160" w:line="278" w:lineRule="auto"/>
            </w:pPr>
            <w:r w:rsidRPr="007A7886">
              <w:t>Committee for Sydney / BDO, State of the City 2026. (</w:t>
            </w:r>
            <w:hyperlink r:id="rId32" w:tooltip="STATE OF THE CITY 2026 | BDO for the Committee for Sydney" w:history="1">
              <w:r w:rsidRPr="007A7886">
                <w:rPr>
                  <w:rStyle w:val="Hyperlink"/>
                </w:rPr>
                <w:t>Committee for Sydney</w:t>
              </w:r>
            </w:hyperlink>
            <w:r w:rsidRPr="007A7886">
              <w:t>)</w:t>
            </w:r>
          </w:p>
        </w:tc>
        <w:tc>
          <w:tcPr>
            <w:tcW w:w="0" w:type="auto"/>
            <w:hideMark/>
          </w:tcPr>
          <w:p w14:paraId="04036D88" w14:textId="77777777" w:rsidR="007A7886" w:rsidRPr="007A7886" w:rsidRDefault="007A7886" w:rsidP="007A7886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A7886">
              <w:t>Provides wider evidence of constrained growth and worsening affordability in family-sized housing.</w:t>
            </w:r>
          </w:p>
        </w:tc>
      </w:tr>
    </w:tbl>
    <w:p w14:paraId="14D6CC8A" w14:textId="77777777" w:rsidR="007A7886" w:rsidRDefault="007A7886" w:rsidP="007A7886">
      <w:pPr>
        <w:rPr>
          <w:b/>
          <w:bCs/>
        </w:rPr>
      </w:pPr>
    </w:p>
    <w:p w14:paraId="0560FABA" w14:textId="77777777" w:rsidR="00B7349B" w:rsidRDefault="00B7349B" w:rsidP="007A7886">
      <w:pPr>
        <w:rPr>
          <w:b/>
          <w:bCs/>
        </w:rPr>
      </w:pPr>
    </w:p>
    <w:p w14:paraId="62AA6DDF" w14:textId="5A13CAFB" w:rsidR="007A7886" w:rsidRPr="007A7886" w:rsidRDefault="007A7886" w:rsidP="00B7349B">
      <w:pPr>
        <w:pStyle w:val="Heading3"/>
      </w:pPr>
      <w:r w:rsidRPr="007A7886">
        <w:t>Overall conclusion</w:t>
      </w:r>
    </w:p>
    <w:p w14:paraId="796C3AEA" w14:textId="77777777" w:rsidR="00B7349B" w:rsidRPr="00B7349B" w:rsidRDefault="00B7349B" w:rsidP="00B7349B">
      <w:r w:rsidRPr="00B7349B">
        <w:t xml:space="preserve">North Sydney &amp; Hornsby is not a single affordability story but a </w:t>
      </w:r>
      <w:r w:rsidRPr="00B7349B">
        <w:rPr>
          <w:b/>
          <w:bCs/>
        </w:rPr>
        <w:t>set of distinct housing regimes shaped by geography, dwelling type and tenure</w:t>
      </w:r>
      <w:r w:rsidRPr="00B7349B">
        <w:t>. Purchase affordability remains structurally weak across much of the region, with very high Price-to-Income ratios in prestige and Upper North Shore markets, yet sales activity has remained resilient. Since 2022, the stronger deterioration has occurred on the rental side: rents have risen far faster than sales prices, while the rental-bond base has remained broadly stable and rental turnover has fallen.</w:t>
      </w:r>
    </w:p>
    <w:p w14:paraId="481D1B58" w14:textId="77777777" w:rsidR="00B7349B" w:rsidRPr="00B7349B" w:rsidRDefault="00B7349B" w:rsidP="00B7349B">
      <w:r w:rsidRPr="00B7349B">
        <w:t xml:space="preserve">This pressure is unevenly distributed. Apartment-oriented areas such as the Lower North Shore and Asquith retain comparatively better purchase affordability, although renters still face substantial rent growth. In contrast, St Ives, </w:t>
      </w:r>
      <w:proofErr w:type="spellStart"/>
      <w:r w:rsidRPr="00B7349B">
        <w:t>Pymble</w:t>
      </w:r>
      <w:proofErr w:type="spellEnd"/>
      <w:r w:rsidRPr="00B7349B">
        <w:t xml:space="preserve">, East Lindfield and </w:t>
      </w:r>
      <w:proofErr w:type="spellStart"/>
      <w:r w:rsidRPr="00B7349B">
        <w:t>Normanhurst</w:t>
      </w:r>
      <w:proofErr w:type="spellEnd"/>
      <w:r w:rsidRPr="00B7349B">
        <w:t xml:space="preserve"> experience </w:t>
      </w:r>
      <w:r w:rsidRPr="00B7349B">
        <w:rPr>
          <w:b/>
          <w:bCs/>
        </w:rPr>
        <w:t>combined pressure</w:t>
      </w:r>
      <w:r w:rsidRPr="00B7349B">
        <w:t>, where already-high purchase costs are reinforced by worsening rents.</w:t>
      </w:r>
    </w:p>
    <w:p w14:paraId="1FAEE4F3" w14:textId="77777777" w:rsidR="00B7349B" w:rsidRPr="00B7349B" w:rsidRDefault="00B7349B" w:rsidP="00B7349B">
      <w:r w:rsidRPr="00B7349B">
        <w:t xml:space="preserve">Segment analysis explains much of this difference: rental activity is concentrated in flats and 1–2BR dwellings, while the most severe pressure occurs in </w:t>
      </w:r>
      <w:r w:rsidRPr="00B7349B">
        <w:rPr>
          <w:b/>
          <w:bCs/>
        </w:rPr>
        <w:t>houses and 3+BR housing</w:t>
      </w:r>
      <w:r w:rsidRPr="00B7349B">
        <w:t xml:space="preserve">. High regional incomes moderate aggregate rent burden, but do not remove these underlying pressures. Overall, affordability depends less on the region as a whole than on </w:t>
      </w:r>
      <w:r w:rsidRPr="00B7349B">
        <w:rPr>
          <w:b/>
          <w:bCs/>
        </w:rPr>
        <w:t>where households live, what housing they need, and whether they rent or buy</w:t>
      </w:r>
      <w:r w:rsidRPr="00B7349B">
        <w:t>.</w:t>
      </w:r>
    </w:p>
    <w:p w14:paraId="2B757ED8" w14:textId="77777777" w:rsidR="00B7349B" w:rsidRPr="007A7886" w:rsidRDefault="00B7349B" w:rsidP="00B7349B">
      <w:r w:rsidRPr="007A7886">
        <w:t xml:space="preserve">The strongest overall finding is therefore not that </w:t>
      </w:r>
      <w:r w:rsidRPr="007A7886">
        <w:rPr>
          <w:b/>
          <w:bCs/>
        </w:rPr>
        <w:t>“North Sydney &amp; Hornsby is unaffordable”</w:t>
      </w:r>
      <w:r w:rsidRPr="007A7886">
        <w:t xml:space="preserve">, but that </w:t>
      </w:r>
      <w:r w:rsidRPr="007A7886">
        <w:rPr>
          <w:b/>
          <w:bCs/>
        </w:rPr>
        <w:t>the form of unaffordability changes sharply across geography and housing type</w:t>
      </w:r>
      <w:r w:rsidRPr="007A7886">
        <w:t>.</w:t>
      </w:r>
    </w:p>
    <w:p w14:paraId="54E17FB7" w14:textId="77777777" w:rsidR="00B7349B" w:rsidRDefault="00B7349B" w:rsidP="007A7886"/>
    <w:p w14:paraId="263B18FE" w14:textId="77777777" w:rsidR="007A7886" w:rsidRPr="007A7886" w:rsidRDefault="007A7886" w:rsidP="007A7886">
      <w:r w:rsidRPr="007A7886">
        <w:rPr>
          <w:b/>
          <w:bCs/>
        </w:rPr>
        <w:t xml:space="preserve">Method </w:t>
      </w:r>
      <w:proofErr w:type="gramStart"/>
      <w:r w:rsidRPr="007A7886">
        <w:rPr>
          <w:b/>
          <w:bCs/>
        </w:rPr>
        <w:t>note</w:t>
      </w:r>
      <w:proofErr w:type="gramEnd"/>
      <w:r w:rsidRPr="007A7886">
        <w:rPr>
          <w:b/>
          <w:bCs/>
        </w:rPr>
        <w:t>:</w:t>
      </w:r>
      <w:r w:rsidRPr="007A7886">
        <w:t xml:space="preserve"> Rent burden and Price-to-Income use fixed </w:t>
      </w:r>
      <w:r w:rsidRPr="007A7886">
        <w:rPr>
          <w:b/>
          <w:bCs/>
        </w:rPr>
        <w:t>2021 Census household income</w:t>
      </w:r>
      <w:r w:rsidRPr="007A7886">
        <w:t xml:space="preserve">, so they are best interpreted as comparative affordability indicators rather than exact 2025 household stress. The 2021 Census was also collected during pandemic-era international border restrictions, so its household composition may not fully represent the post-2022 renter population. Rent-v-CPI is therefore the stronger measure for </w:t>
      </w:r>
      <w:proofErr w:type="spellStart"/>
      <w:r w:rsidRPr="007A7886">
        <w:t>analysing</w:t>
      </w:r>
      <w:proofErr w:type="spellEnd"/>
      <w:r w:rsidRPr="007A7886">
        <w:t xml:space="preserve"> temporal deterioration.</w:t>
      </w:r>
    </w:p>
    <w:p w14:paraId="121260ED" w14:textId="77777777" w:rsidR="00A42C06" w:rsidRDefault="00A42C06"/>
    <w:sectPr w:rsidR="00A42C06" w:rsidSect="00B7349B">
      <w:footerReference w:type="default" r:id="rId33"/>
      <w:pgSz w:w="12240" w:h="15840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35CC65" w14:textId="77777777" w:rsidR="001621C4" w:rsidRDefault="001621C4" w:rsidP="00B7349B">
      <w:pPr>
        <w:spacing w:after="0" w:line="240" w:lineRule="auto"/>
      </w:pPr>
      <w:r>
        <w:separator/>
      </w:r>
    </w:p>
  </w:endnote>
  <w:endnote w:type="continuationSeparator" w:id="0">
    <w:p w14:paraId="7F6455F1" w14:textId="77777777" w:rsidR="001621C4" w:rsidRDefault="001621C4" w:rsidP="00B73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34BF2" w14:textId="2FBFFBD3" w:rsidR="00B7349B" w:rsidRDefault="00B7349B">
    <w:pPr>
      <w:pStyle w:val="Footer"/>
    </w:pPr>
    <w:r w:rsidRPr="00082967">
      <w:t xml:space="preserve">Created by </w:t>
    </w:r>
    <w:r>
      <w:t>Sankalp Roy</w:t>
    </w:r>
    <w:r w:rsidRPr="00082967">
      <w:t>. Licensed under CC BY 4.0. Free to use, share, and adapt with attribution.</w:t>
    </w:r>
  </w:p>
  <w:p w14:paraId="7FC03F83" w14:textId="77777777" w:rsidR="00B7349B" w:rsidRDefault="00B734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342099" w14:textId="77777777" w:rsidR="001621C4" w:rsidRDefault="001621C4" w:rsidP="00B7349B">
      <w:pPr>
        <w:spacing w:after="0" w:line="240" w:lineRule="auto"/>
      </w:pPr>
      <w:r>
        <w:separator/>
      </w:r>
    </w:p>
  </w:footnote>
  <w:footnote w:type="continuationSeparator" w:id="0">
    <w:p w14:paraId="444DCD46" w14:textId="77777777" w:rsidR="001621C4" w:rsidRDefault="001621C4" w:rsidP="00B7349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886"/>
    <w:rsid w:val="00094D86"/>
    <w:rsid w:val="001621C4"/>
    <w:rsid w:val="00254FB2"/>
    <w:rsid w:val="003E5841"/>
    <w:rsid w:val="00483482"/>
    <w:rsid w:val="006E230F"/>
    <w:rsid w:val="00745C81"/>
    <w:rsid w:val="007A7886"/>
    <w:rsid w:val="009136E8"/>
    <w:rsid w:val="00935E37"/>
    <w:rsid w:val="00A42C06"/>
    <w:rsid w:val="00B7349B"/>
    <w:rsid w:val="00CA364E"/>
    <w:rsid w:val="00CB7059"/>
    <w:rsid w:val="00CB7593"/>
    <w:rsid w:val="00D04437"/>
    <w:rsid w:val="00D156B9"/>
    <w:rsid w:val="00DA2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2D326"/>
  <w15:chartTrackingRefBased/>
  <w15:docId w15:val="{1AE0D0E9-A01C-4E50-A49F-8875E5E53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7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7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A78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7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78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78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78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78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78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78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78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A78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78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78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7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7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7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7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78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7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7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7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7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7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7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78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78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78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788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788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7886"/>
    <w:rPr>
      <w:color w:val="605E5C"/>
      <w:shd w:val="clear" w:color="auto" w:fill="E1DFDD"/>
    </w:rPr>
  </w:style>
  <w:style w:type="table" w:styleId="GridTable1Light">
    <w:name w:val="Grid Table 1 Light"/>
    <w:basedOn w:val="TableNormal"/>
    <w:uiPriority w:val="46"/>
    <w:rsid w:val="007A788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uiPriority w:val="22"/>
    <w:qFormat/>
    <w:rsid w:val="007A7886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B73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349B"/>
  </w:style>
  <w:style w:type="paragraph" w:styleId="Footer">
    <w:name w:val="footer"/>
    <w:basedOn w:val="Normal"/>
    <w:link w:val="FooterChar"/>
    <w:uiPriority w:val="99"/>
    <w:unhideWhenUsed/>
    <w:rsid w:val="00B73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34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hyperlink" Target="https://www.hornsby.nsw.gov.au/Property/Building-and-development/Policies-and-guidelines/Planning-strategies-and-studies/Housing-Strategy?utm_source=chatgpt.com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https://www.abs.gov.au/census/find-census-data/quickstats/2021/SAL12182?utm_source=chatgpt.com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www.abs.gov.au/census/find-census-data/quickstats/2021/121031409?utm_source=chatgpt.com" TargetMode="External"/><Relationship Id="rId20" Type="http://schemas.openxmlformats.org/officeDocument/2006/relationships/image" Target="media/image11.png"/><Relationship Id="rId29" Type="http://schemas.openxmlformats.org/officeDocument/2006/relationships/hyperlink" Target="https://www.willoughby.nsw.gov.au/files/sharedassets/public/v/1/ecm/willoughby-council-website/meeting-documents-agendas-and-minutes-meeting-reports-statements-of-determinations-registers/meeting-documents-agendas-and-minutes-meeting-reports-statements-of-determinations-registers/1-attachment_3_-_willoughby_housing-position_statement_for_discussion_14mb.pdf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3.png"/><Relationship Id="rId32" Type="http://schemas.openxmlformats.org/officeDocument/2006/relationships/hyperlink" Target="https://sydney.org.au/wp-content/uploads/2026/02/State-of-the-City-2026-A-bold-city.pdf?utm_source=chatgpt.com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hyperlink" Target="https://www.abs.gov.au/census/find-census-data/quickstats/2021/SAL10104?utm_source=chatgpt.com" TargetMode="External"/><Relationship Id="rId28" Type="http://schemas.openxmlformats.org/officeDocument/2006/relationships/hyperlink" Target="https://www.abs.gov.au/census/find-census-data/quickstats/2021/SAL10091?utm_source=chatgpt.com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31" Type="http://schemas.openxmlformats.org/officeDocument/2006/relationships/hyperlink" Target="https://www.hornsby.nsw.gov.au/Property/Building-and-development/Policies-and-guidelines/Planning-strategies-and-studies/Housing-Strategy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abs.gov.au/census/find-census-data/quickstats/2021/SAL10848" TargetMode="External"/><Relationship Id="rId22" Type="http://schemas.openxmlformats.org/officeDocument/2006/relationships/hyperlink" Target="https://sydney.org.au/wp-content/uploads/2026/02/State-of-the-City-2026-A-bold-city.pdf?utm_source=chatgpt.com" TargetMode="External"/><Relationship Id="rId27" Type="http://schemas.openxmlformats.org/officeDocument/2006/relationships/hyperlink" Target="https://www.abs.gov.au/census/find-census-data/quickstats/2021/121?utm_source=chatgpt.com" TargetMode="External"/><Relationship Id="rId30" Type="http://schemas.openxmlformats.org/officeDocument/2006/relationships/hyperlink" Target="https://www.abs.gov.au/census/find-census-data/quickstats/2021/SAL10848" TargetMode="External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8A6C22-E1E8-4421-96CC-12E632BF64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12</Pages>
  <Words>2328</Words>
  <Characters>13272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Sankalp Roy</dc:creator>
  <cp:keywords/>
  <dc:description/>
  <cp:lastModifiedBy>Sankalp Roy</cp:lastModifiedBy>
  <cp:revision>3</cp:revision>
  <dcterms:created xsi:type="dcterms:W3CDTF">2026-08-26T10:16:00Z</dcterms:created>
  <dcterms:modified xsi:type="dcterms:W3CDTF">2026-08-26T10:18:00Z</dcterms:modified>
</cp:coreProperties>
</file>