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D2C25" w14:textId="77777777" w:rsidR="007A7886" w:rsidRPr="007A7886" w:rsidRDefault="007A7886" w:rsidP="007A7886">
      <w:pPr>
        <w:pStyle w:val="Heading1"/>
        <w:jc w:val="center"/>
      </w:pPr>
      <w:r w:rsidRPr="007A7886">
        <w:t>North Sydney &amp; Hornsby Housing Affordability Report</w:t>
      </w:r>
    </w:p>
    <w:p w14:paraId="2DF75809" w14:textId="77777777" w:rsidR="007A7886" w:rsidRDefault="007A7886" w:rsidP="007A7886">
      <w:pPr>
        <w:rPr>
          <w:b/>
          <w:bCs/>
        </w:rPr>
      </w:pPr>
    </w:p>
    <w:p w14:paraId="3833742A" w14:textId="1426C244" w:rsidR="007A7886" w:rsidRPr="00094D86" w:rsidRDefault="007A7886" w:rsidP="00094D86">
      <w:pPr>
        <w:rPr>
          <w:sz w:val="28"/>
          <w:szCs w:val="28"/>
        </w:rPr>
      </w:pPr>
      <w:r w:rsidRPr="00094D86">
        <w:rPr>
          <w:sz w:val="28"/>
          <w:szCs w:val="28"/>
        </w:rPr>
        <w:t>Analysis period: 2022-Q1 to 2025-Q3</w:t>
      </w:r>
    </w:p>
    <w:p w14:paraId="28FC383D" w14:textId="77777777" w:rsidR="007A7886" w:rsidRPr="007A7886" w:rsidRDefault="007A7886" w:rsidP="007A7886">
      <w:pPr>
        <w:pStyle w:val="Heading3"/>
      </w:pPr>
      <w:r w:rsidRPr="007A7886">
        <w:t>Executive summary</w:t>
      </w:r>
    </w:p>
    <w:p w14:paraId="6F0652DA" w14:textId="77777777" w:rsidR="007A7886" w:rsidRDefault="007A7886" w:rsidP="007A7886">
      <w:r w:rsidRPr="007A7886">
        <w:t xml:space="preserve">North Sydney &amp; Hornsby is best understood as a </w:t>
      </w:r>
      <w:r w:rsidRPr="007A7886">
        <w:rPr>
          <w:b/>
          <w:bCs/>
        </w:rPr>
        <w:t>high-cost but internally segmented housing market</w:t>
      </w:r>
      <w:r w:rsidRPr="007A7886">
        <w:t xml:space="preserve">. By 2025-Q3, the region recorded a median sales price of about </w:t>
      </w:r>
      <w:r w:rsidRPr="007A7886">
        <w:rPr>
          <w:b/>
          <w:bCs/>
        </w:rPr>
        <w:t>$1.82 million</w:t>
      </w:r>
      <w:r w:rsidRPr="007A7886">
        <w:t xml:space="preserve">, median weekly rent of </w:t>
      </w:r>
      <w:r w:rsidRPr="007A7886">
        <w:rPr>
          <w:b/>
          <w:bCs/>
        </w:rPr>
        <w:t>$844</w:t>
      </w:r>
      <w:r w:rsidRPr="007A7886">
        <w:t xml:space="preserve">, a </w:t>
      </w:r>
      <w:r w:rsidRPr="007A7886">
        <w:rPr>
          <w:b/>
          <w:bCs/>
        </w:rPr>
        <w:t>12.9x Price-to-Income ratio</w:t>
      </w:r>
      <w:r w:rsidRPr="007A7886">
        <w:t xml:space="preserve">, and </w:t>
      </w:r>
      <w:r w:rsidRPr="007A7886">
        <w:rPr>
          <w:b/>
          <w:bCs/>
        </w:rPr>
        <w:t>30.9% rent burden</w:t>
      </w:r>
      <w:r w:rsidRPr="007A7886">
        <w:t>.</w:t>
      </w:r>
    </w:p>
    <w:p w14:paraId="612B8445" w14:textId="394A194E" w:rsidR="00DA29FC" w:rsidRDefault="00DA29FC" w:rsidP="007A7886">
      <w:r w:rsidRPr="00DA29FC">
        <w:rPr>
          <w:noProof/>
        </w:rPr>
        <w:drawing>
          <wp:inline distT="0" distB="0" distL="0" distR="0" wp14:anchorId="44240E21" wp14:editId="4B34AA7B">
            <wp:extent cx="5943600" cy="2830195"/>
            <wp:effectExtent l="0" t="0" r="0" b="8255"/>
            <wp:docPr id="196100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00751" name=""/>
                    <pic:cNvPicPr/>
                  </pic:nvPicPr>
                  <pic:blipFill>
                    <a:blip r:embed="rId8"/>
                    <a:stretch>
                      <a:fillRect/>
                    </a:stretch>
                  </pic:blipFill>
                  <pic:spPr>
                    <a:xfrm>
                      <a:off x="0" y="0"/>
                      <a:ext cx="5943600" cy="2830195"/>
                    </a:xfrm>
                    <a:prstGeom prst="rect">
                      <a:avLst/>
                    </a:prstGeom>
                  </pic:spPr>
                </pic:pic>
              </a:graphicData>
            </a:graphic>
          </wp:inline>
        </w:drawing>
      </w:r>
    </w:p>
    <w:p w14:paraId="6DEE5516" w14:textId="20042052" w:rsidR="00DA29FC" w:rsidRPr="00DA29FC" w:rsidRDefault="00DA29FC" w:rsidP="007A7886">
      <w:pPr>
        <w:rPr>
          <w:i/>
          <w:iCs/>
          <w:sz w:val="20"/>
          <w:szCs w:val="20"/>
        </w:rPr>
      </w:pPr>
      <w:r w:rsidRPr="00DA29FC">
        <w:rPr>
          <w:i/>
          <w:iCs/>
          <w:sz w:val="20"/>
          <w:szCs w:val="20"/>
        </w:rPr>
        <w:t>The region Consistently sits in the dual pressure region with both weekly rent and sales price above median mark</w:t>
      </w:r>
    </w:p>
    <w:p w14:paraId="60A5551A" w14:textId="77777777" w:rsidR="007A7886" w:rsidRDefault="007A7886" w:rsidP="007A7886">
      <w:r w:rsidRPr="007A7886">
        <w:t xml:space="preserve">The main change since 2022 has not been a uniform escalation in purchase prices. Instead, </w:t>
      </w:r>
      <w:r w:rsidRPr="007A7886">
        <w:rPr>
          <w:b/>
          <w:bCs/>
        </w:rPr>
        <w:t>rents have repriced much more consistently than sales prices</w:t>
      </w:r>
      <w:r w:rsidRPr="007A7886">
        <w:t xml:space="preserve">, while purchase activity has remained resilient. Across a comparable Q3 postcode cohort, median rent growth was around </w:t>
      </w:r>
      <w:r w:rsidRPr="007A7886">
        <w:rPr>
          <w:b/>
          <w:bCs/>
        </w:rPr>
        <w:t>39%</w:t>
      </w:r>
      <w:r w:rsidRPr="007A7886">
        <w:t xml:space="preserve">, versus only about </w:t>
      </w:r>
      <w:r w:rsidRPr="007A7886">
        <w:rPr>
          <w:b/>
          <w:bCs/>
        </w:rPr>
        <w:t>6% median sales-price growth</w:t>
      </w:r>
      <w:r w:rsidRPr="007A7886">
        <w:t xml:space="preserve">. At the same time, sales transactions increased by roughly </w:t>
      </w:r>
      <w:r w:rsidRPr="007A7886">
        <w:rPr>
          <w:b/>
          <w:bCs/>
        </w:rPr>
        <w:t>22%</w:t>
      </w:r>
      <w:r w:rsidRPr="007A7886">
        <w:t>.</w:t>
      </w:r>
    </w:p>
    <w:p w14:paraId="350468BE" w14:textId="42D0EDC2" w:rsidR="007A7886" w:rsidRDefault="007A7886" w:rsidP="007A7886">
      <w:r w:rsidRPr="007A7886">
        <w:rPr>
          <w:noProof/>
        </w:rPr>
        <w:lastRenderedPageBreak/>
        <w:drawing>
          <wp:inline distT="0" distB="0" distL="0" distR="0" wp14:anchorId="643E0C95" wp14:editId="537BB6EB">
            <wp:extent cx="5943600" cy="2834005"/>
            <wp:effectExtent l="0" t="0" r="0" b="4445"/>
            <wp:docPr id="145006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65233" name=""/>
                    <pic:cNvPicPr/>
                  </pic:nvPicPr>
                  <pic:blipFill>
                    <a:blip r:embed="rId9"/>
                    <a:stretch>
                      <a:fillRect/>
                    </a:stretch>
                  </pic:blipFill>
                  <pic:spPr>
                    <a:xfrm>
                      <a:off x="0" y="0"/>
                      <a:ext cx="5943600" cy="2834005"/>
                    </a:xfrm>
                    <a:prstGeom prst="rect">
                      <a:avLst/>
                    </a:prstGeom>
                  </pic:spPr>
                </pic:pic>
              </a:graphicData>
            </a:graphic>
          </wp:inline>
        </w:drawing>
      </w:r>
    </w:p>
    <w:p w14:paraId="491B2197" w14:textId="4902479F" w:rsidR="007A7886" w:rsidRPr="007A7886" w:rsidRDefault="007A7886" w:rsidP="007A7886">
      <w:pPr>
        <w:rPr>
          <w:i/>
          <w:iCs/>
          <w:sz w:val="20"/>
          <w:szCs w:val="20"/>
        </w:rPr>
      </w:pPr>
      <w:r w:rsidRPr="007A7886">
        <w:rPr>
          <w:i/>
          <w:iCs/>
          <w:sz w:val="20"/>
          <w:szCs w:val="20"/>
        </w:rPr>
        <w:t xml:space="preserve"> A comparison b/w rent and sales price growth: North Sydney and Hornsby</w:t>
      </w:r>
    </w:p>
    <w:p w14:paraId="41BEB377" w14:textId="77777777" w:rsidR="007A7886" w:rsidRPr="007A7886" w:rsidRDefault="007A7886" w:rsidP="007A7886">
      <w:r w:rsidRPr="007A7886">
        <w:t xml:space="preserve">The result is a region where purchase affordability remains structurally poor, but the </w:t>
      </w:r>
      <w:r w:rsidRPr="007A7886">
        <w:rPr>
          <w:b/>
          <w:bCs/>
        </w:rPr>
        <w:t>incremental affordability deterioration since 2022 has increasingly come from renting</w:t>
      </w:r>
      <w:r w:rsidRPr="007A7886">
        <w:t>.</w:t>
      </w:r>
    </w:p>
    <w:p w14:paraId="4BF7C115" w14:textId="53EB38CA" w:rsidR="007A7886" w:rsidRPr="007A7886" w:rsidRDefault="007A7886" w:rsidP="007A7886"/>
    <w:p w14:paraId="7AB72F32" w14:textId="5078FB7A" w:rsidR="007A7886" w:rsidRPr="007A7886" w:rsidRDefault="007A7886" w:rsidP="007A7886">
      <w:pPr>
        <w:pStyle w:val="Heading3"/>
      </w:pPr>
      <w:r w:rsidRPr="007A7886">
        <w:t xml:space="preserve">Market </w:t>
      </w:r>
      <w:proofErr w:type="spellStart"/>
      <w:r w:rsidRPr="007A7886">
        <w:t>behaviour</w:t>
      </w:r>
      <w:proofErr w:type="spellEnd"/>
      <w:r w:rsidRPr="007A7886">
        <w:t>: stable rental base, lower turnover, stronger rents</w:t>
      </w:r>
    </w:p>
    <w:p w14:paraId="609A98EF" w14:textId="77777777" w:rsidR="007A7886" w:rsidRPr="007A7886" w:rsidRDefault="007A7886" w:rsidP="007A7886">
      <w:r w:rsidRPr="007A7886">
        <w:t>The rental market did not materially shrink. For the same 15 suburbs observed across Q3 periods:</w:t>
      </w:r>
    </w:p>
    <w:tbl>
      <w:tblPr>
        <w:tblStyle w:val="GridTable1Light"/>
        <w:tblW w:w="0" w:type="auto"/>
        <w:tblLook w:val="04A0" w:firstRow="1" w:lastRow="0" w:firstColumn="1" w:lastColumn="0" w:noHBand="0" w:noVBand="1"/>
      </w:tblPr>
      <w:tblGrid>
        <w:gridCol w:w="2577"/>
        <w:gridCol w:w="1063"/>
        <w:gridCol w:w="1063"/>
        <w:gridCol w:w="1031"/>
      </w:tblGrid>
      <w:tr w:rsidR="007A7886" w:rsidRPr="007A7886" w14:paraId="0B71F695" w14:textId="77777777" w:rsidTr="007A7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9E7C3" w14:textId="77777777" w:rsidR="007A7886" w:rsidRPr="007A7886" w:rsidRDefault="007A7886" w:rsidP="007A7886">
            <w:pPr>
              <w:spacing w:after="160" w:line="278" w:lineRule="auto"/>
            </w:pPr>
            <w:r w:rsidRPr="007A7886">
              <w:t>Rental-market indicator</w:t>
            </w:r>
          </w:p>
        </w:tc>
        <w:tc>
          <w:tcPr>
            <w:tcW w:w="0" w:type="auto"/>
            <w:hideMark/>
          </w:tcPr>
          <w:p w14:paraId="196CDCA3"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2022-Q3</w:t>
            </w:r>
          </w:p>
        </w:tc>
        <w:tc>
          <w:tcPr>
            <w:tcW w:w="0" w:type="auto"/>
            <w:hideMark/>
          </w:tcPr>
          <w:p w14:paraId="005926EB"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2025-Q3</w:t>
            </w:r>
          </w:p>
        </w:tc>
        <w:tc>
          <w:tcPr>
            <w:tcW w:w="0" w:type="auto"/>
            <w:hideMark/>
          </w:tcPr>
          <w:p w14:paraId="7736C6B5"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Change</w:t>
            </w:r>
          </w:p>
        </w:tc>
      </w:tr>
      <w:tr w:rsidR="007A7886" w:rsidRPr="007A7886" w14:paraId="2C59A03B"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2E0D787D" w14:textId="77777777" w:rsidR="007A7886" w:rsidRPr="007A7886" w:rsidRDefault="007A7886" w:rsidP="007A7886">
            <w:pPr>
              <w:spacing w:after="160" w:line="278" w:lineRule="auto"/>
            </w:pPr>
            <w:r w:rsidRPr="007A7886">
              <w:t>Overall rental bonds</w:t>
            </w:r>
          </w:p>
        </w:tc>
        <w:tc>
          <w:tcPr>
            <w:tcW w:w="0" w:type="auto"/>
            <w:hideMark/>
          </w:tcPr>
          <w:p w14:paraId="55D41C64"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45,294</w:t>
            </w:r>
          </w:p>
        </w:tc>
        <w:tc>
          <w:tcPr>
            <w:tcW w:w="0" w:type="auto"/>
            <w:hideMark/>
          </w:tcPr>
          <w:p w14:paraId="4551FF05"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45,013</w:t>
            </w:r>
          </w:p>
        </w:tc>
        <w:tc>
          <w:tcPr>
            <w:tcW w:w="0" w:type="auto"/>
            <w:hideMark/>
          </w:tcPr>
          <w:p w14:paraId="75B142B9"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-0.6%</w:t>
            </w:r>
          </w:p>
        </w:tc>
      </w:tr>
      <w:tr w:rsidR="007A7886" w:rsidRPr="007A7886" w14:paraId="06E41889"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0564B601" w14:textId="77777777" w:rsidR="007A7886" w:rsidRPr="007A7886" w:rsidRDefault="007A7886" w:rsidP="007A7886">
            <w:pPr>
              <w:spacing w:after="160" w:line="278" w:lineRule="auto"/>
            </w:pPr>
            <w:r w:rsidRPr="007A7886">
              <w:t>New bonds</w:t>
            </w:r>
          </w:p>
        </w:tc>
        <w:tc>
          <w:tcPr>
            <w:tcW w:w="0" w:type="auto"/>
            <w:hideMark/>
          </w:tcPr>
          <w:p w14:paraId="03A6EB2E"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4,657</w:t>
            </w:r>
          </w:p>
        </w:tc>
        <w:tc>
          <w:tcPr>
            <w:tcW w:w="0" w:type="auto"/>
            <w:hideMark/>
          </w:tcPr>
          <w:p w14:paraId="3598FAA2"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3,868</w:t>
            </w:r>
          </w:p>
        </w:tc>
        <w:tc>
          <w:tcPr>
            <w:tcW w:w="0" w:type="auto"/>
            <w:hideMark/>
          </w:tcPr>
          <w:p w14:paraId="48D3F829"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-16.9%</w:t>
            </w:r>
          </w:p>
        </w:tc>
      </w:tr>
      <w:tr w:rsidR="007A7886" w:rsidRPr="007A7886" w14:paraId="26DBC0B3"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778DF8DD" w14:textId="77777777" w:rsidR="007A7886" w:rsidRPr="007A7886" w:rsidRDefault="007A7886" w:rsidP="007A7886">
            <w:pPr>
              <w:spacing w:after="160" w:line="278" w:lineRule="auto"/>
            </w:pPr>
            <w:r w:rsidRPr="007A7886">
              <w:t>Weighted turnover</w:t>
            </w:r>
          </w:p>
        </w:tc>
        <w:tc>
          <w:tcPr>
            <w:tcW w:w="0" w:type="auto"/>
            <w:hideMark/>
          </w:tcPr>
          <w:p w14:paraId="1C911FDD"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10.28%</w:t>
            </w:r>
          </w:p>
        </w:tc>
        <w:tc>
          <w:tcPr>
            <w:tcW w:w="0" w:type="auto"/>
            <w:hideMark/>
          </w:tcPr>
          <w:p w14:paraId="06801238"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8.59%</w:t>
            </w:r>
          </w:p>
        </w:tc>
        <w:tc>
          <w:tcPr>
            <w:tcW w:w="0" w:type="auto"/>
            <w:hideMark/>
          </w:tcPr>
          <w:p w14:paraId="7A4792E8"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-1.69 pp</w:t>
            </w:r>
          </w:p>
        </w:tc>
      </w:tr>
    </w:tbl>
    <w:p w14:paraId="16571B8C" w14:textId="77777777" w:rsidR="007A7886" w:rsidRDefault="007A7886" w:rsidP="007A7886"/>
    <w:p w14:paraId="577C5497" w14:textId="2A22DBCD" w:rsidR="007A7886" w:rsidRPr="007A7886" w:rsidRDefault="007A7886" w:rsidP="007A7886">
      <w:r w:rsidRPr="007A7886">
        <w:t xml:space="preserve">Therefore, the strongest interpretation is </w:t>
      </w:r>
      <w:r w:rsidRPr="007A7886">
        <w:rPr>
          <w:b/>
          <w:bCs/>
        </w:rPr>
        <w:t>lower rental mobility/turnover rather than a shrinking rental base</w:t>
      </w:r>
      <w:r w:rsidRPr="007A7886">
        <w:t>. There is some Q1–Q3 seasonality in turnover, but the Q3-to-Q3 comparison confirms that the longer-run reduction is not simply seasonal.</w:t>
      </w:r>
    </w:p>
    <w:p w14:paraId="57C5FC39" w14:textId="77777777" w:rsidR="007A7886" w:rsidRPr="007A7886" w:rsidRDefault="007A7886" w:rsidP="007A7886">
      <w:r w:rsidRPr="007A7886">
        <w:t xml:space="preserve">In contrast, purchase activity strengthened. Across comparable Q3 suburbs, total sales rose from roughly </w:t>
      </w:r>
      <w:r w:rsidRPr="007A7886">
        <w:rPr>
          <w:b/>
          <w:bCs/>
        </w:rPr>
        <w:t>1,499 to 1,827 (+22%)</w:t>
      </w:r>
      <w:r w:rsidRPr="007A7886">
        <w:t>. High purchase costs therefore did not prevent transaction activity from recovering.</w:t>
      </w:r>
    </w:p>
    <w:p w14:paraId="6169E89A" w14:textId="77777777" w:rsidR="007A7886" w:rsidRPr="007A7886" w:rsidRDefault="007A7886" w:rsidP="007A7886">
      <w:r w:rsidRPr="007A7886">
        <w:t>This creates an important regional pattern:</w:t>
      </w:r>
    </w:p>
    <w:p w14:paraId="370D4A3E" w14:textId="77777777" w:rsidR="007A7886" w:rsidRDefault="007A7886" w:rsidP="007A7886">
      <w:pPr>
        <w:rPr>
          <w:b/>
          <w:bCs/>
        </w:rPr>
      </w:pPr>
      <w:r w:rsidRPr="007A7886">
        <w:rPr>
          <w:b/>
          <w:bCs/>
        </w:rPr>
        <w:t>The ownership market remained active, while rents rose strongly within a broadly stable rental-bond base but with fewer new leases relative to that base.</w:t>
      </w:r>
    </w:p>
    <w:p w14:paraId="5A16E6D1" w14:textId="5D945624" w:rsidR="00DA29FC" w:rsidRDefault="00DA29FC" w:rsidP="007A7886">
      <w:r w:rsidRPr="00DA29FC">
        <w:rPr>
          <w:noProof/>
        </w:rPr>
        <w:lastRenderedPageBreak/>
        <w:drawing>
          <wp:inline distT="0" distB="0" distL="0" distR="0" wp14:anchorId="1EB98B9B" wp14:editId="4F2D7BB2">
            <wp:extent cx="5302523" cy="4134062"/>
            <wp:effectExtent l="0" t="0" r="0" b="0"/>
            <wp:docPr id="44858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87887" name=""/>
                    <pic:cNvPicPr/>
                  </pic:nvPicPr>
                  <pic:blipFill>
                    <a:blip r:embed="rId10"/>
                    <a:stretch>
                      <a:fillRect/>
                    </a:stretch>
                  </pic:blipFill>
                  <pic:spPr>
                    <a:xfrm>
                      <a:off x="0" y="0"/>
                      <a:ext cx="5302523" cy="4134062"/>
                    </a:xfrm>
                    <a:prstGeom prst="rect">
                      <a:avLst/>
                    </a:prstGeom>
                  </pic:spPr>
                </pic:pic>
              </a:graphicData>
            </a:graphic>
          </wp:inline>
        </w:drawing>
      </w:r>
    </w:p>
    <w:p w14:paraId="5982ABEE" w14:textId="4D86E31B" w:rsidR="00DA29FC" w:rsidRPr="00DA29FC" w:rsidRDefault="00DA29FC" w:rsidP="007A7886">
      <w:pPr>
        <w:rPr>
          <w:i/>
          <w:iCs/>
          <w:sz w:val="20"/>
          <w:szCs w:val="20"/>
        </w:rPr>
      </w:pPr>
      <w:r w:rsidRPr="00DA29FC">
        <w:rPr>
          <w:i/>
          <w:iCs/>
          <w:sz w:val="20"/>
          <w:szCs w:val="20"/>
        </w:rPr>
        <w:t>North Sydney Hornsby Suburb Patterns</w:t>
      </w:r>
    </w:p>
    <w:p w14:paraId="13E5EE63" w14:textId="01EE7D4C" w:rsidR="007A7886" w:rsidRPr="007A7886" w:rsidRDefault="007A7886" w:rsidP="007A7886"/>
    <w:p w14:paraId="76F718D7" w14:textId="0EE3428E" w:rsidR="007A7886" w:rsidRPr="007A7886" w:rsidRDefault="007A7886" w:rsidP="007A7886">
      <w:pPr>
        <w:pStyle w:val="Heading3"/>
      </w:pPr>
      <w:r w:rsidRPr="007A7886">
        <w:t>Affordability shifted increasingly toward the rental side</w:t>
      </w:r>
    </w:p>
    <w:p w14:paraId="0080D7E3" w14:textId="77777777" w:rsidR="007A7886" w:rsidRPr="007A7886" w:rsidRDefault="007A7886" w:rsidP="007A7886">
      <w:r w:rsidRPr="007A7886">
        <w:t xml:space="preserve">Among comparable suburbs, median rent burden increased from roughly </w:t>
      </w:r>
      <w:r w:rsidRPr="007A7886">
        <w:rPr>
          <w:b/>
          <w:bCs/>
        </w:rPr>
        <w:t>23% in 2022-Q2 to 31% by 2025-Q3</w:t>
      </w:r>
      <w:r w:rsidRPr="007A7886">
        <w:t xml:space="preserve">, while Rent-v-CPI moved from approximately </w:t>
      </w:r>
      <w:r w:rsidRPr="007A7886">
        <w:rPr>
          <w:b/>
          <w:bCs/>
        </w:rPr>
        <w:t>+1% to +18%</w:t>
      </w:r>
      <w:r w:rsidRPr="007A7886">
        <w:t>.</w:t>
      </w:r>
    </w:p>
    <w:p w14:paraId="69E6C29B" w14:textId="77777777" w:rsidR="007A7886" w:rsidRPr="007A7886" w:rsidRDefault="007A7886" w:rsidP="007A7886">
      <w:r w:rsidRPr="007A7886">
        <w:t>Price-to-Income ratios remained high but were much less uniformly directional. Some suburbs experienced rising prices, others stagnation, and others large movements caused partly by transaction/property mix.</w:t>
      </w:r>
    </w:p>
    <w:p w14:paraId="54C4956A" w14:textId="77777777" w:rsidR="007A7886" w:rsidRDefault="007A7886" w:rsidP="007A7886">
      <w:r w:rsidRPr="007A7886">
        <w:t xml:space="preserve">This is reflected in the change in affordability classifications. In 2022, the sample was dominated by </w:t>
      </w:r>
      <w:r w:rsidRPr="007A7886">
        <w:rPr>
          <w:b/>
          <w:bCs/>
        </w:rPr>
        <w:t>purchase-led or moderate-purchase-pressure markets</w:t>
      </w:r>
      <w:r w:rsidRPr="007A7886">
        <w:t xml:space="preserve">. By 2025-Q3, the geography had shifted toward a mixture of </w:t>
      </w:r>
      <w:r w:rsidRPr="007A7886">
        <w:rPr>
          <w:b/>
          <w:bCs/>
        </w:rPr>
        <w:t>rent-led, combined-pressure and persistent purchase-led markets</w:t>
      </w:r>
      <w:r w:rsidRPr="007A7886">
        <w:t>.</w:t>
      </w:r>
    </w:p>
    <w:p w14:paraId="3E1F7AEC" w14:textId="489747C8" w:rsidR="00DA29FC" w:rsidRDefault="00DA29FC" w:rsidP="007A7886">
      <w:r w:rsidRPr="00DA29FC">
        <w:rPr>
          <w:noProof/>
        </w:rPr>
        <w:lastRenderedPageBreak/>
        <w:drawing>
          <wp:inline distT="0" distB="0" distL="0" distR="0" wp14:anchorId="6EA9AD4D" wp14:editId="7E6A6784">
            <wp:extent cx="3645087" cy="3721291"/>
            <wp:effectExtent l="0" t="0" r="0" b="0"/>
            <wp:docPr id="128427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9126" name=""/>
                    <pic:cNvPicPr/>
                  </pic:nvPicPr>
                  <pic:blipFill>
                    <a:blip r:embed="rId11"/>
                    <a:stretch>
                      <a:fillRect/>
                    </a:stretch>
                  </pic:blipFill>
                  <pic:spPr>
                    <a:xfrm>
                      <a:off x="0" y="0"/>
                      <a:ext cx="3645087" cy="3721291"/>
                    </a:xfrm>
                    <a:prstGeom prst="rect">
                      <a:avLst/>
                    </a:prstGeom>
                  </pic:spPr>
                </pic:pic>
              </a:graphicData>
            </a:graphic>
          </wp:inline>
        </w:drawing>
      </w:r>
    </w:p>
    <w:p w14:paraId="7E1E81CE" w14:textId="2201A8D4" w:rsidR="00DA29FC" w:rsidRPr="00DA29FC" w:rsidRDefault="00DA29FC" w:rsidP="007A7886">
      <w:pPr>
        <w:rPr>
          <w:i/>
          <w:iCs/>
          <w:sz w:val="20"/>
          <w:szCs w:val="20"/>
        </w:rPr>
      </w:pPr>
      <w:r w:rsidRPr="00DA29FC">
        <w:rPr>
          <w:i/>
          <w:iCs/>
          <w:sz w:val="20"/>
          <w:szCs w:val="20"/>
        </w:rPr>
        <w:t>Pressure Drivers in different suburbs at 2025-Q3: North Sydney and Hornsby</w:t>
      </w:r>
    </w:p>
    <w:p w14:paraId="5AECF53C" w14:textId="4793464C" w:rsidR="00DA29FC" w:rsidRPr="007A7886" w:rsidRDefault="007A7886" w:rsidP="007A7886">
      <w:r w:rsidRPr="007A7886">
        <w:t xml:space="preserve">The region therefore does </w:t>
      </w:r>
      <w:r w:rsidRPr="007A7886">
        <w:rPr>
          <w:b/>
          <w:bCs/>
        </w:rPr>
        <w:t>not</w:t>
      </w:r>
      <w:r w:rsidRPr="007A7886">
        <w:t xml:space="preserve"> have one affordability problem. It contains several distinct regimes.</w:t>
      </w:r>
    </w:p>
    <w:p w14:paraId="17DA2252" w14:textId="6760AC4F" w:rsidR="007A7886" w:rsidRPr="007A7886" w:rsidRDefault="007A7886" w:rsidP="007A7886">
      <w:pPr>
        <w:pStyle w:val="Heading3"/>
      </w:pPr>
      <w:r w:rsidRPr="007A7886">
        <w:t>Spatial affordability structure</w:t>
      </w:r>
    </w:p>
    <w:tbl>
      <w:tblPr>
        <w:tblStyle w:val="GridTable1Light"/>
        <w:tblW w:w="0" w:type="auto"/>
        <w:tblLook w:val="04A0" w:firstRow="1" w:lastRow="0" w:firstColumn="1" w:lastColumn="0" w:noHBand="0" w:noVBand="1"/>
      </w:tblPr>
      <w:tblGrid>
        <w:gridCol w:w="2124"/>
        <w:gridCol w:w="2615"/>
        <w:gridCol w:w="2126"/>
        <w:gridCol w:w="3925"/>
      </w:tblGrid>
      <w:tr w:rsidR="007A7886" w:rsidRPr="007A7886" w14:paraId="1F44EDB3" w14:textId="77777777" w:rsidTr="007A7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35F49" w14:textId="77777777" w:rsidR="007A7886" w:rsidRPr="007A7886" w:rsidRDefault="007A7886" w:rsidP="007A7886">
            <w:pPr>
              <w:spacing w:after="160" w:line="278" w:lineRule="auto"/>
            </w:pPr>
            <w:r w:rsidRPr="007A7886">
              <w:t>Market type</w:t>
            </w:r>
          </w:p>
        </w:tc>
        <w:tc>
          <w:tcPr>
            <w:tcW w:w="0" w:type="auto"/>
            <w:hideMark/>
          </w:tcPr>
          <w:p w14:paraId="4D4B2F89"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Key suburbs</w:t>
            </w:r>
          </w:p>
        </w:tc>
        <w:tc>
          <w:tcPr>
            <w:tcW w:w="0" w:type="auto"/>
            <w:hideMark/>
          </w:tcPr>
          <w:p w14:paraId="586B8790"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2025-Q3 profile</w:t>
            </w:r>
          </w:p>
        </w:tc>
        <w:tc>
          <w:tcPr>
            <w:tcW w:w="0" w:type="auto"/>
            <w:hideMark/>
          </w:tcPr>
          <w:p w14:paraId="303C95A0"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Interpretation</w:t>
            </w:r>
          </w:p>
        </w:tc>
      </w:tr>
      <w:tr w:rsidR="007A7886" w:rsidRPr="007A7886" w14:paraId="3C3AC7C0"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325FA5F3" w14:textId="77777777" w:rsidR="007A7886" w:rsidRPr="007A7886" w:rsidRDefault="007A7886" w:rsidP="007A7886">
            <w:pPr>
              <w:spacing w:after="160" w:line="278" w:lineRule="auto"/>
            </w:pPr>
            <w:r w:rsidRPr="007A7886">
              <w:t>Lower North Shore rent-led / apartment belt</w:t>
            </w:r>
          </w:p>
        </w:tc>
        <w:tc>
          <w:tcPr>
            <w:tcW w:w="0" w:type="auto"/>
            <w:hideMark/>
          </w:tcPr>
          <w:p w14:paraId="1A6E1E6A"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Artarmon, Greenwich, Kirribilli, Lavender Bay; Chatswood as proxy</w:t>
            </w:r>
          </w:p>
        </w:tc>
        <w:tc>
          <w:tcPr>
            <w:tcW w:w="0" w:type="auto"/>
            <w:hideMark/>
          </w:tcPr>
          <w:p w14:paraId="0D9198C2"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P/I generally moderate; rents rising strongly</w:t>
            </w:r>
          </w:p>
        </w:tc>
        <w:tc>
          <w:tcPr>
            <w:tcW w:w="0" w:type="auto"/>
            <w:hideMark/>
          </w:tcPr>
          <w:p w14:paraId="259E128F"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Large apartment/rental markets where rental deterioration has outpaced purchase pressure</w:t>
            </w:r>
          </w:p>
        </w:tc>
      </w:tr>
      <w:tr w:rsidR="007A7886" w:rsidRPr="007A7886" w14:paraId="4DA57F8D"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360DD563" w14:textId="77777777" w:rsidR="007A7886" w:rsidRPr="007A7886" w:rsidRDefault="007A7886" w:rsidP="007A7886">
            <w:pPr>
              <w:spacing w:after="160" w:line="278" w:lineRule="auto"/>
            </w:pPr>
            <w:r w:rsidRPr="007A7886">
              <w:t>Prestige purchase-led belt</w:t>
            </w:r>
          </w:p>
        </w:tc>
        <w:tc>
          <w:tcPr>
            <w:tcW w:w="0" w:type="auto"/>
            <w:hideMark/>
          </w:tcPr>
          <w:p w14:paraId="4BBFF920"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Mosman, Castlecrag, Castle Cove, East Killara</w:t>
            </w:r>
          </w:p>
        </w:tc>
        <w:tc>
          <w:tcPr>
            <w:tcW w:w="0" w:type="auto"/>
            <w:hideMark/>
          </w:tcPr>
          <w:p w14:paraId="1EC52961"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 xml:space="preserve">Median P/I </w:t>
            </w:r>
            <w:r w:rsidRPr="007A7886">
              <w:rPr>
                <w:b/>
                <w:bCs/>
              </w:rPr>
              <w:t>~15.5x</w:t>
            </w:r>
            <w:r w:rsidRPr="007A7886">
              <w:t xml:space="preserve">, burden </w:t>
            </w:r>
            <w:r w:rsidRPr="007A7886">
              <w:rPr>
                <w:b/>
                <w:bCs/>
              </w:rPr>
              <w:t>~28.6%</w:t>
            </w:r>
          </w:p>
        </w:tc>
        <w:tc>
          <w:tcPr>
            <w:tcW w:w="0" w:type="auto"/>
            <w:hideMark/>
          </w:tcPr>
          <w:p w14:paraId="0CD11F2B"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Property values remain extremely high even where recent price growth is modest</w:t>
            </w:r>
          </w:p>
        </w:tc>
      </w:tr>
      <w:tr w:rsidR="007A7886" w:rsidRPr="007A7886" w14:paraId="56F57DDD"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611B1046" w14:textId="77777777" w:rsidR="007A7886" w:rsidRPr="007A7886" w:rsidRDefault="007A7886" w:rsidP="007A7886">
            <w:pPr>
              <w:spacing w:after="160" w:line="278" w:lineRule="auto"/>
            </w:pPr>
            <w:r w:rsidRPr="007A7886">
              <w:t>Upper North Shore combined-pressure belt</w:t>
            </w:r>
          </w:p>
        </w:tc>
        <w:tc>
          <w:tcPr>
            <w:tcW w:w="0" w:type="auto"/>
            <w:hideMark/>
          </w:tcPr>
          <w:p w14:paraId="664C3547"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 xml:space="preserve">St Ives, </w:t>
            </w:r>
            <w:proofErr w:type="spellStart"/>
            <w:r w:rsidRPr="007A7886">
              <w:t>Pymble</w:t>
            </w:r>
            <w:proofErr w:type="spellEnd"/>
            <w:r w:rsidRPr="007A7886">
              <w:t xml:space="preserve">, East Lindfield, </w:t>
            </w:r>
            <w:proofErr w:type="spellStart"/>
            <w:r w:rsidRPr="007A7886">
              <w:t>Normanhurst</w:t>
            </w:r>
            <w:proofErr w:type="spellEnd"/>
          </w:p>
        </w:tc>
        <w:tc>
          <w:tcPr>
            <w:tcW w:w="0" w:type="auto"/>
            <w:hideMark/>
          </w:tcPr>
          <w:p w14:paraId="14A4DB8F"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 xml:space="preserve">Median P/I </w:t>
            </w:r>
            <w:r w:rsidRPr="007A7886">
              <w:rPr>
                <w:b/>
                <w:bCs/>
              </w:rPr>
              <w:t>~15.6x</w:t>
            </w:r>
            <w:r w:rsidRPr="007A7886">
              <w:t xml:space="preserve">, burden </w:t>
            </w:r>
            <w:r w:rsidRPr="007A7886">
              <w:rPr>
                <w:b/>
                <w:bCs/>
              </w:rPr>
              <w:t>~33%</w:t>
            </w:r>
            <w:r w:rsidRPr="007A7886">
              <w:t xml:space="preserve">, Rent-v-CPI </w:t>
            </w:r>
            <w:r w:rsidRPr="007A7886">
              <w:rPr>
                <w:b/>
                <w:bCs/>
              </w:rPr>
              <w:t>~+31.6%</w:t>
            </w:r>
          </w:p>
        </w:tc>
        <w:tc>
          <w:tcPr>
            <w:tcW w:w="0" w:type="auto"/>
            <w:hideMark/>
          </w:tcPr>
          <w:p w14:paraId="1387AC9B"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Buying was already expensive; rents subsequently deteriorated enough to create pressure in both tenures</w:t>
            </w:r>
          </w:p>
        </w:tc>
      </w:tr>
      <w:tr w:rsidR="007A7886" w:rsidRPr="007A7886" w14:paraId="52EA8B03"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22EA7309" w14:textId="77777777" w:rsidR="007A7886" w:rsidRPr="007A7886" w:rsidRDefault="007A7886" w:rsidP="007A7886">
            <w:pPr>
              <w:spacing w:after="160" w:line="278" w:lineRule="auto"/>
            </w:pPr>
            <w:r w:rsidRPr="007A7886">
              <w:t>Northern affordability release</w:t>
            </w:r>
          </w:p>
        </w:tc>
        <w:tc>
          <w:tcPr>
            <w:tcW w:w="0" w:type="auto"/>
            <w:hideMark/>
          </w:tcPr>
          <w:p w14:paraId="174BDB64"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Asquith</w:t>
            </w:r>
          </w:p>
        </w:tc>
        <w:tc>
          <w:tcPr>
            <w:tcW w:w="0" w:type="auto"/>
            <w:hideMark/>
          </w:tcPr>
          <w:p w14:paraId="542C4ADE"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 xml:space="preserve">P/I </w:t>
            </w:r>
            <w:r w:rsidRPr="007A7886">
              <w:rPr>
                <w:b/>
                <w:bCs/>
              </w:rPr>
              <w:t>7.0x</w:t>
            </w:r>
            <w:r w:rsidRPr="007A7886">
              <w:t xml:space="preserve">, burden </w:t>
            </w:r>
            <w:r w:rsidRPr="007A7886">
              <w:rPr>
                <w:b/>
                <w:bCs/>
              </w:rPr>
              <w:t>32.7%</w:t>
            </w:r>
            <w:r w:rsidRPr="007A7886">
              <w:t xml:space="preserve">, Rent-v-CPI </w:t>
            </w:r>
            <w:r w:rsidRPr="007A7886">
              <w:rPr>
                <w:b/>
                <w:bCs/>
              </w:rPr>
              <w:t>+23.6%</w:t>
            </w:r>
          </w:p>
        </w:tc>
        <w:tc>
          <w:tcPr>
            <w:tcW w:w="0" w:type="auto"/>
            <w:hideMark/>
          </w:tcPr>
          <w:p w14:paraId="424101B0"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Purchase affordability improves sharply, but rental pressure remains</w:t>
            </w:r>
          </w:p>
        </w:tc>
      </w:tr>
      <w:tr w:rsidR="007A7886" w:rsidRPr="007A7886" w14:paraId="02CEA6EE"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0AE3D646" w14:textId="77777777" w:rsidR="007A7886" w:rsidRPr="007A7886" w:rsidRDefault="007A7886" w:rsidP="007A7886">
            <w:pPr>
              <w:spacing w:after="160" w:line="278" w:lineRule="auto"/>
            </w:pPr>
            <w:r w:rsidRPr="007A7886">
              <w:t>Transition market</w:t>
            </w:r>
          </w:p>
        </w:tc>
        <w:tc>
          <w:tcPr>
            <w:tcW w:w="0" w:type="auto"/>
            <w:hideMark/>
          </w:tcPr>
          <w:p w14:paraId="619FE949"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Lane Cove North</w:t>
            </w:r>
          </w:p>
        </w:tc>
        <w:tc>
          <w:tcPr>
            <w:tcW w:w="0" w:type="auto"/>
            <w:hideMark/>
          </w:tcPr>
          <w:p w14:paraId="4EC575A7"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 xml:space="preserve">P/I </w:t>
            </w:r>
            <w:r w:rsidRPr="007A7886">
              <w:rPr>
                <w:b/>
                <w:bCs/>
              </w:rPr>
              <w:t>8.3x</w:t>
            </w:r>
            <w:r w:rsidRPr="007A7886">
              <w:t xml:space="preserve">, burden </w:t>
            </w:r>
            <w:r w:rsidRPr="007A7886">
              <w:rPr>
                <w:b/>
                <w:bCs/>
              </w:rPr>
              <w:t>27.2%</w:t>
            </w:r>
          </w:p>
        </w:tc>
        <w:tc>
          <w:tcPr>
            <w:tcW w:w="0" w:type="auto"/>
            <w:hideMark/>
          </w:tcPr>
          <w:p w14:paraId="083F633C"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 xml:space="preserve">Relatively balanced bridge between apartment-oriented Lower North </w:t>
            </w:r>
            <w:r w:rsidRPr="007A7886">
              <w:lastRenderedPageBreak/>
              <w:t>Shore and higher-pressure northern markets</w:t>
            </w:r>
          </w:p>
        </w:tc>
      </w:tr>
    </w:tbl>
    <w:p w14:paraId="0B2A1CB2" w14:textId="77777777" w:rsidR="007A7886" w:rsidRDefault="007A7886" w:rsidP="007A7886">
      <w:pPr>
        <w:rPr>
          <w:b/>
          <w:bCs/>
        </w:rPr>
      </w:pPr>
    </w:p>
    <w:p w14:paraId="2AC6E0AA" w14:textId="690BAFF5" w:rsidR="00DA29FC" w:rsidRDefault="00DA29FC" w:rsidP="007A7886">
      <w:pPr>
        <w:rPr>
          <w:b/>
          <w:bCs/>
        </w:rPr>
      </w:pPr>
      <w:r w:rsidRPr="00DA29FC">
        <w:rPr>
          <w:b/>
          <w:bCs/>
          <w:noProof/>
        </w:rPr>
        <w:drawing>
          <wp:inline distT="0" distB="0" distL="0" distR="0" wp14:anchorId="006A2665" wp14:editId="201CACAD">
            <wp:extent cx="5943600" cy="1395095"/>
            <wp:effectExtent l="0" t="0" r="0" b="0"/>
            <wp:docPr id="213273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37140" name=""/>
                    <pic:cNvPicPr/>
                  </pic:nvPicPr>
                  <pic:blipFill>
                    <a:blip r:embed="rId12"/>
                    <a:stretch>
                      <a:fillRect/>
                    </a:stretch>
                  </pic:blipFill>
                  <pic:spPr>
                    <a:xfrm>
                      <a:off x="0" y="0"/>
                      <a:ext cx="5943600" cy="1395095"/>
                    </a:xfrm>
                    <a:prstGeom prst="rect">
                      <a:avLst/>
                    </a:prstGeom>
                  </pic:spPr>
                </pic:pic>
              </a:graphicData>
            </a:graphic>
          </wp:inline>
        </w:drawing>
      </w:r>
    </w:p>
    <w:p w14:paraId="7D8C89DF" w14:textId="77FC9AE3" w:rsidR="00745C81" w:rsidRPr="00D156B9" w:rsidRDefault="00745C81" w:rsidP="00D156B9">
      <w:pPr>
        <w:spacing w:line="240" w:lineRule="auto"/>
        <w:rPr>
          <w:rStyle w:val="Strong"/>
          <w:b w:val="0"/>
          <w:bCs w:val="0"/>
          <w:i/>
          <w:iCs/>
          <w:sz w:val="20"/>
          <w:szCs w:val="20"/>
        </w:rPr>
      </w:pPr>
      <w:r w:rsidRPr="00745C81">
        <w:rPr>
          <w:i/>
          <w:iCs/>
          <w:sz w:val="20"/>
          <w:szCs w:val="20"/>
        </w:rPr>
        <w:t>Dual maps showcasing rent and purchase pressure in different suburbs by 2025-Q3</w:t>
      </w:r>
    </w:p>
    <w:p w14:paraId="4165E39B" w14:textId="77777777" w:rsidR="00DB309D" w:rsidRDefault="00DB309D" w:rsidP="00DB309D">
      <w:pPr>
        <w:rPr>
          <w:rStyle w:val="Strong"/>
          <w:sz w:val="26"/>
          <w:szCs w:val="26"/>
        </w:rPr>
      </w:pPr>
    </w:p>
    <w:p w14:paraId="7B6D4C04" w14:textId="2B0A337C" w:rsidR="00DB309D" w:rsidRDefault="007A7886" w:rsidP="00DB309D">
      <w:pPr>
        <w:rPr>
          <w:rStyle w:val="Strong"/>
          <w:sz w:val="26"/>
          <w:szCs w:val="26"/>
        </w:rPr>
      </w:pPr>
      <w:r w:rsidRPr="007A7886">
        <w:rPr>
          <w:rStyle w:val="Strong"/>
          <w:sz w:val="26"/>
          <w:szCs w:val="26"/>
        </w:rPr>
        <w:t>Lower North Shore: rent-led rather than purchase-led</w:t>
      </w:r>
    </w:p>
    <w:p w14:paraId="7C16AC41" w14:textId="406846B4" w:rsidR="00DB309D" w:rsidRPr="00DB309D" w:rsidRDefault="00DB309D" w:rsidP="00DB309D">
      <w:pPr>
        <w:rPr>
          <w:b/>
          <w:bCs/>
          <w:sz w:val="26"/>
          <w:szCs w:val="26"/>
        </w:rPr>
      </w:pPr>
      <w:r w:rsidRPr="00DB309D">
        <w:t xml:space="preserve">The Lower North Shore cluster is </w:t>
      </w:r>
      <w:proofErr w:type="spellStart"/>
      <w:r w:rsidRPr="00DB309D">
        <w:t>characterised</w:t>
      </w:r>
      <w:proofErr w:type="spellEnd"/>
      <w:r w:rsidRPr="00DB309D">
        <w:t xml:space="preserve"> by </w:t>
      </w:r>
      <w:r w:rsidRPr="00DB309D">
        <w:rPr>
          <w:b/>
          <w:bCs/>
        </w:rPr>
        <w:t>comparatively moderate purchase affordability but strong rental deterioration</w:t>
      </w:r>
      <w:r w:rsidRPr="00DB309D">
        <w:t>. By 2025-Q3, suburbs in this group generally had much lower P/I ratios than the prestige and combined-pressure clusters, while rents had risen sharply.</w:t>
      </w:r>
    </w:p>
    <w:p w14:paraId="0CDB333A" w14:textId="77777777" w:rsidR="00DB309D" w:rsidRPr="00DB309D" w:rsidRDefault="00DB309D" w:rsidP="00DB309D">
      <w:r w:rsidRPr="00DB309D">
        <w:t xml:space="preserve">ABS data helps explain the structural difference: flats/apartments account for </w:t>
      </w:r>
      <w:r w:rsidRPr="00DB309D">
        <w:rPr>
          <w:b/>
          <w:bCs/>
        </w:rPr>
        <w:t>86.8% of Kirribilli, 68.4% of Artarmon, 70.8% of Lane Cove North and 67.6% of Chatswood</w:t>
      </w:r>
      <w:r w:rsidRPr="00DB309D">
        <w:t>. (</w:t>
      </w:r>
      <w:hyperlink r:id="rId13" w:history="1">
        <w:r w:rsidRPr="00DB309D">
          <w:rPr>
            <w:rStyle w:val="Hyperlink"/>
          </w:rPr>
          <w:t>ABS – Kirribilli</w:t>
        </w:r>
      </w:hyperlink>
      <w:r w:rsidRPr="00DB309D">
        <w:t>) This larger supply of smaller dwellings helps keep purchase prices relatively more accessible than in detached-house-dominated suburbs.</w:t>
      </w:r>
    </w:p>
    <w:p w14:paraId="5048E40D" w14:textId="77777777" w:rsidR="00DB309D" w:rsidRPr="00DB309D" w:rsidRDefault="00DB309D" w:rsidP="00DB309D">
      <w:r w:rsidRPr="00DB309D">
        <w:t xml:space="preserve">That aligns with your </w:t>
      </w:r>
      <w:r w:rsidRPr="00DB309D">
        <w:rPr>
          <w:b/>
          <w:bCs/>
        </w:rPr>
        <w:t>segment-level findings</w:t>
      </w:r>
      <w:r w:rsidRPr="00DB309D">
        <w:t xml:space="preserve">. Across North Sydney &amp; Hornsby, most rental activity occurs in </w:t>
      </w:r>
      <w:r w:rsidRPr="00DB309D">
        <w:rPr>
          <w:b/>
          <w:bCs/>
        </w:rPr>
        <w:t>flats/units and 1–2BR dwellings</w:t>
      </w:r>
      <w:r w:rsidRPr="00DB309D">
        <w:t xml:space="preserve">, while these segments show lower severity than houses and 3+BR properties. </w:t>
      </w:r>
      <w:proofErr w:type="gramStart"/>
      <w:r w:rsidRPr="00DB309D">
        <w:t>So</w:t>
      </w:r>
      <w:proofErr w:type="gramEnd"/>
      <w:r w:rsidRPr="00DB309D">
        <w:t xml:space="preserve"> the Lower North Shore has a </w:t>
      </w:r>
      <w:r w:rsidRPr="00DB309D">
        <w:rPr>
          <w:b/>
          <w:bCs/>
        </w:rPr>
        <w:t>deep mainstream rental market</w:t>
      </w:r>
      <w:r w:rsidRPr="00DB309D">
        <w:t>, but that market has still experienced strong repricing.</w:t>
      </w:r>
    </w:p>
    <w:p w14:paraId="1761B877" w14:textId="77777777" w:rsidR="00DB309D" w:rsidRPr="00DB309D" w:rsidRDefault="00DB309D" w:rsidP="00DB309D">
      <w:r w:rsidRPr="00DB309D">
        <w:t xml:space="preserve">Lane Cove North illustrates the softer end of the cluster: </w:t>
      </w:r>
      <w:r w:rsidRPr="00DB309D">
        <w:rPr>
          <w:b/>
          <w:bCs/>
        </w:rPr>
        <w:t>sales rose from 175 to 234</w:t>
      </w:r>
      <w:r w:rsidRPr="00DB309D">
        <w:t xml:space="preserve">, sales-price growth reached </w:t>
      </w:r>
      <w:r w:rsidRPr="00DB309D">
        <w:rPr>
          <w:b/>
          <w:bCs/>
        </w:rPr>
        <w:t>+25.4%</w:t>
      </w:r>
      <w:r w:rsidRPr="00DB309D">
        <w:t xml:space="preserve">, rent growth </w:t>
      </w:r>
      <w:r w:rsidRPr="00DB309D">
        <w:rPr>
          <w:b/>
          <w:bCs/>
        </w:rPr>
        <w:t>+36.4%</w:t>
      </w:r>
      <w:r w:rsidRPr="00DB309D">
        <w:t xml:space="preserve">, yet P/I remained only </w:t>
      </w:r>
      <w:r w:rsidRPr="00DB309D">
        <w:rPr>
          <w:b/>
          <w:bCs/>
        </w:rPr>
        <w:t>8.3x</w:t>
      </w:r>
      <w:r w:rsidRPr="00DB309D">
        <w:t>.</w:t>
      </w:r>
    </w:p>
    <w:p w14:paraId="1AEE7CBB" w14:textId="77777777" w:rsidR="00DB309D" w:rsidRPr="00DB309D" w:rsidRDefault="00DB309D" w:rsidP="00DB309D">
      <w:r w:rsidRPr="00DB309D">
        <w:t xml:space="preserve">Chatswood is more strongly rent-led: </w:t>
      </w:r>
      <w:r w:rsidRPr="00DB309D">
        <w:rPr>
          <w:b/>
          <w:bCs/>
        </w:rPr>
        <w:t>rent growth +47.3%</w:t>
      </w:r>
      <w:r w:rsidRPr="00DB309D">
        <w:t xml:space="preserve">, burden </w:t>
      </w:r>
      <w:r w:rsidRPr="00DB309D">
        <w:rPr>
          <w:b/>
          <w:bCs/>
        </w:rPr>
        <w:t>37.1%</w:t>
      </w:r>
      <w:r w:rsidRPr="00DB309D">
        <w:t xml:space="preserve">, P/I </w:t>
      </w:r>
      <w:r w:rsidRPr="00DB309D">
        <w:rPr>
          <w:b/>
          <w:bCs/>
        </w:rPr>
        <w:t>11.0x</w:t>
      </w:r>
      <w:r w:rsidRPr="00DB309D">
        <w:t xml:space="preserve">, with a large rental base of </w:t>
      </w:r>
      <w:r w:rsidRPr="00DB309D">
        <w:rPr>
          <w:b/>
          <w:bCs/>
        </w:rPr>
        <w:t>5,224 bonds</w:t>
      </w:r>
      <w:r w:rsidRPr="00DB309D">
        <w:t>.</w:t>
      </w:r>
    </w:p>
    <w:p w14:paraId="4A33E10F" w14:textId="77777777" w:rsidR="00DB309D" w:rsidRPr="00DB309D" w:rsidRDefault="00DB309D" w:rsidP="00DB309D">
      <w:r w:rsidRPr="00DB309D">
        <w:rPr>
          <w:b/>
          <w:bCs/>
        </w:rPr>
        <w:t>Overall, the apartment-heavy housing structure helps limit purchase pressure, but strong demand within a large rental market has still produced substantial rental affordability deterioration.</w:t>
      </w:r>
    </w:p>
    <w:p w14:paraId="7E2267CD" w14:textId="77777777" w:rsidR="00DB309D" w:rsidRDefault="00DB309D" w:rsidP="007A7886"/>
    <w:p w14:paraId="6BB7CF7C" w14:textId="6637A372" w:rsidR="00745C81" w:rsidRDefault="00745C81" w:rsidP="00745C81">
      <w:pPr>
        <w:jc w:val="center"/>
      </w:pPr>
      <w:r w:rsidRPr="00745C81">
        <w:rPr>
          <w:noProof/>
        </w:rPr>
        <w:lastRenderedPageBreak/>
        <w:drawing>
          <wp:inline distT="0" distB="0" distL="0" distR="0" wp14:anchorId="7F862F77" wp14:editId="6BAAD0DE">
            <wp:extent cx="4673599" cy="3200400"/>
            <wp:effectExtent l="0" t="0" r="0" b="0"/>
            <wp:docPr id="1063410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10790" name=""/>
                    <pic:cNvPicPr/>
                  </pic:nvPicPr>
                  <pic:blipFill>
                    <a:blip r:embed="rId14"/>
                    <a:stretch>
                      <a:fillRect/>
                    </a:stretch>
                  </pic:blipFill>
                  <pic:spPr>
                    <a:xfrm>
                      <a:off x="0" y="0"/>
                      <a:ext cx="4685902" cy="3208825"/>
                    </a:xfrm>
                    <a:prstGeom prst="rect">
                      <a:avLst/>
                    </a:prstGeom>
                  </pic:spPr>
                </pic:pic>
              </a:graphicData>
            </a:graphic>
          </wp:inline>
        </w:drawing>
      </w:r>
    </w:p>
    <w:p w14:paraId="52AED712" w14:textId="6AD8C8F3" w:rsidR="00DA29FC" w:rsidRPr="00745C81" w:rsidRDefault="00745C81" w:rsidP="00745C81">
      <w:pPr>
        <w:jc w:val="center"/>
        <w:rPr>
          <w:i/>
          <w:iCs/>
          <w:sz w:val="20"/>
          <w:szCs w:val="20"/>
        </w:rPr>
      </w:pPr>
      <w:r w:rsidRPr="00745C81">
        <w:rPr>
          <w:i/>
          <w:iCs/>
          <w:sz w:val="20"/>
          <w:szCs w:val="20"/>
        </w:rPr>
        <w:t>Lower North Shore Cluster</w:t>
      </w:r>
    </w:p>
    <w:p w14:paraId="5C27028D" w14:textId="115B43AA" w:rsidR="007A7886" w:rsidRPr="007A7886" w:rsidRDefault="007A7886" w:rsidP="007A7886">
      <w:pPr>
        <w:rPr>
          <w:b/>
          <w:bCs/>
          <w:sz w:val="26"/>
          <w:szCs w:val="26"/>
        </w:rPr>
      </w:pPr>
      <w:r w:rsidRPr="007A7886">
        <w:rPr>
          <w:b/>
          <w:bCs/>
          <w:sz w:val="26"/>
          <w:szCs w:val="26"/>
        </w:rPr>
        <w:t>Prestige belt: structural purchase pressure</w:t>
      </w:r>
    </w:p>
    <w:p w14:paraId="7DF24A2F" w14:textId="77777777" w:rsidR="00DB309D" w:rsidRPr="00DB309D" w:rsidRDefault="00DB309D" w:rsidP="00DB309D">
      <w:r w:rsidRPr="00DB309D">
        <w:rPr>
          <w:b/>
          <w:bCs/>
        </w:rPr>
        <w:t>Suburbs:</w:t>
      </w:r>
      <w:r w:rsidRPr="00DB309D">
        <w:t xml:space="preserve"> </w:t>
      </w:r>
      <w:proofErr w:type="spellStart"/>
      <w:r w:rsidRPr="00DB309D">
        <w:t>Mosman</w:t>
      </w:r>
      <w:proofErr w:type="spellEnd"/>
      <w:r w:rsidRPr="00DB309D">
        <w:t>, Castlecrag, Castle Cove and East Killara.</w:t>
      </w:r>
    </w:p>
    <w:p w14:paraId="5314E615" w14:textId="77777777" w:rsidR="00DB309D" w:rsidRPr="00DB309D" w:rsidRDefault="00DB309D" w:rsidP="00DB309D">
      <w:pPr>
        <w:rPr>
          <w:b/>
          <w:bCs/>
        </w:rPr>
      </w:pPr>
      <w:r w:rsidRPr="00DB309D">
        <w:rPr>
          <w:b/>
          <w:bCs/>
        </w:rPr>
        <w:t>Postal and affordability trends</w:t>
      </w:r>
    </w:p>
    <w:p w14:paraId="63CB9AF4" w14:textId="77777777" w:rsidR="00DB309D" w:rsidRPr="00DB309D" w:rsidRDefault="00DB309D" w:rsidP="00DB309D">
      <w:r w:rsidRPr="00DB309D">
        <w:t xml:space="preserve">This cluster is purchase-led because </w:t>
      </w:r>
      <w:r w:rsidRPr="00DB309D">
        <w:rPr>
          <w:b/>
          <w:bCs/>
        </w:rPr>
        <w:t>property values are extremely high relative to income</w:t>
      </w:r>
      <w:r w:rsidRPr="00DB309D">
        <w:t>, even though recent price growth has been moderate.</w:t>
      </w:r>
    </w:p>
    <w:p w14:paraId="15046EFD" w14:textId="77777777" w:rsidR="00DB309D" w:rsidRPr="00DB309D" w:rsidRDefault="00DB309D" w:rsidP="00DB309D">
      <w:r w:rsidRPr="00DB309D">
        <w:t xml:space="preserve">By 2025-Q3, the cluster's median property price was about </w:t>
      </w:r>
      <w:r w:rsidRPr="00DB309D">
        <w:rPr>
          <w:b/>
          <w:bCs/>
        </w:rPr>
        <w:t>$2.47 million</w:t>
      </w:r>
      <w:r w:rsidRPr="00DB309D">
        <w:t xml:space="preserve">, while cumulative sales-price growth since 2022-Q1 was only around </w:t>
      </w:r>
      <w:r w:rsidRPr="00DB309D">
        <w:rPr>
          <w:b/>
          <w:bCs/>
        </w:rPr>
        <w:t>9%</w:t>
      </w:r>
      <w:r w:rsidRPr="00DB309D">
        <w:t xml:space="preserve">. The median </w:t>
      </w:r>
      <w:r w:rsidRPr="00DB309D">
        <w:rPr>
          <w:b/>
          <w:bCs/>
        </w:rPr>
        <w:t>Price-to-Income ratio was ~15.5x</w:t>
      </w:r>
      <w:r w:rsidRPr="00DB309D">
        <w:t xml:space="preserve">, compared with a rent burden of only </w:t>
      </w:r>
      <w:r w:rsidRPr="00DB309D">
        <w:rPr>
          <w:b/>
          <w:bCs/>
        </w:rPr>
        <w:t>~28.6%</w:t>
      </w:r>
      <w:r w:rsidRPr="00DB309D">
        <w:t xml:space="preserve"> and Rent-v-CPI of </w:t>
      </w:r>
      <w:r w:rsidRPr="00DB309D">
        <w:rPr>
          <w:b/>
          <w:bCs/>
        </w:rPr>
        <w:t>~+16.6%</w:t>
      </w:r>
      <w:r w:rsidRPr="00DB309D">
        <w:t>.</w:t>
      </w:r>
    </w:p>
    <w:p w14:paraId="6622AC69" w14:textId="77777777" w:rsidR="00DB309D" w:rsidRPr="00DB309D" w:rsidRDefault="00DB309D" w:rsidP="00DB309D">
      <w:r w:rsidRPr="00DB309D">
        <w:t xml:space="preserve">This shows that the main affordability constraint is the </w:t>
      </w:r>
      <w:r w:rsidRPr="00DB309D">
        <w:rPr>
          <w:b/>
          <w:bCs/>
        </w:rPr>
        <w:t>absolute cost of buying</w:t>
      </w:r>
      <w:r w:rsidRPr="00DB309D">
        <w:t>, rather than a recent price boom.</w:t>
      </w:r>
    </w:p>
    <w:p w14:paraId="5B3D2371" w14:textId="77777777" w:rsidR="00DB309D" w:rsidRPr="00DB309D" w:rsidRDefault="00DB309D" w:rsidP="00DB309D">
      <w:pPr>
        <w:rPr>
          <w:b/>
          <w:bCs/>
        </w:rPr>
      </w:pPr>
      <w:r w:rsidRPr="00DB309D">
        <w:rPr>
          <w:b/>
          <w:bCs/>
        </w:rPr>
        <w:t>Why is rent burden comparatively moderate?</w:t>
      </w:r>
    </w:p>
    <w:p w14:paraId="53858416" w14:textId="77777777" w:rsidR="00DB309D" w:rsidRPr="00DB309D" w:rsidRDefault="00DB309D" w:rsidP="00DB309D">
      <w:r w:rsidRPr="00DB309D">
        <w:t>High rents do exist, particularly for large houses, but this does not translate into equally severe suburb-wide rental burden.</w:t>
      </w:r>
    </w:p>
    <w:p w14:paraId="44291842" w14:textId="77777777" w:rsidR="00DB309D" w:rsidRPr="00DB309D" w:rsidRDefault="00DB309D" w:rsidP="00DB309D">
      <w:r w:rsidRPr="00DB309D">
        <w:t>Three factors help explain this:</w:t>
      </w:r>
    </w:p>
    <w:p w14:paraId="779474C3" w14:textId="77777777" w:rsidR="00DB309D" w:rsidRPr="00DB309D" w:rsidRDefault="00DB309D" w:rsidP="00DB309D">
      <w:pPr>
        <w:numPr>
          <w:ilvl w:val="0"/>
          <w:numId w:val="1"/>
        </w:numPr>
      </w:pPr>
      <w:r w:rsidRPr="00DB309D">
        <w:rPr>
          <w:b/>
          <w:bCs/>
        </w:rPr>
        <w:t>High household incomes</w:t>
      </w:r>
      <w:r w:rsidRPr="00DB309D">
        <w:t xml:space="preserve"> reduce rent as a proportion of income.</w:t>
      </w:r>
    </w:p>
    <w:p w14:paraId="15506669" w14:textId="647375C4" w:rsidR="00DB309D" w:rsidRPr="00DB309D" w:rsidRDefault="00DB309D" w:rsidP="00DB309D">
      <w:pPr>
        <w:numPr>
          <w:ilvl w:val="0"/>
          <w:numId w:val="1"/>
        </w:numPr>
      </w:pPr>
      <w:r w:rsidRPr="00DB309D">
        <w:t xml:space="preserve">Castlecrag and Castle Cove have very small rental markets — only about </w:t>
      </w:r>
      <w:r w:rsidRPr="00DB309D">
        <w:rPr>
          <w:b/>
          <w:bCs/>
        </w:rPr>
        <w:t>11% of dwellings were rented</w:t>
      </w:r>
      <w:r w:rsidRPr="00DB309D">
        <w:t xml:space="preserve"> in 2021.</w:t>
      </w:r>
      <w:r>
        <w:t xml:space="preserve"> (</w:t>
      </w:r>
      <w:proofErr w:type="spellStart"/>
      <w:r>
        <w:fldChar w:fldCharType="begin"/>
      </w:r>
      <w:r>
        <w:instrText>HYPERLINK "https://landchecker.com.au/suburb/castlecrag-nsw-2068/"</w:instrText>
      </w:r>
      <w:r>
        <w:fldChar w:fldCharType="separate"/>
      </w:r>
      <w:r w:rsidRPr="00DB309D">
        <w:rPr>
          <w:rStyle w:val="Hyperlink"/>
        </w:rPr>
        <w:t>Landchecker</w:t>
      </w:r>
      <w:proofErr w:type="spellEnd"/>
      <w:r w:rsidRPr="00DB309D">
        <w:rPr>
          <w:rStyle w:val="Hyperlink"/>
        </w:rPr>
        <w:t xml:space="preserve"> </w:t>
      </w:r>
      <w:proofErr w:type="spellStart"/>
      <w:r w:rsidRPr="00DB309D">
        <w:rPr>
          <w:rStyle w:val="Hyperlink"/>
        </w:rPr>
        <w:t>castleCrag</w:t>
      </w:r>
      <w:proofErr w:type="spellEnd"/>
      <w:r w:rsidRPr="00DB309D">
        <w:rPr>
          <w:rStyle w:val="Hyperlink"/>
        </w:rPr>
        <w:t xml:space="preserve"> NSW</w:t>
      </w:r>
      <w:r>
        <w:fldChar w:fldCharType="end"/>
      </w:r>
      <w:r>
        <w:t>)</w:t>
      </w:r>
    </w:p>
    <w:p w14:paraId="48759081" w14:textId="77777777" w:rsidR="00DB309D" w:rsidRPr="00DB309D" w:rsidRDefault="00DB309D" w:rsidP="00DB309D">
      <w:pPr>
        <w:numPr>
          <w:ilvl w:val="0"/>
          <w:numId w:val="1"/>
        </w:numPr>
      </w:pPr>
      <w:proofErr w:type="spellStart"/>
      <w:r w:rsidRPr="00DB309D">
        <w:lastRenderedPageBreak/>
        <w:t>Mosman</w:t>
      </w:r>
      <w:proofErr w:type="spellEnd"/>
      <w:r w:rsidRPr="00DB309D">
        <w:t xml:space="preserve"> has a substantial apartment market, with around </w:t>
      </w:r>
      <w:r w:rsidRPr="00DB309D">
        <w:rPr>
          <w:b/>
          <w:bCs/>
        </w:rPr>
        <w:t>52% of dwellings being flats/apartments</w:t>
      </w:r>
      <w:r w:rsidRPr="00DB309D">
        <w:t>, providing rental options below the cost of prestige detached houses.</w:t>
      </w:r>
    </w:p>
    <w:p w14:paraId="61356DD7" w14:textId="77777777" w:rsidR="00DB309D" w:rsidRPr="00DB309D" w:rsidRDefault="00DB309D" w:rsidP="00DB309D">
      <w:r w:rsidRPr="00DB309D">
        <w:t>So expensive individual house rents do not necessarily dominate the overall suburb rental measure.</w:t>
      </w:r>
    </w:p>
    <w:p w14:paraId="59C3CE29" w14:textId="77777777" w:rsidR="00DB309D" w:rsidRPr="00DB309D" w:rsidRDefault="00DB309D" w:rsidP="00DB309D">
      <w:pPr>
        <w:rPr>
          <w:b/>
          <w:bCs/>
        </w:rPr>
      </w:pPr>
      <w:r w:rsidRPr="00DB309D">
        <w:rPr>
          <w:b/>
          <w:bCs/>
        </w:rPr>
        <w:t>Segment and external evidence</w:t>
      </w:r>
    </w:p>
    <w:p w14:paraId="47C8DACD" w14:textId="77777777" w:rsidR="00DB309D" w:rsidRPr="00DB309D" w:rsidRDefault="00DB309D" w:rsidP="00DB309D">
      <w:r w:rsidRPr="00DB309D">
        <w:t xml:space="preserve">Regional segment analysis shows the strongest rental pressure in </w:t>
      </w:r>
      <w:r w:rsidRPr="00DB309D">
        <w:rPr>
          <w:b/>
          <w:bCs/>
        </w:rPr>
        <w:t>houses and 3–4+ bedroom dwellings</w:t>
      </w:r>
      <w:r w:rsidRPr="00DB309D">
        <w:t>. This aligns with the housing structure of Castlecrag, Castle Cove and East Killara:</w:t>
      </w:r>
    </w:p>
    <w:tbl>
      <w:tblPr>
        <w:tblStyle w:val="GridTable1Light"/>
        <w:tblW w:w="0" w:type="auto"/>
        <w:tblLook w:val="04A0" w:firstRow="1" w:lastRow="0" w:firstColumn="1" w:lastColumn="0" w:noHBand="0" w:noVBand="1"/>
      </w:tblPr>
      <w:tblGrid>
        <w:gridCol w:w="1360"/>
        <w:gridCol w:w="1849"/>
        <w:gridCol w:w="1522"/>
      </w:tblGrid>
      <w:tr w:rsidR="00DB309D" w:rsidRPr="00DB309D" w14:paraId="374B84D0" w14:textId="77777777" w:rsidTr="00DB30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ED77D" w14:textId="77777777" w:rsidR="00DB309D" w:rsidRPr="00DB309D" w:rsidRDefault="00DB309D" w:rsidP="00DB309D">
            <w:pPr>
              <w:spacing w:after="160" w:line="278" w:lineRule="auto"/>
            </w:pPr>
            <w:r w:rsidRPr="00DB309D">
              <w:t>Suburb</w:t>
            </w:r>
          </w:p>
        </w:tc>
        <w:tc>
          <w:tcPr>
            <w:tcW w:w="0" w:type="auto"/>
            <w:hideMark/>
          </w:tcPr>
          <w:p w14:paraId="401DE1A1" w14:textId="77777777" w:rsidR="00DB309D" w:rsidRPr="00DB309D" w:rsidRDefault="00DB309D" w:rsidP="00DB309D">
            <w:pPr>
              <w:spacing w:after="160" w:line="278" w:lineRule="auto"/>
              <w:cnfStyle w:val="100000000000" w:firstRow="1" w:lastRow="0" w:firstColumn="0" w:lastColumn="0" w:oddVBand="0" w:evenVBand="0" w:oddHBand="0" w:evenHBand="0" w:firstRowFirstColumn="0" w:firstRowLastColumn="0" w:lastRowFirstColumn="0" w:lastRowLastColumn="0"/>
            </w:pPr>
            <w:r w:rsidRPr="00DB309D">
              <w:t>Separate houses</w:t>
            </w:r>
          </w:p>
        </w:tc>
        <w:tc>
          <w:tcPr>
            <w:tcW w:w="0" w:type="auto"/>
            <w:hideMark/>
          </w:tcPr>
          <w:p w14:paraId="5565A3D8" w14:textId="77777777" w:rsidR="00DB309D" w:rsidRPr="00DB309D" w:rsidRDefault="00DB309D" w:rsidP="00DB309D">
            <w:pPr>
              <w:spacing w:after="160" w:line="278" w:lineRule="auto"/>
              <w:cnfStyle w:val="100000000000" w:firstRow="1" w:lastRow="0" w:firstColumn="0" w:lastColumn="0" w:oddVBand="0" w:evenVBand="0" w:oddHBand="0" w:evenHBand="0" w:firstRowFirstColumn="0" w:firstRowLastColumn="0" w:lastRowFirstColumn="0" w:lastRowLastColumn="0"/>
            </w:pPr>
            <w:r w:rsidRPr="00DB309D">
              <w:t>4+ bedrooms</w:t>
            </w:r>
          </w:p>
        </w:tc>
      </w:tr>
      <w:tr w:rsidR="00DB309D" w:rsidRPr="00DB309D" w14:paraId="06646A19" w14:textId="77777777" w:rsidTr="00DB309D">
        <w:tc>
          <w:tcPr>
            <w:cnfStyle w:val="001000000000" w:firstRow="0" w:lastRow="0" w:firstColumn="1" w:lastColumn="0" w:oddVBand="0" w:evenVBand="0" w:oddHBand="0" w:evenHBand="0" w:firstRowFirstColumn="0" w:firstRowLastColumn="0" w:lastRowFirstColumn="0" w:lastRowLastColumn="0"/>
            <w:tcW w:w="0" w:type="auto"/>
            <w:hideMark/>
          </w:tcPr>
          <w:p w14:paraId="6732F641" w14:textId="77777777" w:rsidR="00DB309D" w:rsidRPr="00DB309D" w:rsidRDefault="00DB309D" w:rsidP="00DB309D">
            <w:pPr>
              <w:spacing w:after="160" w:line="278" w:lineRule="auto"/>
            </w:pPr>
            <w:r w:rsidRPr="00DB309D">
              <w:t>Castlecrag</w:t>
            </w:r>
          </w:p>
        </w:tc>
        <w:tc>
          <w:tcPr>
            <w:tcW w:w="0" w:type="auto"/>
            <w:hideMark/>
          </w:tcPr>
          <w:p w14:paraId="291DFB86" w14:textId="77777777" w:rsidR="00DB309D" w:rsidRPr="00DB309D" w:rsidRDefault="00DB309D" w:rsidP="00DB309D">
            <w:pPr>
              <w:spacing w:after="160" w:line="278" w:lineRule="auto"/>
              <w:cnfStyle w:val="000000000000" w:firstRow="0" w:lastRow="0" w:firstColumn="0" w:lastColumn="0" w:oddVBand="0" w:evenVBand="0" w:oddHBand="0" w:evenHBand="0" w:firstRowFirstColumn="0" w:firstRowLastColumn="0" w:lastRowFirstColumn="0" w:lastRowLastColumn="0"/>
            </w:pPr>
            <w:r w:rsidRPr="00DB309D">
              <w:t>97.4%</w:t>
            </w:r>
          </w:p>
        </w:tc>
        <w:tc>
          <w:tcPr>
            <w:tcW w:w="0" w:type="auto"/>
            <w:hideMark/>
          </w:tcPr>
          <w:p w14:paraId="7E470A55" w14:textId="77777777" w:rsidR="00DB309D" w:rsidRPr="00DB309D" w:rsidRDefault="00DB309D" w:rsidP="00DB309D">
            <w:pPr>
              <w:spacing w:after="160" w:line="278" w:lineRule="auto"/>
              <w:cnfStyle w:val="000000000000" w:firstRow="0" w:lastRow="0" w:firstColumn="0" w:lastColumn="0" w:oddVBand="0" w:evenVBand="0" w:oddHBand="0" w:evenHBand="0" w:firstRowFirstColumn="0" w:firstRowLastColumn="0" w:lastRowFirstColumn="0" w:lastRowLastColumn="0"/>
            </w:pPr>
            <w:r w:rsidRPr="00DB309D">
              <w:t>63.3%</w:t>
            </w:r>
          </w:p>
        </w:tc>
      </w:tr>
      <w:tr w:rsidR="00DB309D" w:rsidRPr="00DB309D" w14:paraId="749BAD7D" w14:textId="77777777" w:rsidTr="00DB309D">
        <w:tc>
          <w:tcPr>
            <w:cnfStyle w:val="001000000000" w:firstRow="0" w:lastRow="0" w:firstColumn="1" w:lastColumn="0" w:oddVBand="0" w:evenVBand="0" w:oddHBand="0" w:evenHBand="0" w:firstRowFirstColumn="0" w:firstRowLastColumn="0" w:lastRowFirstColumn="0" w:lastRowLastColumn="0"/>
            <w:tcW w:w="0" w:type="auto"/>
            <w:hideMark/>
          </w:tcPr>
          <w:p w14:paraId="55470770" w14:textId="77777777" w:rsidR="00DB309D" w:rsidRPr="00DB309D" w:rsidRDefault="00DB309D" w:rsidP="00DB309D">
            <w:pPr>
              <w:spacing w:after="160" w:line="278" w:lineRule="auto"/>
            </w:pPr>
            <w:r w:rsidRPr="00DB309D">
              <w:t>Castle Cove</w:t>
            </w:r>
          </w:p>
        </w:tc>
        <w:tc>
          <w:tcPr>
            <w:tcW w:w="0" w:type="auto"/>
            <w:hideMark/>
          </w:tcPr>
          <w:p w14:paraId="20F54308" w14:textId="77777777" w:rsidR="00DB309D" w:rsidRPr="00DB309D" w:rsidRDefault="00DB309D" w:rsidP="00DB309D">
            <w:pPr>
              <w:spacing w:after="160" w:line="278" w:lineRule="auto"/>
              <w:cnfStyle w:val="000000000000" w:firstRow="0" w:lastRow="0" w:firstColumn="0" w:lastColumn="0" w:oddVBand="0" w:evenVBand="0" w:oddHBand="0" w:evenHBand="0" w:firstRowFirstColumn="0" w:firstRowLastColumn="0" w:lastRowFirstColumn="0" w:lastRowLastColumn="0"/>
            </w:pPr>
            <w:r w:rsidRPr="00DB309D">
              <w:t>90.3%</w:t>
            </w:r>
          </w:p>
        </w:tc>
        <w:tc>
          <w:tcPr>
            <w:tcW w:w="0" w:type="auto"/>
            <w:hideMark/>
          </w:tcPr>
          <w:p w14:paraId="7C196098" w14:textId="77777777" w:rsidR="00DB309D" w:rsidRPr="00DB309D" w:rsidRDefault="00DB309D" w:rsidP="00DB309D">
            <w:pPr>
              <w:spacing w:after="160" w:line="278" w:lineRule="auto"/>
              <w:cnfStyle w:val="000000000000" w:firstRow="0" w:lastRow="0" w:firstColumn="0" w:lastColumn="0" w:oddVBand="0" w:evenVBand="0" w:oddHBand="0" w:evenHBand="0" w:firstRowFirstColumn="0" w:firstRowLastColumn="0" w:lastRowFirstColumn="0" w:lastRowLastColumn="0"/>
            </w:pPr>
            <w:r w:rsidRPr="00DB309D">
              <w:t>65.7%</w:t>
            </w:r>
          </w:p>
        </w:tc>
      </w:tr>
      <w:tr w:rsidR="00DB309D" w:rsidRPr="00DB309D" w14:paraId="3E6F00A6" w14:textId="77777777" w:rsidTr="00DB309D">
        <w:tc>
          <w:tcPr>
            <w:cnfStyle w:val="001000000000" w:firstRow="0" w:lastRow="0" w:firstColumn="1" w:lastColumn="0" w:oddVBand="0" w:evenVBand="0" w:oddHBand="0" w:evenHBand="0" w:firstRowFirstColumn="0" w:firstRowLastColumn="0" w:lastRowFirstColumn="0" w:lastRowLastColumn="0"/>
            <w:tcW w:w="0" w:type="auto"/>
            <w:hideMark/>
          </w:tcPr>
          <w:p w14:paraId="135B816F" w14:textId="77777777" w:rsidR="00DB309D" w:rsidRPr="00DB309D" w:rsidRDefault="00DB309D" w:rsidP="00DB309D">
            <w:pPr>
              <w:spacing w:after="160" w:line="278" w:lineRule="auto"/>
            </w:pPr>
            <w:r w:rsidRPr="00DB309D">
              <w:t>East Killara</w:t>
            </w:r>
          </w:p>
        </w:tc>
        <w:tc>
          <w:tcPr>
            <w:tcW w:w="0" w:type="auto"/>
            <w:hideMark/>
          </w:tcPr>
          <w:p w14:paraId="38813DE4" w14:textId="77777777" w:rsidR="00DB309D" w:rsidRPr="00DB309D" w:rsidRDefault="00DB309D" w:rsidP="00DB309D">
            <w:pPr>
              <w:spacing w:after="160" w:line="278" w:lineRule="auto"/>
              <w:cnfStyle w:val="000000000000" w:firstRow="0" w:lastRow="0" w:firstColumn="0" w:lastColumn="0" w:oddVBand="0" w:evenVBand="0" w:oddHBand="0" w:evenHBand="0" w:firstRowFirstColumn="0" w:firstRowLastColumn="0" w:lastRowFirstColumn="0" w:lastRowLastColumn="0"/>
            </w:pPr>
            <w:r w:rsidRPr="00DB309D">
              <w:t>99.5%</w:t>
            </w:r>
          </w:p>
        </w:tc>
        <w:tc>
          <w:tcPr>
            <w:tcW w:w="0" w:type="auto"/>
            <w:hideMark/>
          </w:tcPr>
          <w:p w14:paraId="51302101" w14:textId="77777777" w:rsidR="00DB309D" w:rsidRPr="00DB309D" w:rsidRDefault="00DB309D" w:rsidP="00DB309D">
            <w:pPr>
              <w:spacing w:after="160" w:line="278" w:lineRule="auto"/>
              <w:cnfStyle w:val="000000000000" w:firstRow="0" w:lastRow="0" w:firstColumn="0" w:lastColumn="0" w:oddVBand="0" w:evenVBand="0" w:oddHBand="0" w:evenHBand="0" w:firstRowFirstColumn="0" w:firstRowLastColumn="0" w:lastRowFirstColumn="0" w:lastRowLastColumn="0"/>
            </w:pPr>
            <w:r w:rsidRPr="00DB309D">
              <w:t>82.5%</w:t>
            </w:r>
          </w:p>
        </w:tc>
      </w:tr>
      <w:tr w:rsidR="00DB309D" w:rsidRPr="00DB309D" w14:paraId="7BD218F9" w14:textId="77777777" w:rsidTr="00DB309D">
        <w:tc>
          <w:tcPr>
            <w:cnfStyle w:val="001000000000" w:firstRow="0" w:lastRow="0" w:firstColumn="1" w:lastColumn="0" w:oddVBand="0" w:evenVBand="0" w:oddHBand="0" w:evenHBand="0" w:firstRowFirstColumn="0" w:firstRowLastColumn="0" w:lastRowFirstColumn="0" w:lastRowLastColumn="0"/>
            <w:tcW w:w="0" w:type="auto"/>
          </w:tcPr>
          <w:p w14:paraId="241DB5A2" w14:textId="77777777" w:rsidR="00DB309D" w:rsidRPr="00DB309D" w:rsidRDefault="00DB309D" w:rsidP="00DB309D"/>
        </w:tc>
        <w:tc>
          <w:tcPr>
            <w:tcW w:w="0" w:type="auto"/>
          </w:tcPr>
          <w:p w14:paraId="22CDCAFD" w14:textId="77777777" w:rsidR="00DB309D" w:rsidRPr="00DB309D" w:rsidRDefault="00DB309D" w:rsidP="00DB309D">
            <w:pPr>
              <w:cnfStyle w:val="000000000000" w:firstRow="0" w:lastRow="0" w:firstColumn="0" w:lastColumn="0" w:oddVBand="0" w:evenVBand="0" w:oddHBand="0" w:evenHBand="0" w:firstRowFirstColumn="0" w:firstRowLastColumn="0" w:lastRowFirstColumn="0" w:lastRowLastColumn="0"/>
            </w:pPr>
          </w:p>
        </w:tc>
        <w:tc>
          <w:tcPr>
            <w:tcW w:w="0" w:type="auto"/>
          </w:tcPr>
          <w:p w14:paraId="4BF11C28" w14:textId="77777777" w:rsidR="00DB309D" w:rsidRPr="00DB309D" w:rsidRDefault="00DB309D" w:rsidP="00DB309D">
            <w:pPr>
              <w:cnfStyle w:val="000000000000" w:firstRow="0" w:lastRow="0" w:firstColumn="0" w:lastColumn="0" w:oddVBand="0" w:evenVBand="0" w:oddHBand="0" w:evenHBand="0" w:firstRowFirstColumn="0" w:firstRowLastColumn="0" w:lastRowFirstColumn="0" w:lastRowLastColumn="0"/>
            </w:pPr>
          </w:p>
        </w:tc>
      </w:tr>
    </w:tbl>
    <w:p w14:paraId="0D7462E4" w14:textId="45028D36" w:rsidR="00DB309D" w:rsidRDefault="00DB309D" w:rsidP="00DB309D">
      <w:r w:rsidRPr="007A7886">
        <w:t>(</w:t>
      </w:r>
      <w:hyperlink r:id="rId15" w:tooltip="2021 Castlecrag, Census All persons QuickStats | Australian Bureau of Statistics" w:history="1">
        <w:r w:rsidRPr="007A7886">
          <w:rPr>
            <w:rStyle w:val="Hyperlink"/>
          </w:rPr>
          <w:t>Australian Bureau of Statistics</w:t>
        </w:r>
      </w:hyperlink>
      <w:r w:rsidRPr="007A7886">
        <w:t>)</w:t>
      </w:r>
    </w:p>
    <w:p w14:paraId="4378BF9D" w14:textId="0182AEB1" w:rsidR="00DB309D" w:rsidRPr="00DB309D" w:rsidRDefault="00DB309D" w:rsidP="00DB309D">
      <w:r w:rsidRPr="00DB309D">
        <w:t xml:space="preserve">ABS Census data therefore confirms that these are predominantly </w:t>
      </w:r>
      <w:r w:rsidRPr="00DB309D">
        <w:rPr>
          <w:b/>
          <w:bCs/>
        </w:rPr>
        <w:t>large, low-density housing markets</w:t>
      </w:r>
      <w:r w:rsidRPr="00DB309D">
        <w:t>.</w:t>
      </w:r>
    </w:p>
    <w:p w14:paraId="0A5BC5AD" w14:textId="77777777" w:rsidR="00DB309D" w:rsidRPr="00DB309D" w:rsidRDefault="00DB309D" w:rsidP="00DB309D">
      <w:r w:rsidRPr="00DB309D">
        <w:t xml:space="preserve">Their </w:t>
      </w:r>
      <w:proofErr w:type="spellStart"/>
      <w:r w:rsidRPr="00DB309D">
        <w:t>harbour</w:t>
      </w:r>
      <w:proofErr w:type="spellEnd"/>
      <w:r w:rsidRPr="00DB309D">
        <w:t>/peninsula locations, limited land and established low-density character also constrain the supply of comparable premium housing, helping sustain very high property values.</w:t>
      </w:r>
    </w:p>
    <w:p w14:paraId="7DBB36F1" w14:textId="77777777" w:rsidR="00DB309D" w:rsidRPr="00DB309D" w:rsidRDefault="00DB309D" w:rsidP="00DB309D">
      <w:pPr>
        <w:rPr>
          <w:b/>
          <w:bCs/>
        </w:rPr>
      </w:pPr>
      <w:r w:rsidRPr="00DB309D">
        <w:rPr>
          <w:b/>
          <w:bCs/>
        </w:rPr>
        <w:t>Interpretation</w:t>
      </w:r>
    </w:p>
    <w:p w14:paraId="1237A521" w14:textId="77777777" w:rsidR="00DB309D" w:rsidRPr="00DB309D" w:rsidRDefault="00DB309D" w:rsidP="00DB309D">
      <w:r w:rsidRPr="00DB309D">
        <w:rPr>
          <w:b/>
          <w:bCs/>
        </w:rPr>
        <w:t xml:space="preserve">The prestige cluster is purchase-led because scarce, large and premium housing keeps property values extremely high relative to income. Rental costs are also high, but high household incomes, small rental sectors in Castlecrag and Castle Cove, and </w:t>
      </w:r>
      <w:proofErr w:type="spellStart"/>
      <w:r w:rsidRPr="00DB309D">
        <w:rPr>
          <w:b/>
          <w:bCs/>
        </w:rPr>
        <w:t>Mosman's</w:t>
      </w:r>
      <w:proofErr w:type="spellEnd"/>
      <w:r w:rsidRPr="00DB309D">
        <w:rPr>
          <w:b/>
          <w:bCs/>
        </w:rPr>
        <w:t xml:space="preserve"> apartment stock keep aggregate rent burden comparatively moderate.</w:t>
      </w:r>
    </w:p>
    <w:p w14:paraId="7BC693EA" w14:textId="77777777" w:rsidR="00DB309D" w:rsidRPr="00DB309D" w:rsidRDefault="00DB309D" w:rsidP="00DB309D">
      <w:r w:rsidRPr="00DB309D">
        <w:rPr>
          <w:b/>
          <w:bCs/>
        </w:rPr>
        <w:t>External references:</w:t>
      </w:r>
      <w:r w:rsidRPr="00DB309D">
        <w:t xml:space="preserve"> ABS 2021 Census </w:t>
      </w:r>
      <w:proofErr w:type="spellStart"/>
      <w:r w:rsidRPr="00DB309D">
        <w:t>QuickStats</w:t>
      </w:r>
      <w:proofErr w:type="spellEnd"/>
      <w:r w:rsidRPr="00DB309D">
        <w:t xml:space="preserve">; </w:t>
      </w:r>
      <w:proofErr w:type="spellStart"/>
      <w:r w:rsidRPr="00DB309D">
        <w:t>Mosman</w:t>
      </w:r>
      <w:proofErr w:type="spellEnd"/>
      <w:r w:rsidRPr="00DB309D">
        <w:t xml:space="preserve"> Council and Lower North Shore planning material.</w:t>
      </w:r>
    </w:p>
    <w:p w14:paraId="0D9B06A9" w14:textId="77777777" w:rsidR="00DB309D" w:rsidRDefault="00DB309D" w:rsidP="007A7886"/>
    <w:p w14:paraId="24626BD3" w14:textId="77777777" w:rsidR="00B7349B" w:rsidRDefault="00B7349B" w:rsidP="007A7886"/>
    <w:p w14:paraId="33513D05" w14:textId="096B752E" w:rsidR="009136E8" w:rsidRDefault="009136E8" w:rsidP="009136E8">
      <w:pPr>
        <w:jc w:val="center"/>
      </w:pPr>
      <w:r w:rsidRPr="009136E8">
        <w:rPr>
          <w:noProof/>
        </w:rPr>
        <w:lastRenderedPageBreak/>
        <w:drawing>
          <wp:inline distT="0" distB="0" distL="0" distR="0" wp14:anchorId="7A7B2BB1" wp14:editId="375A3D15">
            <wp:extent cx="4006850" cy="2514600"/>
            <wp:effectExtent l="0" t="0" r="0" b="0"/>
            <wp:docPr id="195348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84407" name=""/>
                    <pic:cNvPicPr/>
                  </pic:nvPicPr>
                  <pic:blipFill>
                    <a:blip r:embed="rId16"/>
                    <a:stretch>
                      <a:fillRect/>
                    </a:stretch>
                  </pic:blipFill>
                  <pic:spPr>
                    <a:xfrm>
                      <a:off x="0" y="0"/>
                      <a:ext cx="4007059" cy="2514731"/>
                    </a:xfrm>
                    <a:prstGeom prst="rect">
                      <a:avLst/>
                    </a:prstGeom>
                  </pic:spPr>
                </pic:pic>
              </a:graphicData>
            </a:graphic>
          </wp:inline>
        </w:drawing>
      </w:r>
    </w:p>
    <w:p w14:paraId="17767B7F" w14:textId="5FDE4059" w:rsidR="009136E8" w:rsidRPr="009136E8" w:rsidRDefault="009136E8" w:rsidP="009136E8">
      <w:pPr>
        <w:jc w:val="center"/>
        <w:rPr>
          <w:i/>
          <w:iCs/>
          <w:sz w:val="20"/>
          <w:szCs w:val="20"/>
        </w:rPr>
      </w:pPr>
      <w:r w:rsidRPr="009136E8">
        <w:rPr>
          <w:i/>
          <w:iCs/>
          <w:sz w:val="20"/>
          <w:szCs w:val="20"/>
        </w:rPr>
        <w:t>Prestige Belt Regions</w:t>
      </w:r>
    </w:p>
    <w:p w14:paraId="5AE01DB7" w14:textId="3DAB45C8" w:rsidR="007A7886" w:rsidRPr="007A7886" w:rsidRDefault="007A7886" w:rsidP="007A7886">
      <w:pPr>
        <w:rPr>
          <w:b/>
          <w:bCs/>
          <w:sz w:val="26"/>
          <w:szCs w:val="26"/>
        </w:rPr>
      </w:pPr>
      <w:r w:rsidRPr="007A7886">
        <w:rPr>
          <w:b/>
          <w:bCs/>
          <w:sz w:val="26"/>
          <w:szCs w:val="26"/>
        </w:rPr>
        <w:t xml:space="preserve">Upper North Shore: </w:t>
      </w:r>
      <w:r w:rsidR="00DB309D">
        <w:rPr>
          <w:b/>
          <w:bCs/>
          <w:sz w:val="26"/>
          <w:szCs w:val="26"/>
        </w:rPr>
        <w:t>G</w:t>
      </w:r>
      <w:r w:rsidRPr="007A7886">
        <w:rPr>
          <w:b/>
          <w:bCs/>
          <w:sz w:val="26"/>
          <w:szCs w:val="26"/>
        </w:rPr>
        <w:t>enuine combined pressure</w:t>
      </w:r>
    </w:p>
    <w:p w14:paraId="62E0DED4" w14:textId="77777777" w:rsidR="007A7886" w:rsidRPr="007A7886" w:rsidRDefault="007A7886" w:rsidP="007A7886">
      <w:r w:rsidRPr="007A7886">
        <w:t xml:space="preserve">St Ives, </w:t>
      </w:r>
      <w:proofErr w:type="spellStart"/>
      <w:r w:rsidRPr="007A7886">
        <w:t>Pymble</w:t>
      </w:r>
      <w:proofErr w:type="spellEnd"/>
      <w:r w:rsidRPr="007A7886">
        <w:t xml:space="preserve">, East Lindfield and </w:t>
      </w:r>
      <w:proofErr w:type="spellStart"/>
      <w:r w:rsidRPr="007A7886">
        <w:t>Normanhurst</w:t>
      </w:r>
      <w:proofErr w:type="spellEnd"/>
      <w:r w:rsidRPr="007A7886">
        <w:t xml:space="preserve"> represent the strongest </w:t>
      </w:r>
      <w:r w:rsidRPr="007A7886">
        <w:rPr>
          <w:b/>
          <w:bCs/>
        </w:rPr>
        <w:t>double squeeze</w:t>
      </w:r>
      <w:r w:rsidRPr="007A7886">
        <w:t>.</w:t>
      </w:r>
    </w:p>
    <w:p w14:paraId="67D153B0" w14:textId="77777777" w:rsidR="007A7886" w:rsidRPr="007A7886" w:rsidRDefault="007A7886" w:rsidP="007A7886">
      <w:r w:rsidRPr="007A7886">
        <w:t xml:space="preserve">Purchase affordability was already poor near the start of the analysis, with the cluster around </w:t>
      </w:r>
      <w:r w:rsidRPr="007A7886">
        <w:rPr>
          <w:b/>
          <w:bCs/>
        </w:rPr>
        <w:t>15–16x income</w:t>
      </w:r>
      <w:r w:rsidRPr="007A7886">
        <w:t xml:space="preserve">. By 2025-Q3 that purchase pressure remained, but median rent burden had risen to about </w:t>
      </w:r>
      <w:r w:rsidRPr="007A7886">
        <w:rPr>
          <w:b/>
          <w:bCs/>
        </w:rPr>
        <w:t>33%</w:t>
      </w:r>
      <w:r w:rsidRPr="007A7886">
        <w:t xml:space="preserve"> and Rent-v-CPI to around </w:t>
      </w:r>
      <w:r w:rsidRPr="007A7886">
        <w:rPr>
          <w:b/>
          <w:bCs/>
        </w:rPr>
        <w:t>+32%</w:t>
      </w:r>
      <w:r w:rsidRPr="007A7886">
        <w:t>.</w:t>
      </w:r>
    </w:p>
    <w:p w14:paraId="64847D9F" w14:textId="77777777" w:rsidR="007A7886" w:rsidRPr="007A7886" w:rsidRDefault="007A7886" w:rsidP="007A7886">
      <w:r w:rsidRPr="007A7886">
        <w:t xml:space="preserve">The housing mix provides a strong structural explanation. </w:t>
      </w:r>
      <w:proofErr w:type="spellStart"/>
      <w:r w:rsidRPr="007A7886">
        <w:t>Pymble</w:t>
      </w:r>
      <w:proofErr w:type="spellEnd"/>
      <w:r w:rsidRPr="007A7886">
        <w:t xml:space="preserve"> is around </w:t>
      </w:r>
      <w:r w:rsidRPr="007A7886">
        <w:rPr>
          <w:b/>
          <w:bCs/>
        </w:rPr>
        <w:t>80% separate houses</w:t>
      </w:r>
      <w:r w:rsidRPr="007A7886">
        <w:t xml:space="preserve">, with about </w:t>
      </w:r>
      <w:r w:rsidRPr="007A7886">
        <w:rPr>
          <w:b/>
          <w:bCs/>
        </w:rPr>
        <w:t>60% 4+ bedroom dwellings</w:t>
      </w:r>
      <w:r w:rsidRPr="007A7886">
        <w:t xml:space="preserve">, while approximately </w:t>
      </w:r>
      <w:r w:rsidRPr="007A7886">
        <w:rPr>
          <w:b/>
          <w:bCs/>
        </w:rPr>
        <w:t xml:space="preserve">86% of </w:t>
      </w:r>
      <w:proofErr w:type="spellStart"/>
      <w:r w:rsidRPr="007A7886">
        <w:rPr>
          <w:b/>
          <w:bCs/>
        </w:rPr>
        <w:t>Normanhurst</w:t>
      </w:r>
      <w:proofErr w:type="spellEnd"/>
      <w:r w:rsidRPr="007A7886">
        <w:rPr>
          <w:b/>
          <w:bCs/>
        </w:rPr>
        <w:t xml:space="preserve"> dwellings have three or more bedrooms</w:t>
      </w:r>
      <w:r w:rsidRPr="007A7886">
        <w:t>. (</w:t>
      </w:r>
      <w:hyperlink r:id="rId17" w:tooltip="2021 Pymble, Census All persons QuickStats | Australian Bureau of Statistics" w:history="1">
        <w:r w:rsidRPr="007A7886">
          <w:rPr>
            <w:rStyle w:val="Hyperlink"/>
          </w:rPr>
          <w:t>Australian Bureau of Statistics</w:t>
        </w:r>
      </w:hyperlink>
      <w:r w:rsidRPr="007A7886">
        <w:t>)</w:t>
      </w:r>
    </w:p>
    <w:p w14:paraId="49D4322D" w14:textId="77777777" w:rsidR="007A7886" w:rsidRDefault="007A7886" w:rsidP="007A7886">
      <w:r w:rsidRPr="007A7886">
        <w:t>This becomes especially important when combined with the segment analysis.</w:t>
      </w:r>
    </w:p>
    <w:p w14:paraId="381494AE" w14:textId="1552F0F0" w:rsidR="00254FB2" w:rsidRDefault="00254FB2" w:rsidP="00254FB2">
      <w:pPr>
        <w:jc w:val="center"/>
      </w:pPr>
      <w:r w:rsidRPr="00254FB2">
        <w:rPr>
          <w:noProof/>
        </w:rPr>
        <w:drawing>
          <wp:inline distT="0" distB="0" distL="0" distR="0" wp14:anchorId="29F1E228" wp14:editId="78A86BF4">
            <wp:extent cx="4006850" cy="3086100"/>
            <wp:effectExtent l="0" t="0" r="0" b="0"/>
            <wp:docPr id="97701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15554" name=""/>
                    <pic:cNvPicPr/>
                  </pic:nvPicPr>
                  <pic:blipFill>
                    <a:blip r:embed="rId18"/>
                    <a:stretch>
                      <a:fillRect/>
                    </a:stretch>
                  </pic:blipFill>
                  <pic:spPr>
                    <a:xfrm>
                      <a:off x="0" y="0"/>
                      <a:ext cx="4007057" cy="3086259"/>
                    </a:xfrm>
                    <a:prstGeom prst="rect">
                      <a:avLst/>
                    </a:prstGeom>
                  </pic:spPr>
                </pic:pic>
              </a:graphicData>
            </a:graphic>
          </wp:inline>
        </w:drawing>
      </w:r>
    </w:p>
    <w:p w14:paraId="034636D7" w14:textId="1BE61164" w:rsidR="00254FB2" w:rsidRDefault="00254FB2" w:rsidP="00B7349B">
      <w:pPr>
        <w:jc w:val="center"/>
        <w:rPr>
          <w:i/>
          <w:iCs/>
          <w:sz w:val="20"/>
          <w:szCs w:val="20"/>
        </w:rPr>
      </w:pPr>
      <w:r w:rsidRPr="00254FB2">
        <w:rPr>
          <w:i/>
          <w:iCs/>
          <w:sz w:val="20"/>
          <w:szCs w:val="20"/>
        </w:rPr>
        <w:t>Combined Pressure Cluster</w:t>
      </w:r>
    </w:p>
    <w:p w14:paraId="063B84C6" w14:textId="77777777" w:rsidR="00B7349B" w:rsidRPr="00B7349B" w:rsidRDefault="00B7349B" w:rsidP="00B7349B">
      <w:pPr>
        <w:jc w:val="center"/>
        <w:rPr>
          <w:i/>
          <w:iCs/>
          <w:sz w:val="20"/>
          <w:szCs w:val="20"/>
        </w:rPr>
      </w:pPr>
    </w:p>
    <w:p w14:paraId="4628358D" w14:textId="4C8C3252" w:rsidR="007A7886" w:rsidRPr="007A7886" w:rsidRDefault="007A7886" w:rsidP="007A7886">
      <w:pPr>
        <w:pStyle w:val="Heading3"/>
      </w:pPr>
      <w:r w:rsidRPr="007A7886">
        <w:t>Segment drivers explain why the aggregate region appears less stressed</w:t>
      </w:r>
    </w:p>
    <w:p w14:paraId="0F9B474E" w14:textId="77777777" w:rsidR="007A7886" w:rsidRPr="007A7886" w:rsidRDefault="007A7886" w:rsidP="007A7886">
      <w:r w:rsidRPr="007A7886">
        <w:t xml:space="preserve">North Sydney &amp; Hornsby had a high 2021 median weekly household income of roughly </w:t>
      </w:r>
      <w:r w:rsidRPr="007A7886">
        <w:rPr>
          <w:b/>
          <w:bCs/>
        </w:rPr>
        <w:t>$2,729</w:t>
      </w:r>
      <w:r w:rsidRPr="007A7886">
        <w:t>, which lowers the measured burden ratio despite high nominal rents.</w:t>
      </w:r>
    </w:p>
    <w:p w14:paraId="530B3016" w14:textId="77777777" w:rsidR="007A7886" w:rsidRPr="007A7886" w:rsidRDefault="007A7886" w:rsidP="007A7886">
      <w:r w:rsidRPr="007A7886">
        <w:t>But housing composition matters just as much.</w:t>
      </w:r>
    </w:p>
    <w:tbl>
      <w:tblPr>
        <w:tblStyle w:val="GridTable1Light"/>
        <w:tblW w:w="0" w:type="auto"/>
        <w:tblLook w:val="04A0" w:firstRow="1" w:lastRow="0" w:firstColumn="1" w:lastColumn="0" w:noHBand="0" w:noVBand="1"/>
      </w:tblPr>
      <w:tblGrid>
        <w:gridCol w:w="1973"/>
        <w:gridCol w:w="1468"/>
        <w:gridCol w:w="1315"/>
        <w:gridCol w:w="1806"/>
        <w:gridCol w:w="2887"/>
      </w:tblGrid>
      <w:tr w:rsidR="007A7886" w:rsidRPr="007A7886" w14:paraId="22FCFD97" w14:textId="77777777" w:rsidTr="007A7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09109" w14:textId="77777777" w:rsidR="007A7886" w:rsidRPr="007A7886" w:rsidRDefault="007A7886" w:rsidP="007A7886">
            <w:pPr>
              <w:spacing w:after="160" w:line="278" w:lineRule="auto"/>
            </w:pPr>
            <w:r w:rsidRPr="007A7886">
              <w:t>2025-Q3 segment</w:t>
            </w:r>
          </w:p>
        </w:tc>
        <w:tc>
          <w:tcPr>
            <w:tcW w:w="0" w:type="auto"/>
            <w:hideMark/>
          </w:tcPr>
          <w:p w14:paraId="1B08E655"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Approx. rent</w:t>
            </w:r>
          </w:p>
        </w:tc>
        <w:tc>
          <w:tcPr>
            <w:tcW w:w="0" w:type="auto"/>
            <w:hideMark/>
          </w:tcPr>
          <w:p w14:paraId="3F78F943"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Rent vs CPI</w:t>
            </w:r>
          </w:p>
        </w:tc>
        <w:tc>
          <w:tcPr>
            <w:tcW w:w="0" w:type="auto"/>
            <w:hideMark/>
          </w:tcPr>
          <w:p w14:paraId="1EFF4387"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Burden position</w:t>
            </w:r>
          </w:p>
        </w:tc>
        <w:tc>
          <w:tcPr>
            <w:tcW w:w="0" w:type="auto"/>
            <w:hideMark/>
          </w:tcPr>
          <w:p w14:paraId="41CE50C2"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Market relevance</w:t>
            </w:r>
          </w:p>
        </w:tc>
      </w:tr>
      <w:tr w:rsidR="007A7886" w:rsidRPr="007A7886" w14:paraId="71FF3EC7"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5E995EE6" w14:textId="77777777" w:rsidR="007A7886" w:rsidRPr="007A7886" w:rsidRDefault="007A7886" w:rsidP="007A7886">
            <w:pPr>
              <w:spacing w:after="160" w:line="278" w:lineRule="auto"/>
            </w:pPr>
            <w:r w:rsidRPr="007A7886">
              <w:t>Flat/unit</w:t>
            </w:r>
          </w:p>
        </w:tc>
        <w:tc>
          <w:tcPr>
            <w:tcW w:w="0" w:type="auto"/>
            <w:hideMark/>
          </w:tcPr>
          <w:p w14:paraId="3CDA7D9D"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~$790</w:t>
            </w:r>
          </w:p>
        </w:tc>
        <w:tc>
          <w:tcPr>
            <w:tcW w:w="0" w:type="auto"/>
            <w:hideMark/>
          </w:tcPr>
          <w:p w14:paraId="2511C4A2"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+10.8%</w:t>
            </w:r>
          </w:p>
        </w:tc>
        <w:tc>
          <w:tcPr>
            <w:tcW w:w="0" w:type="auto"/>
            <w:hideMark/>
          </w:tcPr>
          <w:p w14:paraId="35B1311A"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Below overall</w:t>
            </w:r>
          </w:p>
        </w:tc>
        <w:tc>
          <w:tcPr>
            <w:tcW w:w="0" w:type="auto"/>
            <w:hideMark/>
          </w:tcPr>
          <w:p w14:paraId="69B57966"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Dominates new bonds</w:t>
            </w:r>
          </w:p>
        </w:tc>
      </w:tr>
      <w:tr w:rsidR="007A7886" w:rsidRPr="007A7886" w14:paraId="04D4B504"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68185ABE" w14:textId="77777777" w:rsidR="007A7886" w:rsidRPr="007A7886" w:rsidRDefault="007A7886" w:rsidP="007A7886">
            <w:pPr>
              <w:spacing w:after="160" w:line="278" w:lineRule="auto"/>
            </w:pPr>
            <w:r w:rsidRPr="007A7886">
              <w:t>House</w:t>
            </w:r>
          </w:p>
        </w:tc>
        <w:tc>
          <w:tcPr>
            <w:tcW w:w="0" w:type="auto"/>
            <w:hideMark/>
          </w:tcPr>
          <w:p w14:paraId="095E0E02"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~$1,300</w:t>
            </w:r>
          </w:p>
        </w:tc>
        <w:tc>
          <w:tcPr>
            <w:tcW w:w="0" w:type="auto"/>
            <w:hideMark/>
          </w:tcPr>
          <w:p w14:paraId="784C142D"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+84.4%</w:t>
            </w:r>
          </w:p>
        </w:tc>
        <w:tc>
          <w:tcPr>
            <w:tcW w:w="0" w:type="auto"/>
            <w:hideMark/>
          </w:tcPr>
          <w:p w14:paraId="19AEFE0F"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~+17 pp</w:t>
            </w:r>
          </w:p>
        </w:tc>
        <w:tc>
          <w:tcPr>
            <w:tcW w:w="0" w:type="auto"/>
            <w:hideMark/>
          </w:tcPr>
          <w:p w14:paraId="695534BA"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Smaller but meaningful</w:t>
            </w:r>
          </w:p>
        </w:tc>
      </w:tr>
      <w:tr w:rsidR="007A7886" w:rsidRPr="007A7886" w14:paraId="4A91283A"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6F310E13" w14:textId="77777777" w:rsidR="007A7886" w:rsidRPr="007A7886" w:rsidRDefault="007A7886" w:rsidP="007A7886">
            <w:pPr>
              <w:spacing w:after="160" w:line="278" w:lineRule="auto"/>
            </w:pPr>
            <w:r w:rsidRPr="007A7886">
              <w:t>1BR</w:t>
            </w:r>
          </w:p>
        </w:tc>
        <w:tc>
          <w:tcPr>
            <w:tcW w:w="0" w:type="auto"/>
            <w:hideMark/>
          </w:tcPr>
          <w:p w14:paraId="47F5F4E0"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~$660</w:t>
            </w:r>
          </w:p>
        </w:tc>
        <w:tc>
          <w:tcPr>
            <w:tcW w:w="0" w:type="auto"/>
            <w:hideMark/>
          </w:tcPr>
          <w:p w14:paraId="41C00686"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-7.5%</w:t>
            </w:r>
          </w:p>
        </w:tc>
        <w:tc>
          <w:tcPr>
            <w:tcW w:w="0" w:type="auto"/>
            <w:hideMark/>
          </w:tcPr>
          <w:p w14:paraId="7EC711A7"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~-9 pp</w:t>
            </w:r>
          </w:p>
        </w:tc>
        <w:tc>
          <w:tcPr>
            <w:tcW w:w="0" w:type="auto"/>
            <w:hideMark/>
          </w:tcPr>
          <w:p w14:paraId="35FD1EBE"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High activity</w:t>
            </w:r>
          </w:p>
        </w:tc>
      </w:tr>
      <w:tr w:rsidR="007A7886" w:rsidRPr="007A7886" w14:paraId="5D078389"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3DC124AB" w14:textId="77777777" w:rsidR="007A7886" w:rsidRPr="007A7886" w:rsidRDefault="007A7886" w:rsidP="007A7886">
            <w:pPr>
              <w:spacing w:after="160" w:line="278" w:lineRule="auto"/>
            </w:pPr>
            <w:r w:rsidRPr="007A7886">
              <w:t>2BR</w:t>
            </w:r>
          </w:p>
        </w:tc>
        <w:tc>
          <w:tcPr>
            <w:tcW w:w="0" w:type="auto"/>
            <w:hideMark/>
          </w:tcPr>
          <w:p w14:paraId="35A887AB"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~$840</w:t>
            </w:r>
          </w:p>
        </w:tc>
        <w:tc>
          <w:tcPr>
            <w:tcW w:w="0" w:type="auto"/>
            <w:hideMark/>
          </w:tcPr>
          <w:p w14:paraId="1D6972E8"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+17.8%</w:t>
            </w:r>
          </w:p>
        </w:tc>
        <w:tc>
          <w:tcPr>
            <w:tcW w:w="0" w:type="auto"/>
            <w:hideMark/>
          </w:tcPr>
          <w:p w14:paraId="7169E234"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~-2 pp</w:t>
            </w:r>
          </w:p>
        </w:tc>
        <w:tc>
          <w:tcPr>
            <w:tcW w:w="0" w:type="auto"/>
            <w:hideMark/>
          </w:tcPr>
          <w:p w14:paraId="0617E060"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Largest activity segment</w:t>
            </w:r>
          </w:p>
        </w:tc>
      </w:tr>
      <w:tr w:rsidR="007A7886" w:rsidRPr="007A7886" w14:paraId="24BCD239"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044E159C" w14:textId="77777777" w:rsidR="007A7886" w:rsidRPr="007A7886" w:rsidRDefault="007A7886" w:rsidP="007A7886">
            <w:pPr>
              <w:spacing w:after="160" w:line="278" w:lineRule="auto"/>
            </w:pPr>
            <w:r w:rsidRPr="007A7886">
              <w:t>3BR</w:t>
            </w:r>
          </w:p>
        </w:tc>
        <w:tc>
          <w:tcPr>
            <w:tcW w:w="0" w:type="auto"/>
            <w:hideMark/>
          </w:tcPr>
          <w:p w14:paraId="429FB84B"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~$1,250</w:t>
            </w:r>
          </w:p>
        </w:tc>
        <w:tc>
          <w:tcPr>
            <w:tcW w:w="0" w:type="auto"/>
            <w:hideMark/>
          </w:tcPr>
          <w:p w14:paraId="046DFF0C"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+74.8%</w:t>
            </w:r>
          </w:p>
        </w:tc>
        <w:tc>
          <w:tcPr>
            <w:tcW w:w="0" w:type="auto"/>
            <w:hideMark/>
          </w:tcPr>
          <w:p w14:paraId="0ADE351F"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~+13 pp</w:t>
            </w:r>
          </w:p>
        </w:tc>
        <w:tc>
          <w:tcPr>
            <w:tcW w:w="0" w:type="auto"/>
            <w:hideMark/>
          </w:tcPr>
          <w:p w14:paraId="09A89DDD"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Meaningful activity</w:t>
            </w:r>
          </w:p>
        </w:tc>
      </w:tr>
      <w:tr w:rsidR="007A7886" w:rsidRPr="007A7886" w14:paraId="736093E1"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7AD98B40" w14:textId="77777777" w:rsidR="007A7886" w:rsidRPr="007A7886" w:rsidRDefault="007A7886" w:rsidP="007A7886">
            <w:pPr>
              <w:spacing w:after="160" w:line="278" w:lineRule="auto"/>
            </w:pPr>
            <w:r w:rsidRPr="007A7886">
              <w:t>4+BR</w:t>
            </w:r>
          </w:p>
        </w:tc>
        <w:tc>
          <w:tcPr>
            <w:tcW w:w="0" w:type="auto"/>
            <w:hideMark/>
          </w:tcPr>
          <w:p w14:paraId="06C01F73"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~$1,620</w:t>
            </w:r>
          </w:p>
        </w:tc>
        <w:tc>
          <w:tcPr>
            <w:tcW w:w="0" w:type="auto"/>
            <w:hideMark/>
          </w:tcPr>
          <w:p w14:paraId="1383225F"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rPr>
                <w:b/>
                <w:bCs/>
              </w:rPr>
              <w:t>+127.8%</w:t>
            </w:r>
          </w:p>
        </w:tc>
        <w:tc>
          <w:tcPr>
            <w:tcW w:w="0" w:type="auto"/>
            <w:hideMark/>
          </w:tcPr>
          <w:p w14:paraId="28CA54B4"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~+27 pp</w:t>
            </w:r>
          </w:p>
        </w:tc>
        <w:tc>
          <w:tcPr>
            <w:tcW w:w="0" w:type="auto"/>
            <w:hideMark/>
          </w:tcPr>
          <w:p w14:paraId="75204E16"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Low volume / concentrated</w:t>
            </w:r>
          </w:p>
        </w:tc>
      </w:tr>
    </w:tbl>
    <w:p w14:paraId="2ECE8F7A" w14:textId="77777777" w:rsidR="007A7886" w:rsidRDefault="007A7886" w:rsidP="007A7886"/>
    <w:p w14:paraId="5B162289" w14:textId="76978B79" w:rsidR="007A7886" w:rsidRPr="007A7886" w:rsidRDefault="007A7886" w:rsidP="007A7886">
      <w:r w:rsidRPr="007A7886">
        <w:t xml:space="preserve">This produces a </w:t>
      </w:r>
      <w:r w:rsidRPr="007A7886">
        <w:rPr>
          <w:b/>
          <w:bCs/>
        </w:rPr>
        <w:t>two-speed rental market</w:t>
      </w:r>
      <w:r w:rsidRPr="007A7886">
        <w:t>.</w:t>
      </w:r>
    </w:p>
    <w:p w14:paraId="7B37CF16" w14:textId="77777777" w:rsidR="007A7886" w:rsidRDefault="007A7886" w:rsidP="007A7886">
      <w:r w:rsidRPr="007A7886">
        <w:t xml:space="preserve">Most rental transactions occur in flats/units and 1–2BR housing, where pressure is comparatively contained. The most severe affordability deterioration is concentrated in </w:t>
      </w:r>
      <w:r w:rsidRPr="007A7886">
        <w:rPr>
          <w:b/>
          <w:bCs/>
        </w:rPr>
        <w:t>houses and 3–4+ bedroom housing</w:t>
      </w:r>
      <w:r w:rsidRPr="007A7886">
        <w:t>.</w:t>
      </w:r>
    </w:p>
    <w:p w14:paraId="55E3B056" w14:textId="4C8F754D" w:rsidR="00D04437" w:rsidRDefault="00D04437" w:rsidP="007A7886">
      <w:r w:rsidRPr="00D04437">
        <w:rPr>
          <w:noProof/>
        </w:rPr>
        <w:drawing>
          <wp:inline distT="0" distB="0" distL="0" distR="0" wp14:anchorId="3693F885" wp14:editId="36C125D5">
            <wp:extent cx="5943600" cy="1668780"/>
            <wp:effectExtent l="0" t="0" r="0" b="7620"/>
            <wp:docPr id="144259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96194" name=""/>
                    <pic:cNvPicPr/>
                  </pic:nvPicPr>
                  <pic:blipFill>
                    <a:blip r:embed="rId19"/>
                    <a:stretch>
                      <a:fillRect/>
                    </a:stretch>
                  </pic:blipFill>
                  <pic:spPr>
                    <a:xfrm>
                      <a:off x="0" y="0"/>
                      <a:ext cx="5943600" cy="1668780"/>
                    </a:xfrm>
                    <a:prstGeom prst="rect">
                      <a:avLst/>
                    </a:prstGeom>
                  </pic:spPr>
                </pic:pic>
              </a:graphicData>
            </a:graphic>
          </wp:inline>
        </w:drawing>
      </w:r>
    </w:p>
    <w:p w14:paraId="501524E9" w14:textId="3F574223" w:rsidR="00D04437" w:rsidRDefault="00D04437" w:rsidP="007A7886">
      <w:pPr>
        <w:rPr>
          <w:i/>
          <w:iCs/>
          <w:sz w:val="20"/>
          <w:szCs w:val="20"/>
        </w:rPr>
      </w:pPr>
      <w:r w:rsidRPr="00D04437">
        <w:rPr>
          <w:i/>
          <w:iCs/>
          <w:sz w:val="20"/>
          <w:szCs w:val="20"/>
        </w:rPr>
        <w:t>Bedroom Count Statistics by 2025-Q3</w:t>
      </w:r>
    </w:p>
    <w:p w14:paraId="21CF2BA3" w14:textId="77777777" w:rsidR="00D04437" w:rsidRDefault="00D04437" w:rsidP="007A7886">
      <w:pPr>
        <w:rPr>
          <w:i/>
          <w:iCs/>
          <w:sz w:val="20"/>
          <w:szCs w:val="20"/>
        </w:rPr>
      </w:pPr>
    </w:p>
    <w:p w14:paraId="3A19B415" w14:textId="77777777" w:rsidR="00033123" w:rsidRDefault="00033123" w:rsidP="00033123"/>
    <w:p w14:paraId="31FD99BC" w14:textId="77777777" w:rsidR="00033123" w:rsidRDefault="00033123" w:rsidP="00033123"/>
    <w:p w14:paraId="2FE6EB49" w14:textId="77777777" w:rsidR="00033123" w:rsidRDefault="00033123" w:rsidP="00033123"/>
    <w:p w14:paraId="66CAC8A1" w14:textId="77777777" w:rsidR="00033123" w:rsidRDefault="00033123" w:rsidP="00033123"/>
    <w:p w14:paraId="17F63D04" w14:textId="77777777" w:rsidR="00033123" w:rsidRDefault="00033123" w:rsidP="00033123"/>
    <w:p w14:paraId="0B0CC270" w14:textId="0C7FA554" w:rsidR="00033123" w:rsidRPr="007A7886" w:rsidRDefault="00033123" w:rsidP="00033123">
      <w:r w:rsidRPr="007A7886">
        <w:lastRenderedPageBreak/>
        <w:t>That explains two otherwise conflicting observations:</w:t>
      </w:r>
    </w:p>
    <w:p w14:paraId="038C0946" w14:textId="77777777" w:rsidR="00033123" w:rsidRPr="007A7886" w:rsidRDefault="00033123" w:rsidP="00033123">
      <w:r w:rsidRPr="007A7886">
        <w:t>North Sydney &amp; Hornsby can have some of Sydney's highest nominal rents while maintaining a comparatively moderate regional rent-burden ratio, yet still contain extremely stressed family-sized rental segments.</w:t>
      </w:r>
    </w:p>
    <w:p w14:paraId="2E4C79F4" w14:textId="77777777" w:rsidR="00033123" w:rsidRPr="007A7886" w:rsidRDefault="00033123" w:rsidP="00033123">
      <w:r w:rsidRPr="007A7886">
        <w:t xml:space="preserve">It also explains why the </w:t>
      </w:r>
      <w:r w:rsidRPr="007A7886">
        <w:rPr>
          <w:b/>
          <w:bCs/>
        </w:rPr>
        <w:t>combined-pressure Upper North Shore</w:t>
      </w:r>
      <w:r w:rsidRPr="007A7886">
        <w:t xml:space="preserve"> is analytically important: its housing stock is concentrated precisely in the larger housing categories where the regional segment analysis finds the strongest rental stress.</w:t>
      </w:r>
    </w:p>
    <w:p w14:paraId="46EF4FF8" w14:textId="77777777" w:rsidR="00033123" w:rsidRPr="007A7886" w:rsidRDefault="00033123" w:rsidP="00033123">
      <w:r w:rsidRPr="007A7886">
        <w:t xml:space="preserve">Broader Sydney evidence reinforces this. Committee for Sydney/BDO reports that between 2011 and 2021 the stock of </w:t>
      </w:r>
      <w:r w:rsidRPr="007A7886">
        <w:rPr>
          <w:b/>
          <w:bCs/>
        </w:rPr>
        <w:t>3-bedroom dwellings increased only 3%</w:t>
      </w:r>
      <w:r w:rsidRPr="007A7886">
        <w:t xml:space="preserve">, versus </w:t>
      </w:r>
      <w:r w:rsidRPr="007A7886">
        <w:rPr>
          <w:b/>
          <w:bCs/>
        </w:rPr>
        <w:t>50% for 1BR and 27% for 2BR dwellings</w:t>
      </w:r>
      <w:r w:rsidRPr="007A7886">
        <w:t xml:space="preserve">, and that family-sized apartments exceeded its affordability threshold in more than </w:t>
      </w:r>
      <w:r w:rsidRPr="007A7886">
        <w:rPr>
          <w:b/>
          <w:bCs/>
        </w:rPr>
        <w:t>116 Sydney postcodes by 2025</w:t>
      </w:r>
      <w:r w:rsidRPr="007A7886">
        <w:t>. (</w:t>
      </w:r>
      <w:hyperlink r:id="rId20" w:tooltip="STATE OF THE CITY 2026 | BDO for the Committee for Sydney" w:history="1">
        <w:r w:rsidRPr="007A7886">
          <w:rPr>
            <w:rStyle w:val="Hyperlink"/>
          </w:rPr>
          <w:t>Committee for Sydney</w:t>
        </w:r>
      </w:hyperlink>
      <w:r w:rsidRPr="007A7886">
        <w:t>)</w:t>
      </w:r>
    </w:p>
    <w:p w14:paraId="124F46FD" w14:textId="77777777" w:rsidR="00D04437" w:rsidRDefault="00D04437" w:rsidP="007A7886">
      <w:pPr>
        <w:rPr>
          <w:i/>
          <w:iCs/>
          <w:sz w:val="20"/>
          <w:szCs w:val="20"/>
        </w:rPr>
      </w:pPr>
    </w:p>
    <w:p w14:paraId="1F993392" w14:textId="77777777" w:rsidR="00D04437" w:rsidRDefault="00D04437" w:rsidP="007A7886">
      <w:pPr>
        <w:rPr>
          <w:i/>
          <w:iCs/>
          <w:sz w:val="20"/>
          <w:szCs w:val="20"/>
        </w:rPr>
      </w:pPr>
    </w:p>
    <w:p w14:paraId="13CB7843" w14:textId="429C0427" w:rsidR="00D04437" w:rsidRDefault="00D04437" w:rsidP="007A7886">
      <w:pPr>
        <w:rPr>
          <w:i/>
          <w:iCs/>
          <w:sz w:val="20"/>
          <w:szCs w:val="20"/>
        </w:rPr>
      </w:pPr>
      <w:r w:rsidRPr="00D04437">
        <w:rPr>
          <w:i/>
          <w:iCs/>
          <w:noProof/>
          <w:sz w:val="20"/>
          <w:szCs w:val="20"/>
        </w:rPr>
        <w:drawing>
          <wp:inline distT="0" distB="0" distL="0" distR="0" wp14:anchorId="76581751" wp14:editId="188A039A">
            <wp:extent cx="5943600" cy="1639570"/>
            <wp:effectExtent l="0" t="0" r="0" b="0"/>
            <wp:docPr id="142478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8903" name=""/>
                    <pic:cNvPicPr/>
                  </pic:nvPicPr>
                  <pic:blipFill>
                    <a:blip r:embed="rId21"/>
                    <a:stretch>
                      <a:fillRect/>
                    </a:stretch>
                  </pic:blipFill>
                  <pic:spPr>
                    <a:xfrm>
                      <a:off x="0" y="0"/>
                      <a:ext cx="5943600" cy="1639570"/>
                    </a:xfrm>
                    <a:prstGeom prst="rect">
                      <a:avLst/>
                    </a:prstGeom>
                  </pic:spPr>
                </pic:pic>
              </a:graphicData>
            </a:graphic>
          </wp:inline>
        </w:drawing>
      </w:r>
    </w:p>
    <w:p w14:paraId="2EB20A75" w14:textId="4C4FA9C0" w:rsidR="00D04437" w:rsidRPr="00D04437" w:rsidRDefault="00D04437" w:rsidP="007A7886">
      <w:pPr>
        <w:rPr>
          <w:i/>
          <w:iCs/>
          <w:sz w:val="20"/>
          <w:szCs w:val="20"/>
        </w:rPr>
      </w:pPr>
      <w:r>
        <w:rPr>
          <w:i/>
          <w:iCs/>
          <w:sz w:val="20"/>
          <w:szCs w:val="20"/>
        </w:rPr>
        <w:t>Dwelling type statistics by 2025-Q3</w:t>
      </w:r>
    </w:p>
    <w:p w14:paraId="0C20F532" w14:textId="77777777" w:rsidR="00D156B9" w:rsidRDefault="00D156B9" w:rsidP="007A7886"/>
    <w:p w14:paraId="64E739C9" w14:textId="28919FCB" w:rsidR="00D156B9" w:rsidRPr="00D156B9" w:rsidRDefault="00D156B9" w:rsidP="00D156B9">
      <w:r w:rsidRPr="00D156B9">
        <w:rPr>
          <w:noProof/>
        </w:rPr>
        <w:drawing>
          <wp:inline distT="0" distB="0" distL="0" distR="0" wp14:anchorId="2EF41570" wp14:editId="2750CF45">
            <wp:extent cx="5943600" cy="2888615"/>
            <wp:effectExtent l="0" t="0" r="0" b="6985"/>
            <wp:docPr id="1985543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888615"/>
                    </a:xfrm>
                    <a:prstGeom prst="rect">
                      <a:avLst/>
                    </a:prstGeom>
                    <a:noFill/>
                    <a:ln>
                      <a:noFill/>
                    </a:ln>
                  </pic:spPr>
                </pic:pic>
              </a:graphicData>
            </a:graphic>
          </wp:inline>
        </w:drawing>
      </w:r>
    </w:p>
    <w:p w14:paraId="186299A8" w14:textId="31D30E11" w:rsidR="00D156B9" w:rsidRPr="00D156B9" w:rsidRDefault="00D156B9" w:rsidP="007A7886">
      <w:pPr>
        <w:rPr>
          <w:i/>
          <w:iCs/>
          <w:sz w:val="20"/>
          <w:szCs w:val="20"/>
        </w:rPr>
      </w:pPr>
      <w:r w:rsidRPr="00D156B9">
        <w:rPr>
          <w:i/>
          <w:iCs/>
          <w:sz w:val="20"/>
          <w:szCs w:val="20"/>
        </w:rPr>
        <w:t>Reported Rental Bond Share by Bedroom count by 2025-Q3: North Sydney and Hornsby</w:t>
      </w:r>
    </w:p>
    <w:p w14:paraId="27B3EC37" w14:textId="77777777" w:rsidR="00D156B9" w:rsidRDefault="00D156B9" w:rsidP="007A7886"/>
    <w:p w14:paraId="282D578F" w14:textId="6F22D064" w:rsidR="00D156B9" w:rsidRDefault="00D156B9" w:rsidP="007A7886">
      <w:r w:rsidRPr="00D156B9">
        <w:rPr>
          <w:noProof/>
        </w:rPr>
        <w:drawing>
          <wp:inline distT="0" distB="0" distL="0" distR="0" wp14:anchorId="25A18976" wp14:editId="44B16C67">
            <wp:extent cx="5943600" cy="2811780"/>
            <wp:effectExtent l="0" t="0" r="0" b="7620"/>
            <wp:docPr id="123557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74006" name=""/>
                    <pic:cNvPicPr/>
                  </pic:nvPicPr>
                  <pic:blipFill>
                    <a:blip r:embed="rId23"/>
                    <a:stretch>
                      <a:fillRect/>
                    </a:stretch>
                  </pic:blipFill>
                  <pic:spPr>
                    <a:xfrm>
                      <a:off x="0" y="0"/>
                      <a:ext cx="5943600" cy="2811780"/>
                    </a:xfrm>
                    <a:prstGeom prst="rect">
                      <a:avLst/>
                    </a:prstGeom>
                  </pic:spPr>
                </pic:pic>
              </a:graphicData>
            </a:graphic>
          </wp:inline>
        </w:drawing>
      </w:r>
    </w:p>
    <w:p w14:paraId="247426B9" w14:textId="56B47685" w:rsidR="00D156B9" w:rsidRPr="00D156B9" w:rsidRDefault="00D156B9" w:rsidP="007A7886">
      <w:pPr>
        <w:rPr>
          <w:i/>
          <w:iCs/>
          <w:sz w:val="20"/>
          <w:szCs w:val="20"/>
        </w:rPr>
      </w:pPr>
      <w:r w:rsidRPr="00D156B9">
        <w:rPr>
          <w:i/>
          <w:iCs/>
          <w:sz w:val="20"/>
          <w:szCs w:val="20"/>
        </w:rPr>
        <w:t xml:space="preserve">Reported Rental Bond Share by </w:t>
      </w:r>
      <w:r>
        <w:rPr>
          <w:i/>
          <w:iCs/>
          <w:sz w:val="20"/>
          <w:szCs w:val="20"/>
        </w:rPr>
        <w:t>Dwelling Types</w:t>
      </w:r>
      <w:r w:rsidRPr="00D156B9">
        <w:rPr>
          <w:i/>
          <w:iCs/>
          <w:sz w:val="20"/>
          <w:szCs w:val="20"/>
        </w:rPr>
        <w:t xml:space="preserve"> by 2025-Q3: North Sydney and Hornsby</w:t>
      </w:r>
    </w:p>
    <w:p w14:paraId="3A032BDA" w14:textId="77777777" w:rsidR="00D156B9" w:rsidRPr="007A7886" w:rsidRDefault="00D156B9" w:rsidP="007A7886"/>
    <w:p w14:paraId="5313F160" w14:textId="7283254A" w:rsidR="007A7886" w:rsidRPr="007A7886" w:rsidRDefault="007A7886" w:rsidP="007A7886">
      <w:pPr>
        <w:pStyle w:val="Heading3"/>
      </w:pPr>
      <w:r w:rsidRPr="007A7886">
        <w:t>Asquith breaks the northward pattern</w:t>
      </w:r>
    </w:p>
    <w:p w14:paraId="3F1FDB06" w14:textId="77777777" w:rsidR="007A7886" w:rsidRPr="007A7886" w:rsidRDefault="007A7886" w:rsidP="007A7886">
      <w:r w:rsidRPr="007A7886">
        <w:t xml:space="preserve">Asquith is the clearest </w:t>
      </w:r>
      <w:r w:rsidRPr="007A7886">
        <w:rPr>
          <w:b/>
          <w:bCs/>
        </w:rPr>
        <w:t>purchase-affordability release valve</w:t>
      </w:r>
      <w:r w:rsidRPr="007A7886">
        <w:t>.</w:t>
      </w:r>
    </w:p>
    <w:p w14:paraId="44224547" w14:textId="77777777" w:rsidR="007A7886" w:rsidRPr="007A7886" w:rsidRDefault="007A7886" w:rsidP="007A7886">
      <w:r w:rsidRPr="007A7886">
        <w:t>By 2025-Q3:</w:t>
      </w:r>
    </w:p>
    <w:p w14:paraId="71C8954C" w14:textId="77777777" w:rsidR="007A7886" w:rsidRPr="007A7886" w:rsidRDefault="007A7886" w:rsidP="007A7886">
      <w:r w:rsidRPr="007A7886">
        <w:rPr>
          <w:b/>
          <w:bCs/>
        </w:rPr>
        <w:t>Sales price:</w:t>
      </w:r>
      <w:r w:rsidRPr="007A7886">
        <w:t xml:space="preserve"> ~$770k</w:t>
      </w:r>
      <w:r w:rsidRPr="007A7886">
        <w:br/>
      </w:r>
      <w:r w:rsidRPr="007A7886">
        <w:rPr>
          <w:b/>
          <w:bCs/>
        </w:rPr>
        <w:t>P/I:</w:t>
      </w:r>
      <w:r w:rsidRPr="007A7886">
        <w:t xml:space="preserve"> </w:t>
      </w:r>
      <w:r w:rsidRPr="007A7886">
        <w:rPr>
          <w:b/>
          <w:bCs/>
        </w:rPr>
        <w:t>7.0x</w:t>
      </w:r>
      <w:r w:rsidRPr="007A7886">
        <w:br/>
      </w:r>
      <w:r w:rsidRPr="007A7886">
        <w:rPr>
          <w:b/>
          <w:bCs/>
        </w:rPr>
        <w:t>Rent burden:</w:t>
      </w:r>
      <w:r w:rsidRPr="007A7886">
        <w:t xml:space="preserve"> </w:t>
      </w:r>
      <w:r w:rsidRPr="007A7886">
        <w:rPr>
          <w:b/>
          <w:bCs/>
        </w:rPr>
        <w:t>32.7%</w:t>
      </w:r>
      <w:r w:rsidRPr="007A7886">
        <w:br/>
      </w:r>
      <w:r w:rsidRPr="007A7886">
        <w:rPr>
          <w:b/>
          <w:bCs/>
        </w:rPr>
        <w:t>Rent growth:</w:t>
      </w:r>
      <w:r w:rsidRPr="007A7886">
        <w:t xml:space="preserve"> </w:t>
      </w:r>
      <w:r w:rsidRPr="007A7886">
        <w:rPr>
          <w:b/>
          <w:bCs/>
        </w:rPr>
        <w:t>+46.8%</w:t>
      </w:r>
      <w:r w:rsidRPr="007A7886">
        <w:br/>
      </w:r>
      <w:r w:rsidRPr="007A7886">
        <w:rPr>
          <w:b/>
          <w:bCs/>
        </w:rPr>
        <w:t>Sales-price growth:</w:t>
      </w:r>
      <w:r w:rsidRPr="007A7886">
        <w:t xml:space="preserve"> </w:t>
      </w:r>
      <w:r w:rsidRPr="007A7886">
        <w:rPr>
          <w:b/>
          <w:bCs/>
        </w:rPr>
        <w:t>+6.2%</w:t>
      </w:r>
      <w:r w:rsidRPr="007A7886">
        <w:br/>
      </w:r>
      <w:r w:rsidRPr="007A7886">
        <w:rPr>
          <w:b/>
          <w:bCs/>
        </w:rPr>
        <w:t>Sales:</w:t>
      </w:r>
      <w:r w:rsidRPr="007A7886">
        <w:t xml:space="preserve"> </w:t>
      </w:r>
      <w:r w:rsidRPr="007A7886">
        <w:rPr>
          <w:b/>
          <w:bCs/>
        </w:rPr>
        <w:t>244</w:t>
      </w:r>
      <w:r w:rsidRPr="007A7886">
        <w:br/>
      </w:r>
      <w:r w:rsidRPr="007A7886">
        <w:rPr>
          <w:b/>
          <w:bCs/>
        </w:rPr>
        <w:t>Overall bonds:</w:t>
      </w:r>
      <w:r w:rsidRPr="007A7886">
        <w:t xml:space="preserve"> </w:t>
      </w:r>
      <w:r w:rsidRPr="007A7886">
        <w:rPr>
          <w:b/>
          <w:bCs/>
        </w:rPr>
        <w:t>5,827</w:t>
      </w:r>
      <w:r w:rsidRPr="007A7886">
        <w:br/>
      </w:r>
      <w:r w:rsidRPr="007A7886">
        <w:rPr>
          <w:b/>
          <w:bCs/>
        </w:rPr>
        <w:t>Rental turnover:</w:t>
      </w:r>
      <w:r w:rsidRPr="007A7886">
        <w:t xml:space="preserve"> </w:t>
      </w:r>
      <w:r w:rsidRPr="007A7886">
        <w:rPr>
          <w:b/>
          <w:bCs/>
        </w:rPr>
        <w:t>6.9%</w:t>
      </w:r>
      <w:r w:rsidRPr="007A7886">
        <w:t>.</w:t>
      </w:r>
    </w:p>
    <w:p w14:paraId="37148304" w14:textId="77777777" w:rsidR="007A7886" w:rsidRPr="007A7886" w:rsidRDefault="007A7886" w:rsidP="007A7886">
      <w:r w:rsidRPr="007A7886">
        <w:t xml:space="preserve">Its housing structure differs materially from many nearby Upper North Shore suburbs. ABS data show </w:t>
      </w:r>
      <w:r w:rsidRPr="007A7886">
        <w:rPr>
          <w:b/>
          <w:bCs/>
        </w:rPr>
        <w:t>48.4% of Asquith dwellings are apartments</w:t>
      </w:r>
      <w:r w:rsidRPr="007A7886">
        <w:t>, compared with 21.7% across NSW. (</w:t>
      </w:r>
      <w:hyperlink r:id="rId24" w:tooltip="2021 Asquith, Census All persons QuickStats | Australian Bureau of Statistics" w:history="1">
        <w:r w:rsidRPr="007A7886">
          <w:rPr>
            <w:rStyle w:val="Hyperlink"/>
          </w:rPr>
          <w:t>Australian Bureau of Statistics</w:t>
        </w:r>
      </w:hyperlink>
      <w:r w:rsidRPr="007A7886">
        <w:t>)</w:t>
      </w:r>
    </w:p>
    <w:p w14:paraId="32ED91D3" w14:textId="77777777" w:rsidR="00D156B9" w:rsidRDefault="00D156B9" w:rsidP="007A7886"/>
    <w:p w14:paraId="0484B1AC" w14:textId="0F860ECB" w:rsidR="00D156B9" w:rsidRPr="00D156B9" w:rsidRDefault="00D156B9" w:rsidP="00D156B9">
      <w:r w:rsidRPr="00D156B9">
        <w:rPr>
          <w:noProof/>
        </w:rPr>
        <w:lastRenderedPageBreak/>
        <w:drawing>
          <wp:inline distT="0" distB="0" distL="0" distR="0" wp14:anchorId="31B4EA13" wp14:editId="0CCEA769">
            <wp:extent cx="5943600" cy="2425065"/>
            <wp:effectExtent l="0" t="0" r="0" b="0"/>
            <wp:docPr id="1973953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425065"/>
                    </a:xfrm>
                    <a:prstGeom prst="rect">
                      <a:avLst/>
                    </a:prstGeom>
                    <a:noFill/>
                    <a:ln>
                      <a:noFill/>
                    </a:ln>
                  </pic:spPr>
                </pic:pic>
              </a:graphicData>
            </a:graphic>
          </wp:inline>
        </w:drawing>
      </w:r>
    </w:p>
    <w:p w14:paraId="21C83A2D" w14:textId="77777777" w:rsidR="00D156B9" w:rsidRDefault="00D156B9" w:rsidP="007A7886"/>
    <w:p w14:paraId="2D0C52B0" w14:textId="77777777" w:rsidR="00D156B9" w:rsidRDefault="00D156B9" w:rsidP="007A7886"/>
    <w:p w14:paraId="4A07416C" w14:textId="51523F73" w:rsidR="00D156B9" w:rsidRPr="00D156B9" w:rsidRDefault="00D156B9" w:rsidP="00D156B9">
      <w:r w:rsidRPr="00D156B9">
        <w:rPr>
          <w:noProof/>
        </w:rPr>
        <w:drawing>
          <wp:inline distT="0" distB="0" distL="0" distR="0" wp14:anchorId="6A79498B" wp14:editId="30CEE908">
            <wp:extent cx="5943600" cy="2400300"/>
            <wp:effectExtent l="0" t="0" r="0" b="0"/>
            <wp:docPr id="1792642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400300"/>
                    </a:xfrm>
                    <a:prstGeom prst="rect">
                      <a:avLst/>
                    </a:prstGeom>
                    <a:noFill/>
                    <a:ln>
                      <a:noFill/>
                    </a:ln>
                  </pic:spPr>
                </pic:pic>
              </a:graphicData>
            </a:graphic>
          </wp:inline>
        </w:drawing>
      </w:r>
    </w:p>
    <w:p w14:paraId="6B203420" w14:textId="77777777" w:rsidR="00D156B9" w:rsidRDefault="00D156B9" w:rsidP="007A7886"/>
    <w:p w14:paraId="40644CF0" w14:textId="77777777" w:rsidR="00D156B9" w:rsidRDefault="00D156B9" w:rsidP="007A7886"/>
    <w:p w14:paraId="28F2F46A" w14:textId="4D7C9B72" w:rsidR="007A7886" w:rsidRPr="007A7886" w:rsidRDefault="007A7886" w:rsidP="007A7886">
      <w:r w:rsidRPr="007A7886">
        <w:t xml:space="preserve">That difference is supported by planning policy rather than being accidental. Hornsby Council's earlier housing strategy rezoned parts of Asquith for townhouse and </w:t>
      </w:r>
      <w:r w:rsidRPr="007A7886">
        <w:rPr>
          <w:b/>
          <w:bCs/>
        </w:rPr>
        <w:t>five- to ten-</w:t>
      </w:r>
      <w:proofErr w:type="spellStart"/>
      <w:r w:rsidRPr="007A7886">
        <w:rPr>
          <w:b/>
          <w:bCs/>
        </w:rPr>
        <w:t>storey</w:t>
      </w:r>
      <w:proofErr w:type="spellEnd"/>
      <w:r w:rsidRPr="007A7886">
        <w:rPr>
          <w:b/>
          <w:bCs/>
        </w:rPr>
        <w:t xml:space="preserve"> residential development</w:t>
      </w:r>
      <w:r w:rsidRPr="007A7886">
        <w:t xml:space="preserve">, while its later Housing Strategy identifies Asquith as one of the locations where future household growth is expected to occur in predominantly high-density housing. It also reports that </w:t>
      </w:r>
      <w:r w:rsidRPr="007A7886">
        <w:rPr>
          <w:b/>
          <w:bCs/>
        </w:rPr>
        <w:t>69% of apartments constructed in newer medium/high-density areas were two-bedroom apartments</w:t>
      </w:r>
      <w:r w:rsidRPr="007A7886">
        <w:t>. (</w:t>
      </w:r>
      <w:hyperlink r:id="rId27" w:tooltip="Housing Strategy | Hornsby Shire Council" w:history="1">
        <w:r w:rsidRPr="007A7886">
          <w:rPr>
            <w:rStyle w:val="Hyperlink"/>
          </w:rPr>
          <w:t>Hornsby Shire Council</w:t>
        </w:r>
      </w:hyperlink>
      <w:r w:rsidRPr="007A7886">
        <w:t>)</w:t>
      </w:r>
    </w:p>
    <w:p w14:paraId="0B9756AF" w14:textId="77777777" w:rsidR="007A7886" w:rsidRPr="007A7886" w:rsidRDefault="007A7886" w:rsidP="007A7886">
      <w:r w:rsidRPr="007A7886">
        <w:t>Asquith therefore demonstrates an important point:</w:t>
      </w:r>
    </w:p>
    <w:p w14:paraId="47E538B0" w14:textId="77777777" w:rsidR="007A7886" w:rsidRPr="007A7886" w:rsidRDefault="007A7886" w:rsidP="007A7886">
      <w:r w:rsidRPr="007A7886">
        <w:rPr>
          <w:b/>
          <w:bCs/>
        </w:rPr>
        <w:t>Additional apartment and smaller-dwelling capacity can materially improve purchase affordability without necessarily preventing rental pressure.</w:t>
      </w:r>
    </w:p>
    <w:p w14:paraId="3FBC8BDC" w14:textId="43A6402A" w:rsidR="007A7886" w:rsidRDefault="007A7886" w:rsidP="007A7886"/>
    <w:p w14:paraId="3F4E3B2F" w14:textId="77777777" w:rsidR="007A7886" w:rsidRPr="007A7886" w:rsidRDefault="007A7886" w:rsidP="00B7349B">
      <w:pPr>
        <w:pStyle w:val="Heading3"/>
      </w:pPr>
      <w:r w:rsidRPr="007A7886">
        <w:lastRenderedPageBreak/>
        <w:t>External evidence and planning context</w:t>
      </w:r>
    </w:p>
    <w:tbl>
      <w:tblPr>
        <w:tblStyle w:val="GridTable1Light"/>
        <w:tblW w:w="0" w:type="auto"/>
        <w:tblLook w:val="04A0" w:firstRow="1" w:lastRow="0" w:firstColumn="1" w:lastColumn="0" w:noHBand="0" w:noVBand="1"/>
      </w:tblPr>
      <w:tblGrid>
        <w:gridCol w:w="6728"/>
        <w:gridCol w:w="4062"/>
      </w:tblGrid>
      <w:tr w:rsidR="007A7886" w:rsidRPr="007A7886" w14:paraId="40ABED03" w14:textId="77777777" w:rsidTr="007A7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13FC2" w14:textId="77777777" w:rsidR="007A7886" w:rsidRPr="007A7886" w:rsidRDefault="007A7886" w:rsidP="007A7886">
            <w:pPr>
              <w:spacing w:after="160" w:line="278" w:lineRule="auto"/>
            </w:pPr>
            <w:r w:rsidRPr="007A7886">
              <w:t>Evidence</w:t>
            </w:r>
          </w:p>
        </w:tc>
        <w:tc>
          <w:tcPr>
            <w:tcW w:w="0" w:type="auto"/>
            <w:hideMark/>
          </w:tcPr>
          <w:p w14:paraId="5D37CC78" w14:textId="77777777" w:rsidR="007A7886" w:rsidRPr="007A7886" w:rsidRDefault="007A7886" w:rsidP="007A7886">
            <w:pPr>
              <w:spacing w:after="160" w:line="278" w:lineRule="auto"/>
              <w:cnfStyle w:val="100000000000" w:firstRow="1" w:lastRow="0" w:firstColumn="0" w:lastColumn="0" w:oddVBand="0" w:evenVBand="0" w:oddHBand="0" w:evenHBand="0" w:firstRowFirstColumn="0" w:firstRowLastColumn="0" w:lastRowFirstColumn="0" w:lastRowLastColumn="0"/>
            </w:pPr>
            <w:r w:rsidRPr="007A7886">
              <w:t>Relevance</w:t>
            </w:r>
          </w:p>
        </w:tc>
      </w:tr>
      <w:tr w:rsidR="007A7886" w:rsidRPr="007A7886" w14:paraId="5E0E2ECE"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1EB068A1" w14:textId="77777777" w:rsidR="007A7886" w:rsidRPr="007A7886" w:rsidRDefault="007A7886" w:rsidP="007A7886">
            <w:pPr>
              <w:spacing w:after="160" w:line="278" w:lineRule="auto"/>
            </w:pPr>
            <w:r w:rsidRPr="007A7886">
              <w:t>ABS 2021 Census — North Sydney &amp; Hornsby: 46% of occupied dwellings were apartments; the region simultaneously contains substantial 2BR and 4+BR stock. (</w:t>
            </w:r>
            <w:hyperlink r:id="rId28" w:tooltip="2021 Sydney - North Sydney and Hornsby, Census All persons QuickStats | Australian Bureau of Statistics" w:history="1">
              <w:r w:rsidRPr="007A7886">
                <w:rPr>
                  <w:rStyle w:val="Hyperlink"/>
                </w:rPr>
                <w:t>Australian Bureau of Statistics</w:t>
              </w:r>
            </w:hyperlink>
            <w:r w:rsidRPr="007A7886">
              <w:t>)</w:t>
            </w:r>
          </w:p>
        </w:tc>
        <w:tc>
          <w:tcPr>
            <w:tcW w:w="0" w:type="auto"/>
            <w:hideMark/>
          </w:tcPr>
          <w:p w14:paraId="70AAA879"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Confirms that the SA4 is structurally heterogeneous rather than one uniform housing market.</w:t>
            </w:r>
          </w:p>
        </w:tc>
      </w:tr>
      <w:tr w:rsidR="007A7886" w:rsidRPr="007A7886" w14:paraId="23F0ECDD"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6126709F" w14:textId="77777777" w:rsidR="007A7886" w:rsidRPr="007A7886" w:rsidRDefault="007A7886" w:rsidP="007A7886">
            <w:pPr>
              <w:spacing w:after="160" w:line="278" w:lineRule="auto"/>
            </w:pPr>
            <w:r w:rsidRPr="007A7886">
              <w:t xml:space="preserve">ABS suburb </w:t>
            </w:r>
            <w:proofErr w:type="spellStart"/>
            <w:r w:rsidRPr="007A7886">
              <w:t>QuickStats</w:t>
            </w:r>
            <w:proofErr w:type="spellEnd"/>
            <w:r w:rsidRPr="007A7886">
              <w:t xml:space="preserve"> for Artarmon, Lane Cove North, Kirribilli and Chatswood. (</w:t>
            </w:r>
            <w:hyperlink r:id="rId29" w:tooltip="2021 Artarmon, Census All persons QuickStats | Australian Bureau of Statistics" w:history="1">
              <w:r w:rsidRPr="007A7886">
                <w:rPr>
                  <w:rStyle w:val="Hyperlink"/>
                </w:rPr>
                <w:t>Australian Bureau of Statistics</w:t>
              </w:r>
            </w:hyperlink>
            <w:r w:rsidRPr="007A7886">
              <w:t>)</w:t>
            </w:r>
          </w:p>
        </w:tc>
        <w:tc>
          <w:tcPr>
            <w:tcW w:w="0" w:type="auto"/>
            <w:hideMark/>
          </w:tcPr>
          <w:p w14:paraId="1ABB7129"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Supports the apartment-oriented Lower North Shore interpretation.</w:t>
            </w:r>
          </w:p>
        </w:tc>
      </w:tr>
      <w:tr w:rsidR="007A7886" w:rsidRPr="007A7886" w14:paraId="083042D0"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6CBBB240" w14:textId="77777777" w:rsidR="007A7886" w:rsidRPr="007A7886" w:rsidRDefault="007A7886" w:rsidP="007A7886">
            <w:pPr>
              <w:spacing w:after="160" w:line="278" w:lineRule="auto"/>
            </w:pPr>
            <w:r w:rsidRPr="007A7886">
              <w:t>Willoughby Housing Position Statement identifies Artarmon Station as the suburb's focal point and notes most of the suburb lies within 800m of it, with strong public-transport accessibility. (</w:t>
            </w:r>
            <w:hyperlink r:id="rId30" w:tooltip="WILLOUGHBY CITY COUNCIL" w:history="1">
              <w:r w:rsidRPr="007A7886">
                <w:rPr>
                  <w:rStyle w:val="Hyperlink"/>
                </w:rPr>
                <w:t>Willoughby City Council</w:t>
              </w:r>
            </w:hyperlink>
            <w:r w:rsidRPr="007A7886">
              <w:t>)</w:t>
            </w:r>
          </w:p>
        </w:tc>
        <w:tc>
          <w:tcPr>
            <w:tcW w:w="0" w:type="auto"/>
            <w:hideMark/>
          </w:tcPr>
          <w:p w14:paraId="77B22487"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Supports the transport-accessible apartment-belt interpretation without claiming transport caused rent growth.</w:t>
            </w:r>
          </w:p>
        </w:tc>
      </w:tr>
      <w:tr w:rsidR="007A7886" w:rsidRPr="007A7886" w14:paraId="4CBF6810"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3E7FCB1A" w14:textId="77777777" w:rsidR="007A7886" w:rsidRPr="007A7886" w:rsidRDefault="007A7886" w:rsidP="007A7886">
            <w:pPr>
              <w:spacing w:after="160" w:line="278" w:lineRule="auto"/>
            </w:pPr>
            <w:r w:rsidRPr="007A7886">
              <w:t>ABS Castlecrag, Castle Cove and East Killara. (</w:t>
            </w:r>
            <w:hyperlink r:id="rId31" w:tooltip="2021 Castlecrag, Census All persons QuickStats | Australian Bureau of Statistics" w:history="1">
              <w:r w:rsidRPr="007A7886">
                <w:rPr>
                  <w:rStyle w:val="Hyperlink"/>
                </w:rPr>
                <w:t>Australian Bureau of Statistics</w:t>
              </w:r>
            </w:hyperlink>
            <w:r w:rsidRPr="007A7886">
              <w:t>)</w:t>
            </w:r>
          </w:p>
        </w:tc>
        <w:tc>
          <w:tcPr>
            <w:tcW w:w="0" w:type="auto"/>
            <w:hideMark/>
          </w:tcPr>
          <w:p w14:paraId="479F7E5C"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Supports the low-density, large-home character of the purchase-led prestige cluster.</w:t>
            </w:r>
          </w:p>
        </w:tc>
      </w:tr>
      <w:tr w:rsidR="007A7886" w:rsidRPr="007A7886" w14:paraId="119A9EAB"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66080314" w14:textId="77777777" w:rsidR="007A7886" w:rsidRPr="007A7886" w:rsidRDefault="007A7886" w:rsidP="007A7886">
            <w:pPr>
              <w:spacing w:after="160" w:line="278" w:lineRule="auto"/>
            </w:pPr>
            <w:r w:rsidRPr="007A7886">
              <w:t>Hornsby Shire Housing Strategy. (</w:t>
            </w:r>
            <w:hyperlink r:id="rId32" w:tooltip="Housing Strategy | Hornsby Shire Council" w:history="1">
              <w:r w:rsidRPr="007A7886">
                <w:rPr>
                  <w:rStyle w:val="Hyperlink"/>
                </w:rPr>
                <w:t>Hornsby Shire Council</w:t>
              </w:r>
            </w:hyperlink>
            <w:r w:rsidRPr="007A7886">
              <w:t>)</w:t>
            </w:r>
          </w:p>
        </w:tc>
        <w:tc>
          <w:tcPr>
            <w:tcW w:w="0" w:type="auto"/>
            <w:hideMark/>
          </w:tcPr>
          <w:p w14:paraId="5C6B0B3A"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Provides planning evidence for Asquith's higher-density housing role.</w:t>
            </w:r>
          </w:p>
        </w:tc>
      </w:tr>
      <w:tr w:rsidR="007A7886" w:rsidRPr="007A7886" w14:paraId="128DBD78" w14:textId="77777777" w:rsidTr="007A7886">
        <w:tc>
          <w:tcPr>
            <w:cnfStyle w:val="001000000000" w:firstRow="0" w:lastRow="0" w:firstColumn="1" w:lastColumn="0" w:oddVBand="0" w:evenVBand="0" w:oddHBand="0" w:evenHBand="0" w:firstRowFirstColumn="0" w:firstRowLastColumn="0" w:lastRowFirstColumn="0" w:lastRowLastColumn="0"/>
            <w:tcW w:w="0" w:type="auto"/>
            <w:hideMark/>
          </w:tcPr>
          <w:p w14:paraId="73C5BD7E" w14:textId="77777777" w:rsidR="007A7886" w:rsidRPr="007A7886" w:rsidRDefault="007A7886" w:rsidP="007A7886">
            <w:pPr>
              <w:spacing w:after="160" w:line="278" w:lineRule="auto"/>
            </w:pPr>
            <w:r w:rsidRPr="007A7886">
              <w:t>Committee for Sydney / BDO, State of the City 2026. (</w:t>
            </w:r>
            <w:hyperlink r:id="rId33" w:tooltip="STATE OF THE CITY 2026 | BDO for the Committee for Sydney" w:history="1">
              <w:r w:rsidRPr="007A7886">
                <w:rPr>
                  <w:rStyle w:val="Hyperlink"/>
                </w:rPr>
                <w:t>Committee for Sydney</w:t>
              </w:r>
            </w:hyperlink>
            <w:r w:rsidRPr="007A7886">
              <w:t>)</w:t>
            </w:r>
          </w:p>
        </w:tc>
        <w:tc>
          <w:tcPr>
            <w:tcW w:w="0" w:type="auto"/>
            <w:hideMark/>
          </w:tcPr>
          <w:p w14:paraId="04036D88" w14:textId="77777777" w:rsidR="007A7886" w:rsidRPr="007A7886" w:rsidRDefault="007A7886" w:rsidP="007A7886">
            <w:pPr>
              <w:spacing w:after="160" w:line="278" w:lineRule="auto"/>
              <w:cnfStyle w:val="000000000000" w:firstRow="0" w:lastRow="0" w:firstColumn="0" w:lastColumn="0" w:oddVBand="0" w:evenVBand="0" w:oddHBand="0" w:evenHBand="0" w:firstRowFirstColumn="0" w:firstRowLastColumn="0" w:lastRowFirstColumn="0" w:lastRowLastColumn="0"/>
            </w:pPr>
            <w:r w:rsidRPr="007A7886">
              <w:t>Provides wider evidence of constrained growth and worsening affordability in family-sized housing.</w:t>
            </w:r>
          </w:p>
        </w:tc>
      </w:tr>
    </w:tbl>
    <w:p w14:paraId="14D6CC8A" w14:textId="77777777" w:rsidR="007A7886" w:rsidRDefault="007A7886" w:rsidP="007A7886">
      <w:pPr>
        <w:rPr>
          <w:b/>
          <w:bCs/>
        </w:rPr>
      </w:pPr>
    </w:p>
    <w:p w14:paraId="0560FABA" w14:textId="77777777" w:rsidR="00B7349B" w:rsidRDefault="00B7349B" w:rsidP="007A7886">
      <w:pPr>
        <w:rPr>
          <w:b/>
          <w:bCs/>
        </w:rPr>
      </w:pPr>
    </w:p>
    <w:p w14:paraId="62AA6DDF" w14:textId="5A13CAFB" w:rsidR="007A7886" w:rsidRPr="007A7886" w:rsidRDefault="007A7886" w:rsidP="00B7349B">
      <w:pPr>
        <w:pStyle w:val="Heading3"/>
      </w:pPr>
      <w:r w:rsidRPr="007A7886">
        <w:t>Overall conclusion</w:t>
      </w:r>
    </w:p>
    <w:p w14:paraId="796C3AEA" w14:textId="77777777" w:rsidR="00B7349B" w:rsidRPr="00B7349B" w:rsidRDefault="00B7349B" w:rsidP="00B7349B">
      <w:r w:rsidRPr="00B7349B">
        <w:t xml:space="preserve">North Sydney &amp; Hornsby is not a single affordability story but a </w:t>
      </w:r>
      <w:r w:rsidRPr="00B7349B">
        <w:rPr>
          <w:b/>
          <w:bCs/>
        </w:rPr>
        <w:t>set of distinct housing regimes shaped by geography, dwelling type and tenure</w:t>
      </w:r>
      <w:r w:rsidRPr="00B7349B">
        <w:t>. Purchase affordability remains structurally weak across much of the region, with very high Price-to-Income ratios in prestige and Upper North Shore markets, yet sales activity has remained resilient. Since 2022, the stronger deterioration has occurred on the rental side: rents have risen far faster than sales prices, while the rental-bond base has remained broadly stable and rental turnover has fallen.</w:t>
      </w:r>
    </w:p>
    <w:p w14:paraId="481D1B58" w14:textId="77777777" w:rsidR="00B7349B" w:rsidRPr="00B7349B" w:rsidRDefault="00B7349B" w:rsidP="00B7349B">
      <w:r w:rsidRPr="00B7349B">
        <w:t xml:space="preserve">This pressure is unevenly distributed. Apartment-oriented areas such as the Lower North Shore and Asquith retain comparatively better purchase affordability, although renters still face substantial rent growth. In contrast, St Ives, </w:t>
      </w:r>
      <w:proofErr w:type="spellStart"/>
      <w:r w:rsidRPr="00B7349B">
        <w:t>Pymble</w:t>
      </w:r>
      <w:proofErr w:type="spellEnd"/>
      <w:r w:rsidRPr="00B7349B">
        <w:t xml:space="preserve">, East Lindfield and </w:t>
      </w:r>
      <w:proofErr w:type="spellStart"/>
      <w:r w:rsidRPr="00B7349B">
        <w:t>Normanhurst</w:t>
      </w:r>
      <w:proofErr w:type="spellEnd"/>
      <w:r w:rsidRPr="00B7349B">
        <w:t xml:space="preserve"> experience </w:t>
      </w:r>
      <w:r w:rsidRPr="00B7349B">
        <w:rPr>
          <w:b/>
          <w:bCs/>
        </w:rPr>
        <w:t>combined pressure</w:t>
      </w:r>
      <w:r w:rsidRPr="00B7349B">
        <w:t>, where already-high purchase costs are reinforced by worsening rents.</w:t>
      </w:r>
    </w:p>
    <w:p w14:paraId="1FAEE4F3" w14:textId="77777777" w:rsidR="00B7349B" w:rsidRPr="00B7349B" w:rsidRDefault="00B7349B" w:rsidP="00B7349B">
      <w:r w:rsidRPr="00B7349B">
        <w:t xml:space="preserve">Segment analysis explains much of this difference: rental activity is concentrated in flats and 1–2BR dwellings, while the most severe pressure occurs in </w:t>
      </w:r>
      <w:r w:rsidRPr="00B7349B">
        <w:rPr>
          <w:b/>
          <w:bCs/>
        </w:rPr>
        <w:t>houses and 3+BR housing</w:t>
      </w:r>
      <w:r w:rsidRPr="00B7349B">
        <w:t xml:space="preserve">. High regional incomes moderate aggregate rent burden, but do not remove these underlying pressures. Overall, affordability depends less on </w:t>
      </w:r>
      <w:r w:rsidRPr="00B7349B">
        <w:lastRenderedPageBreak/>
        <w:t xml:space="preserve">the region as a whole than on </w:t>
      </w:r>
      <w:r w:rsidRPr="00B7349B">
        <w:rPr>
          <w:b/>
          <w:bCs/>
        </w:rPr>
        <w:t>where households live, what housing they need, and whether they rent or buy</w:t>
      </w:r>
      <w:r w:rsidRPr="00B7349B">
        <w:t>.</w:t>
      </w:r>
    </w:p>
    <w:p w14:paraId="2B757ED8" w14:textId="77777777" w:rsidR="00B7349B" w:rsidRPr="007A7886" w:rsidRDefault="00B7349B" w:rsidP="00B7349B">
      <w:r w:rsidRPr="007A7886">
        <w:t xml:space="preserve">The strongest overall finding is therefore not that </w:t>
      </w:r>
      <w:r w:rsidRPr="007A7886">
        <w:rPr>
          <w:b/>
          <w:bCs/>
        </w:rPr>
        <w:t>“North Sydney &amp; Hornsby is unaffordable”</w:t>
      </w:r>
      <w:r w:rsidRPr="007A7886">
        <w:t xml:space="preserve">, but that </w:t>
      </w:r>
      <w:r w:rsidRPr="007A7886">
        <w:rPr>
          <w:b/>
          <w:bCs/>
        </w:rPr>
        <w:t>the form of unaffordability changes sharply across geography and housing type</w:t>
      </w:r>
      <w:r w:rsidRPr="007A7886">
        <w:t>.</w:t>
      </w:r>
    </w:p>
    <w:p w14:paraId="54E17FB7" w14:textId="77777777" w:rsidR="00B7349B" w:rsidRDefault="00B7349B" w:rsidP="007A7886"/>
    <w:p w14:paraId="263B18FE" w14:textId="77777777" w:rsidR="007A7886" w:rsidRPr="007A7886" w:rsidRDefault="007A7886" w:rsidP="007A7886">
      <w:r w:rsidRPr="007A7886">
        <w:rPr>
          <w:b/>
          <w:bCs/>
        </w:rPr>
        <w:t xml:space="preserve">Method </w:t>
      </w:r>
      <w:proofErr w:type="gramStart"/>
      <w:r w:rsidRPr="007A7886">
        <w:rPr>
          <w:b/>
          <w:bCs/>
        </w:rPr>
        <w:t>note</w:t>
      </w:r>
      <w:proofErr w:type="gramEnd"/>
      <w:r w:rsidRPr="007A7886">
        <w:rPr>
          <w:b/>
          <w:bCs/>
        </w:rPr>
        <w:t>:</w:t>
      </w:r>
      <w:r w:rsidRPr="007A7886">
        <w:t xml:space="preserve"> Rent burden and Price-to-Income use fixed </w:t>
      </w:r>
      <w:r w:rsidRPr="007A7886">
        <w:rPr>
          <w:b/>
          <w:bCs/>
        </w:rPr>
        <w:t>2021 Census household income</w:t>
      </w:r>
      <w:r w:rsidRPr="007A7886">
        <w:t xml:space="preserve">, so they are best interpreted as comparative affordability indicators rather than exact 2025 household stress. The 2021 Census was also collected during pandemic-era international border restrictions, so its household composition may not fully represent the post-2022 renter population. Rent-v-CPI is therefore the stronger measure for </w:t>
      </w:r>
      <w:proofErr w:type="spellStart"/>
      <w:r w:rsidRPr="007A7886">
        <w:t>analysing</w:t>
      </w:r>
      <w:proofErr w:type="spellEnd"/>
      <w:r w:rsidRPr="007A7886">
        <w:t xml:space="preserve"> temporal deterioration.</w:t>
      </w:r>
    </w:p>
    <w:p w14:paraId="121260ED" w14:textId="77777777" w:rsidR="00A42C06" w:rsidRDefault="00A42C06"/>
    <w:sectPr w:rsidR="00A42C06" w:rsidSect="00B7349B">
      <w:footerReference w:type="default" r:id="rId34"/>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7E596" w14:textId="77777777" w:rsidR="00BB4C77" w:rsidRDefault="00BB4C77" w:rsidP="00B7349B">
      <w:pPr>
        <w:spacing w:after="0" w:line="240" w:lineRule="auto"/>
      </w:pPr>
      <w:r>
        <w:separator/>
      </w:r>
    </w:p>
  </w:endnote>
  <w:endnote w:type="continuationSeparator" w:id="0">
    <w:p w14:paraId="7E621ED4" w14:textId="77777777" w:rsidR="00BB4C77" w:rsidRDefault="00BB4C77" w:rsidP="00B734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4BF2" w14:textId="2FBFFBD3" w:rsidR="00B7349B" w:rsidRDefault="00B7349B">
    <w:pPr>
      <w:pStyle w:val="Footer"/>
    </w:pPr>
    <w:r w:rsidRPr="00082967">
      <w:t xml:space="preserve">Created by </w:t>
    </w:r>
    <w:r>
      <w:t>Sankalp Roy</w:t>
    </w:r>
    <w:r w:rsidRPr="00082967">
      <w:t>. Licensed under CC BY 4.0. Free to use, share, and adapt with attribution.</w:t>
    </w:r>
  </w:p>
  <w:p w14:paraId="7FC03F83" w14:textId="77777777" w:rsidR="00B7349B" w:rsidRDefault="00B734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48AE8" w14:textId="77777777" w:rsidR="00BB4C77" w:rsidRDefault="00BB4C77" w:rsidP="00B7349B">
      <w:pPr>
        <w:spacing w:after="0" w:line="240" w:lineRule="auto"/>
      </w:pPr>
      <w:r>
        <w:separator/>
      </w:r>
    </w:p>
  </w:footnote>
  <w:footnote w:type="continuationSeparator" w:id="0">
    <w:p w14:paraId="3E122A76" w14:textId="77777777" w:rsidR="00BB4C77" w:rsidRDefault="00BB4C77" w:rsidP="00B734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B15CA"/>
    <w:multiLevelType w:val="multilevel"/>
    <w:tmpl w:val="3E64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4429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886"/>
    <w:rsid w:val="00033123"/>
    <w:rsid w:val="00094D86"/>
    <w:rsid w:val="001621C4"/>
    <w:rsid w:val="00254FB2"/>
    <w:rsid w:val="003E5841"/>
    <w:rsid w:val="00483482"/>
    <w:rsid w:val="006E230F"/>
    <w:rsid w:val="00745C81"/>
    <w:rsid w:val="007A7886"/>
    <w:rsid w:val="009136E8"/>
    <w:rsid w:val="00935E37"/>
    <w:rsid w:val="00A42C06"/>
    <w:rsid w:val="00B7349B"/>
    <w:rsid w:val="00BB4C77"/>
    <w:rsid w:val="00CA364E"/>
    <w:rsid w:val="00CB7059"/>
    <w:rsid w:val="00CB7593"/>
    <w:rsid w:val="00D04437"/>
    <w:rsid w:val="00D156B9"/>
    <w:rsid w:val="00DA29FC"/>
    <w:rsid w:val="00DB309D"/>
    <w:rsid w:val="00ED2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2D326"/>
  <w15:chartTrackingRefBased/>
  <w15:docId w15:val="{1AE0D0E9-A01C-4E50-A49F-8875E5E53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8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A78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A78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8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8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8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8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8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8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8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A78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A78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8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8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8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8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8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886"/>
    <w:rPr>
      <w:rFonts w:eastAsiaTheme="majorEastAsia" w:cstheme="majorBidi"/>
      <w:color w:val="272727" w:themeColor="text1" w:themeTint="D8"/>
    </w:rPr>
  </w:style>
  <w:style w:type="paragraph" w:styleId="Title">
    <w:name w:val="Title"/>
    <w:basedOn w:val="Normal"/>
    <w:next w:val="Normal"/>
    <w:link w:val="TitleChar"/>
    <w:uiPriority w:val="10"/>
    <w:qFormat/>
    <w:rsid w:val="007A78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8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8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8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886"/>
    <w:pPr>
      <w:spacing w:before="160"/>
      <w:jc w:val="center"/>
    </w:pPr>
    <w:rPr>
      <w:i/>
      <w:iCs/>
      <w:color w:val="404040" w:themeColor="text1" w:themeTint="BF"/>
    </w:rPr>
  </w:style>
  <w:style w:type="character" w:customStyle="1" w:styleId="QuoteChar">
    <w:name w:val="Quote Char"/>
    <w:basedOn w:val="DefaultParagraphFont"/>
    <w:link w:val="Quote"/>
    <w:uiPriority w:val="29"/>
    <w:rsid w:val="007A7886"/>
    <w:rPr>
      <w:i/>
      <w:iCs/>
      <w:color w:val="404040" w:themeColor="text1" w:themeTint="BF"/>
    </w:rPr>
  </w:style>
  <w:style w:type="paragraph" w:styleId="ListParagraph">
    <w:name w:val="List Paragraph"/>
    <w:basedOn w:val="Normal"/>
    <w:uiPriority w:val="34"/>
    <w:qFormat/>
    <w:rsid w:val="007A7886"/>
    <w:pPr>
      <w:ind w:left="720"/>
      <w:contextualSpacing/>
    </w:pPr>
  </w:style>
  <w:style w:type="character" w:styleId="IntenseEmphasis">
    <w:name w:val="Intense Emphasis"/>
    <w:basedOn w:val="DefaultParagraphFont"/>
    <w:uiPriority w:val="21"/>
    <w:qFormat/>
    <w:rsid w:val="007A7886"/>
    <w:rPr>
      <w:i/>
      <w:iCs/>
      <w:color w:val="2F5496" w:themeColor="accent1" w:themeShade="BF"/>
    </w:rPr>
  </w:style>
  <w:style w:type="paragraph" w:styleId="IntenseQuote">
    <w:name w:val="Intense Quote"/>
    <w:basedOn w:val="Normal"/>
    <w:next w:val="Normal"/>
    <w:link w:val="IntenseQuoteChar"/>
    <w:uiPriority w:val="30"/>
    <w:qFormat/>
    <w:rsid w:val="007A78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886"/>
    <w:rPr>
      <w:i/>
      <w:iCs/>
      <w:color w:val="2F5496" w:themeColor="accent1" w:themeShade="BF"/>
    </w:rPr>
  </w:style>
  <w:style w:type="character" w:styleId="IntenseReference">
    <w:name w:val="Intense Reference"/>
    <w:basedOn w:val="DefaultParagraphFont"/>
    <w:uiPriority w:val="32"/>
    <w:qFormat/>
    <w:rsid w:val="007A7886"/>
    <w:rPr>
      <w:b/>
      <w:bCs/>
      <w:smallCaps/>
      <w:color w:val="2F5496" w:themeColor="accent1" w:themeShade="BF"/>
      <w:spacing w:val="5"/>
    </w:rPr>
  </w:style>
  <w:style w:type="character" w:styleId="Hyperlink">
    <w:name w:val="Hyperlink"/>
    <w:basedOn w:val="DefaultParagraphFont"/>
    <w:uiPriority w:val="99"/>
    <w:unhideWhenUsed/>
    <w:rsid w:val="007A7886"/>
    <w:rPr>
      <w:color w:val="0563C1" w:themeColor="hyperlink"/>
      <w:u w:val="single"/>
    </w:rPr>
  </w:style>
  <w:style w:type="character" w:styleId="UnresolvedMention">
    <w:name w:val="Unresolved Mention"/>
    <w:basedOn w:val="DefaultParagraphFont"/>
    <w:uiPriority w:val="99"/>
    <w:semiHidden/>
    <w:unhideWhenUsed/>
    <w:rsid w:val="007A7886"/>
    <w:rPr>
      <w:color w:val="605E5C"/>
      <w:shd w:val="clear" w:color="auto" w:fill="E1DFDD"/>
    </w:rPr>
  </w:style>
  <w:style w:type="table" w:styleId="GridTable1Light">
    <w:name w:val="Grid Table 1 Light"/>
    <w:basedOn w:val="TableNormal"/>
    <w:uiPriority w:val="46"/>
    <w:rsid w:val="007A78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7A7886"/>
    <w:rPr>
      <w:b/>
      <w:bCs/>
    </w:rPr>
  </w:style>
  <w:style w:type="paragraph" w:styleId="Header">
    <w:name w:val="header"/>
    <w:basedOn w:val="Normal"/>
    <w:link w:val="HeaderChar"/>
    <w:uiPriority w:val="99"/>
    <w:unhideWhenUsed/>
    <w:rsid w:val="00B734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349B"/>
  </w:style>
  <w:style w:type="paragraph" w:styleId="Footer">
    <w:name w:val="footer"/>
    <w:basedOn w:val="Normal"/>
    <w:link w:val="FooterChar"/>
    <w:uiPriority w:val="99"/>
    <w:unhideWhenUsed/>
    <w:rsid w:val="00B734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34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bs.gov.au/census/find-census-data/quickstats/2021/SAL12182" TargetMode="External"/><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bs.gov.au/census/find-census-data/quickstats/2021/121031409?utm_source=chatgpt.com" TargetMode="External"/><Relationship Id="rId25" Type="http://schemas.openxmlformats.org/officeDocument/2006/relationships/image" Target="media/image13.png"/><Relationship Id="rId33" Type="http://schemas.openxmlformats.org/officeDocument/2006/relationships/hyperlink" Target="https://sydney.org.au/wp-content/uploads/2026/02/State-of-the-City-2026-A-bold-city.pdf?utm_source=chatgpt.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ydney.org.au/wp-content/uploads/2026/02/State-of-the-City-2026-A-bold-city.pdf?utm_source=chatgpt.com" TargetMode="External"/><Relationship Id="rId29" Type="http://schemas.openxmlformats.org/officeDocument/2006/relationships/hyperlink" Target="https://www.abs.gov.au/census/find-census-data/quickstats/2021/SAL10091?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abs.gov.au/census/find-census-data/quickstats/2021/SAL10104?utm_source=chatgpt.com" TargetMode="External"/><Relationship Id="rId32" Type="http://schemas.openxmlformats.org/officeDocument/2006/relationships/hyperlink" Target="https://www.hornsby.nsw.gov.au/Property/Building-and-development/Policies-and-guidelines/Planning-strategies-and-studies/Housing-Strategy?utm_source=chatgpt.com" TargetMode="External"/><Relationship Id="rId5" Type="http://schemas.openxmlformats.org/officeDocument/2006/relationships/webSettings" Target="webSettings.xml"/><Relationship Id="rId15" Type="http://schemas.openxmlformats.org/officeDocument/2006/relationships/hyperlink" Target="https://www.abs.gov.au/census/find-census-data/quickstats/2021/SAL10848" TargetMode="External"/><Relationship Id="rId23" Type="http://schemas.openxmlformats.org/officeDocument/2006/relationships/image" Target="media/image12.png"/><Relationship Id="rId28" Type="http://schemas.openxmlformats.org/officeDocument/2006/relationships/hyperlink" Target="https://www.abs.gov.au/census/find-census-data/quickstats/2021/121?utm_source=chatgpt.com"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www.abs.gov.au/census/find-census-data/quickstats/2021/SAL1084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yperlink" Target="https://www.hornsby.nsw.gov.au/Property/Building-and-development/Policies-and-guidelines/Planning-strategies-and-studies/Housing-Strategy?utm_source=chatgpt.com" TargetMode="External"/><Relationship Id="rId30" Type="http://schemas.openxmlformats.org/officeDocument/2006/relationships/hyperlink" Target="https://www.willoughby.nsw.gov.au/files/sharedassets/public/v/1/ecm/willoughby-council-website/meeting-documents-agendas-and-minutes-meeting-reports-statements-of-determinations-registers/meeting-documents-agendas-and-minutes-meeting-reports-statements-of-determinations-registers/1-attachment_3_-_willoughby_housing-position_statement_for_discussion_14mb.pdf?utm_source=chatgpt.com"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A6C22-E1E8-4421-96CC-12E632BF6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14</Pages>
  <Words>2667</Words>
  <Characters>15208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4</cp:revision>
  <dcterms:created xsi:type="dcterms:W3CDTF">2026-08-26T10:16:00Z</dcterms:created>
  <dcterms:modified xsi:type="dcterms:W3CDTF">2026-08-26T11:29:00Z</dcterms:modified>
</cp:coreProperties>
</file>