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DCD585" w14:textId="77777777" w:rsidR="00777316" w:rsidRDefault="00777316" w:rsidP="005A1126">
      <w:pPr>
        <w:pStyle w:val="Title"/>
        <w:jc w:val="center"/>
      </w:pPr>
      <w:r>
        <w:t>Macroeconomic Forecasting Report: Sydney Housing Market Affordability Analytics</w:t>
      </w:r>
    </w:p>
    <w:p w14:paraId="42C56477" w14:textId="77777777" w:rsidR="00777316" w:rsidRDefault="00777316" w:rsidP="005A1126">
      <w:pPr>
        <w:pStyle w:val="Heading2"/>
      </w:pPr>
      <w:r>
        <w:rPr>
          <w:rFonts w:ascii="Segoe UI Emoji" w:hAnsi="Segoe UI Emoji" w:cs="Segoe UI Emoji"/>
        </w:rPr>
        <w:t>📌</w:t>
      </w:r>
      <w:r>
        <w:t xml:space="preserve"> 1. Problem Case &amp; Context</w:t>
      </w:r>
    </w:p>
    <w:p w14:paraId="29AC0B03" w14:textId="77777777" w:rsidR="00777316" w:rsidRDefault="00777316" w:rsidP="00777316">
      <w:r>
        <w:t>When forecasting housing sales prices and rental yields within the Sydney metropolitan region, analytics models frequently suffer from structural bias due to the unique macroeconomic environment. Over the historical baseline period spanning Q1 2022 to Q3 2025, the Sydney property market was subjected to an aggressive monetary tightening cycle by the Reserve Bank of Australia (RBA), alongside historic spikes in post-pandemic net overseas migration.</w:t>
      </w:r>
    </w:p>
    <w:p w14:paraId="482F4D81" w14:textId="77777777" w:rsidR="00777316" w:rsidRDefault="00777316" w:rsidP="00777316">
      <w:r>
        <w:t>Standard forecasting models—such as linear regressions or unconstrained machine learning algorithms—fall into critical pitfalls when trained on this specific 3.5-year window:</w:t>
      </w:r>
    </w:p>
    <w:p w14:paraId="59BD186A" w14:textId="525FBE05" w:rsidR="00777316" w:rsidRDefault="00777316" w:rsidP="00777316">
      <w:r>
        <w:t>1.</w:t>
      </w:r>
      <w:r w:rsidR="005A1126">
        <w:t xml:space="preserve"> </w:t>
      </w:r>
      <w:r w:rsidRPr="007554B1">
        <w:rPr>
          <w:b/>
          <w:bCs/>
        </w:rPr>
        <w:t>Extrapolation Bias</w:t>
      </w:r>
      <w:r>
        <w:t>: Algorithms fail to understand cyclical turning points (such as rate cuts or stabilizing inflation) because they have only processed a high-interest-rate environment.</w:t>
      </w:r>
    </w:p>
    <w:p w14:paraId="465E9072" w14:textId="15DF37EF" w:rsidR="00777316" w:rsidRDefault="00777316" w:rsidP="00777316">
      <w:r>
        <w:t>2.</w:t>
      </w:r>
      <w:r w:rsidR="005A1126">
        <w:t xml:space="preserve"> </w:t>
      </w:r>
      <w:r w:rsidRPr="007E0EC7">
        <w:rPr>
          <w:b/>
          <w:bCs/>
        </w:rPr>
        <w:t>Mathematical Error Explosion</w:t>
      </w:r>
      <w:r>
        <w:t>: In time-series forecasting, projecting past 10% to 20% of the total historical data length introduces massive variance compounding. Attempting a 4-quarter projection using only 14 quarters of data causes unconstrained models to diverge into unrealistic extremes.</w:t>
      </w:r>
    </w:p>
    <w:p w14:paraId="34D83B82" w14:textId="31D9CB60" w:rsidR="00777316" w:rsidRDefault="00777316" w:rsidP="00777316">
      <w:r>
        <w:t>3.</w:t>
      </w:r>
      <w:r w:rsidR="005A1126">
        <w:t xml:space="preserve"> </w:t>
      </w:r>
      <w:r w:rsidRPr="007E0EC7">
        <w:rPr>
          <w:b/>
          <w:bCs/>
        </w:rPr>
        <w:t>Compositional Noise</w:t>
      </w:r>
      <w:r>
        <w:t>: Premium, high-end segments (such as the Eastern Suburbs and Northern Beaches) experience localized lease-cycle spikes and prestige buyer credit sensitivity. This introduces transactional noise that warps standard median calculations.</w:t>
      </w:r>
    </w:p>
    <w:p w14:paraId="670F8560" w14:textId="3B78306F" w:rsidR="00777316" w:rsidRDefault="00777316" w:rsidP="00777316">
      <w:r>
        <w:t xml:space="preserve">To solve this, this project rejects blind algorithmic extrapolation in favor of a Scenario-Based </w:t>
      </w:r>
      <w:r w:rsidR="007E0EC7">
        <w:t>modeling</w:t>
      </w:r>
      <w:r>
        <w:t xml:space="preserve"> Architecture tied to Localized Statistical Volatility Guards.</w:t>
      </w:r>
    </w:p>
    <w:p w14:paraId="597C95BB" w14:textId="77777777" w:rsidR="00777316" w:rsidRDefault="00777316" w:rsidP="005A1126">
      <w:pPr>
        <w:pStyle w:val="Heading2"/>
      </w:pPr>
      <w:r>
        <w:rPr>
          <w:rFonts w:ascii="Segoe UI Emoji" w:hAnsi="Segoe UI Emoji" w:cs="Segoe UI Emoji"/>
        </w:rPr>
        <w:t>🛠️</w:t>
      </w:r>
      <w:r>
        <w:t xml:space="preserve"> 2. Methodology &amp; Mathematical Framework</w:t>
      </w:r>
    </w:p>
    <w:p w14:paraId="1B890951" w14:textId="77777777" w:rsidR="00777316" w:rsidRDefault="00777316" w:rsidP="00777316">
      <w:r>
        <w:t>The forecasting engine utilizes a structured, three-tiered scenario matrix (Low, Base, and High Growth) applied across a strictly capped 4-quarter forward horizon (Q4 2025 to Q3 2026) across 12 distinct SA4 geographic regions.</w:t>
      </w:r>
    </w:p>
    <w:p w14:paraId="73372EDB" w14:textId="77777777" w:rsidR="00777316" w:rsidRDefault="00777316" w:rsidP="00777316">
      <w:r>
        <w:t>Scenario Parameter Weights</w:t>
      </w:r>
    </w:p>
    <w:p w14:paraId="270D7DDF" w14:textId="77777777" w:rsidR="00777316" w:rsidRDefault="00777316" w:rsidP="00777316">
      <w:r>
        <w:t>To ensure baseline parameters are economically realistic, the growth scenarios are anchored using historical percentiles rather than arbitrary numbers:</w:t>
      </w:r>
    </w:p>
    <w:p w14:paraId="0536B527" w14:textId="77777777" w:rsidR="007554B1" w:rsidRPr="007554B1" w:rsidRDefault="007554B1" w:rsidP="007554B1">
      <w:pPr>
        <w:pStyle w:val="Heading3"/>
      </w:pPr>
      <w:r w:rsidRPr="007554B1">
        <w:t>Calculation Methodology for Quarterly Growth Scenarios</w:t>
      </w:r>
    </w:p>
    <w:p w14:paraId="1ED0472D" w14:textId="77777777" w:rsidR="007554B1" w:rsidRPr="007554B1" w:rsidRDefault="007554B1" w:rsidP="007554B1">
      <w:r w:rsidRPr="007554B1">
        <w:t xml:space="preserve">Before applying the final projection formula, three quarterly growth scenarios were calculated for each SA4 region: </w:t>
      </w:r>
      <w:r w:rsidRPr="007554B1">
        <w:rPr>
          <w:b/>
          <w:bCs/>
        </w:rPr>
        <w:t>Base Growth</w:t>
      </w:r>
      <w:r w:rsidRPr="007554B1">
        <w:t xml:space="preserve">, </w:t>
      </w:r>
      <w:r w:rsidRPr="007554B1">
        <w:rPr>
          <w:b/>
          <w:bCs/>
        </w:rPr>
        <w:t>Low Growth</w:t>
      </w:r>
      <w:r w:rsidRPr="007554B1">
        <w:t xml:space="preserve">, and </w:t>
      </w:r>
      <w:r w:rsidRPr="007554B1">
        <w:rPr>
          <w:b/>
          <w:bCs/>
        </w:rPr>
        <w:t>High Growth</w:t>
      </w:r>
      <w:r w:rsidRPr="007554B1">
        <w:t>.</w:t>
      </w:r>
    </w:p>
    <w:p w14:paraId="3747510E" w14:textId="77777777" w:rsidR="007554B1" w:rsidRPr="007554B1" w:rsidRDefault="007554B1" w:rsidP="007554B1">
      <w:r w:rsidRPr="007554B1">
        <w:lastRenderedPageBreak/>
        <w:t>These scenarios were designed to represent a balanced baseline, a conservative market outcome, and an optimistic market outcome. Each scenario was derived from historical quarterly growth patterns rather than relying on arbitrary assumptions.</w:t>
      </w:r>
    </w:p>
    <w:p w14:paraId="45FD5968" w14:textId="77777777" w:rsidR="007554B1" w:rsidRPr="007554B1" w:rsidRDefault="007554B1" w:rsidP="007554B1">
      <w:pPr>
        <w:rPr>
          <w:b/>
          <w:bCs/>
        </w:rPr>
      </w:pPr>
      <w:r w:rsidRPr="007554B1">
        <w:rPr>
          <w:b/>
          <w:bCs/>
        </w:rPr>
        <w:t>1. Base Growth Scenario (</w:t>
      </w:r>
      <w:proofErr w:type="spellStart"/>
      <w:r w:rsidRPr="007554B1">
        <w:rPr>
          <w:b/>
          <w:bCs/>
        </w:rPr>
        <w:t>G_base</w:t>
      </w:r>
      <w:proofErr w:type="spellEnd"/>
      <w:r w:rsidRPr="007554B1">
        <w:rPr>
          <w:b/>
          <w:bCs/>
        </w:rPr>
        <w:t>)</w:t>
      </w:r>
    </w:p>
    <w:p w14:paraId="235BC406" w14:textId="77777777" w:rsidR="007554B1" w:rsidRPr="007554B1" w:rsidRDefault="007554B1" w:rsidP="007554B1">
      <w:r w:rsidRPr="007554B1">
        <w:t xml:space="preserve">The </w:t>
      </w:r>
      <w:r w:rsidRPr="007554B1">
        <w:rPr>
          <w:b/>
          <w:bCs/>
        </w:rPr>
        <w:t>Base Growth Scenario</w:t>
      </w:r>
      <w:r w:rsidRPr="007554B1">
        <w:t xml:space="preserve"> was designed to represent the most likely or central market growth assumption.</w:t>
      </w:r>
    </w:p>
    <w:p w14:paraId="127BDA79" w14:textId="77777777" w:rsidR="007554B1" w:rsidRPr="007554B1" w:rsidRDefault="007554B1" w:rsidP="007554B1">
      <w:r w:rsidRPr="007554B1">
        <w:t xml:space="preserve">Instead of using a simple historical average, the calculation combines recent market performance with the longer-term historical trend using a </w:t>
      </w:r>
      <w:r w:rsidRPr="007554B1">
        <w:rPr>
          <w:b/>
          <w:bCs/>
        </w:rPr>
        <w:t>60/40 weighted approach</w:t>
      </w:r>
      <w:r w:rsidRPr="007554B1">
        <w:t>.</w:t>
      </w:r>
    </w:p>
    <w:p w14:paraId="34790197" w14:textId="77777777" w:rsidR="007554B1" w:rsidRPr="007554B1" w:rsidRDefault="007554B1" w:rsidP="007554B1">
      <w:pPr>
        <w:rPr>
          <w:b/>
          <w:bCs/>
        </w:rPr>
      </w:pPr>
      <w:r w:rsidRPr="007554B1">
        <w:rPr>
          <w:b/>
          <w:bCs/>
        </w:rPr>
        <w:t>Formula</w:t>
      </w:r>
    </w:p>
    <w:p w14:paraId="213EC916" w14:textId="77777777" w:rsidR="007554B1" w:rsidRPr="007554B1" w:rsidRDefault="007554B1" w:rsidP="007554B1">
      <w:r w:rsidRPr="007554B1">
        <w:t>Base Growth QoQ =</w:t>
      </w:r>
      <w:r w:rsidRPr="007554B1">
        <w:br/>
        <w:t>(0.60 × Recent 4-Quarter Average Growth) + (0.40 × Full-Period Median Growth)</w:t>
      </w:r>
    </w:p>
    <w:p w14:paraId="00B5128F" w14:textId="77777777" w:rsidR="007554B1" w:rsidRPr="007554B1" w:rsidRDefault="007554B1" w:rsidP="007554B1">
      <w:r w:rsidRPr="007554B1">
        <w:t>Or mathematically:</w:t>
      </w:r>
    </w:p>
    <w:p w14:paraId="3D95A8F4" w14:textId="77777777" w:rsidR="007554B1" w:rsidRPr="007554B1" w:rsidRDefault="007554B1" w:rsidP="007554B1">
      <w:proofErr w:type="spellStart"/>
      <w:r w:rsidRPr="007554B1">
        <w:t>G_base</w:t>
      </w:r>
      <w:proofErr w:type="spellEnd"/>
      <w:r w:rsidRPr="007554B1">
        <w:t xml:space="preserve"> = (0.60 × Recent 4-Quarter Average Growth) + (0.40 × Full-Period Median Growth)</w:t>
      </w:r>
    </w:p>
    <w:p w14:paraId="317F6A8A" w14:textId="77777777" w:rsidR="007554B1" w:rsidRPr="007554B1" w:rsidRDefault="007554B1" w:rsidP="007554B1">
      <w:pPr>
        <w:rPr>
          <w:b/>
          <w:bCs/>
        </w:rPr>
      </w:pPr>
      <w:r w:rsidRPr="007554B1">
        <w:rPr>
          <w:b/>
          <w:bCs/>
        </w:rPr>
        <w:t>Methodology</w:t>
      </w:r>
    </w:p>
    <w:p w14:paraId="00270388" w14:textId="77777777" w:rsidR="007554B1" w:rsidRPr="007554B1" w:rsidRDefault="007554B1" w:rsidP="007554B1">
      <w:r w:rsidRPr="007554B1">
        <w:t>Two components are used:</w:t>
      </w:r>
    </w:p>
    <w:p w14:paraId="73BF3240" w14:textId="77777777" w:rsidR="007554B1" w:rsidRPr="007554B1" w:rsidRDefault="007554B1" w:rsidP="007554B1">
      <w:r w:rsidRPr="007554B1">
        <w:rPr>
          <w:b/>
          <w:bCs/>
        </w:rPr>
        <w:t>Recent 4-Quarter Average Growth – 60% weighting</w:t>
      </w:r>
    </w:p>
    <w:p w14:paraId="08F7A3C9" w14:textId="77777777" w:rsidR="007554B1" w:rsidRPr="007554B1" w:rsidRDefault="007554B1" w:rsidP="007554B1">
      <w:r w:rsidRPr="007554B1">
        <w:t>This represents the average quarter-on-quarter growth recorded during the most recent four quarters. Giving this component the larger weighting makes the scenario more responsive to current market conditions.</w:t>
      </w:r>
    </w:p>
    <w:p w14:paraId="1F53127D" w14:textId="77777777" w:rsidR="007554B1" w:rsidRPr="007554B1" w:rsidRDefault="007554B1" w:rsidP="007554B1">
      <w:r w:rsidRPr="007554B1">
        <w:rPr>
          <w:b/>
          <w:bCs/>
        </w:rPr>
        <w:t>Full-Period Median Growth – 40% weighting</w:t>
      </w:r>
    </w:p>
    <w:p w14:paraId="50F90F4A" w14:textId="77777777" w:rsidR="007554B1" w:rsidRPr="007554B1" w:rsidRDefault="007554B1" w:rsidP="007554B1">
      <w:r w:rsidRPr="007554B1">
        <w:t>This represents the median quarterly growth rate across the complete historical period. It provides a longer-term structural anchor and reduces the influence of unusually strong or weak recent quarters.</w:t>
      </w:r>
    </w:p>
    <w:p w14:paraId="7DCC6777" w14:textId="77777777" w:rsidR="007554B1" w:rsidRPr="007554B1" w:rsidRDefault="007554B1" w:rsidP="007554B1">
      <w:pPr>
        <w:rPr>
          <w:b/>
          <w:bCs/>
        </w:rPr>
      </w:pPr>
      <w:r w:rsidRPr="007554B1">
        <w:rPr>
          <w:b/>
          <w:bCs/>
        </w:rPr>
        <w:t>Reasoning</w:t>
      </w:r>
    </w:p>
    <w:p w14:paraId="25AA3B6A" w14:textId="77777777" w:rsidR="007554B1" w:rsidRPr="007554B1" w:rsidRDefault="007554B1" w:rsidP="007554B1">
      <w:r w:rsidRPr="007554B1">
        <w:t xml:space="preserve">Placing </w:t>
      </w:r>
      <w:r w:rsidRPr="007554B1">
        <w:rPr>
          <w:b/>
          <w:bCs/>
        </w:rPr>
        <w:t>60% of the weight on recent momentum</w:t>
      </w:r>
      <w:r w:rsidRPr="007554B1">
        <w:t xml:space="preserve"> allows the model to respond to emerging market conditions, including developments such as cooling sales growth in North Sydney or </w:t>
      </w:r>
      <w:proofErr w:type="spellStart"/>
      <w:r w:rsidRPr="007554B1">
        <w:t>stabilising</w:t>
      </w:r>
      <w:proofErr w:type="spellEnd"/>
      <w:r w:rsidRPr="007554B1">
        <w:t xml:space="preserve"> rental growth.</w:t>
      </w:r>
    </w:p>
    <w:p w14:paraId="0EB61CAA" w14:textId="77777777" w:rsidR="007554B1" w:rsidRPr="007554B1" w:rsidRDefault="007554B1" w:rsidP="007554B1">
      <w:r w:rsidRPr="007554B1">
        <w:t xml:space="preserve">At the same time, allocating </w:t>
      </w:r>
      <w:r w:rsidRPr="007554B1">
        <w:rPr>
          <w:b/>
          <w:bCs/>
        </w:rPr>
        <w:t>40% to the full-period median</w:t>
      </w:r>
      <w:r w:rsidRPr="007554B1">
        <w:t xml:space="preserve"> prevents the baseline forecast from being driven excessively by a short-term market shock or a single abnormal quarter.</w:t>
      </w:r>
    </w:p>
    <w:p w14:paraId="075B3830" w14:textId="3CAA2A7D" w:rsidR="007554B1" w:rsidRPr="007554B1" w:rsidRDefault="007554B1" w:rsidP="007554B1">
      <w:r w:rsidRPr="007554B1">
        <w:t xml:space="preserve">The result is a growth assumption that remains responsive to current conditions while still reflecting the longer-term </w:t>
      </w:r>
      <w:proofErr w:type="spellStart"/>
      <w:r w:rsidRPr="007554B1">
        <w:t>behaviour</w:t>
      </w:r>
      <w:proofErr w:type="spellEnd"/>
      <w:r w:rsidRPr="007554B1">
        <w:t xml:space="preserve"> of each SA4 market.</w:t>
      </w:r>
    </w:p>
    <w:p w14:paraId="518734AC" w14:textId="77777777" w:rsidR="007554B1" w:rsidRPr="007554B1" w:rsidRDefault="007554B1" w:rsidP="007554B1">
      <w:pPr>
        <w:rPr>
          <w:b/>
          <w:bCs/>
        </w:rPr>
      </w:pPr>
      <w:r w:rsidRPr="007554B1">
        <w:rPr>
          <w:b/>
          <w:bCs/>
        </w:rPr>
        <w:t>2. Low Growth Scenario (</w:t>
      </w:r>
      <w:proofErr w:type="spellStart"/>
      <w:r w:rsidRPr="007554B1">
        <w:rPr>
          <w:b/>
          <w:bCs/>
        </w:rPr>
        <w:t>G_low</w:t>
      </w:r>
      <w:proofErr w:type="spellEnd"/>
      <w:r w:rsidRPr="007554B1">
        <w:rPr>
          <w:b/>
          <w:bCs/>
        </w:rPr>
        <w:t>)</w:t>
      </w:r>
    </w:p>
    <w:p w14:paraId="4AFC7CE8" w14:textId="77777777" w:rsidR="007554B1" w:rsidRPr="007554B1" w:rsidRDefault="007554B1" w:rsidP="007554B1">
      <w:r w:rsidRPr="007554B1">
        <w:t xml:space="preserve">The </w:t>
      </w:r>
      <w:r w:rsidRPr="007554B1">
        <w:rPr>
          <w:b/>
          <w:bCs/>
        </w:rPr>
        <w:t>Low Growth Scenario</w:t>
      </w:r>
      <w:r w:rsidRPr="007554B1">
        <w:t xml:space="preserve"> represents a conservative or weaker-market outcome.</w:t>
      </w:r>
    </w:p>
    <w:p w14:paraId="5350A2A0" w14:textId="77777777" w:rsidR="007554B1" w:rsidRPr="007554B1" w:rsidRDefault="007554B1" w:rsidP="007554B1">
      <w:r w:rsidRPr="007554B1">
        <w:t>Rather than assuming an extreme downturn, the scenario is based on the lower portion of the region's historical quarterly growth distribution.</w:t>
      </w:r>
    </w:p>
    <w:p w14:paraId="577BC5DD" w14:textId="77777777" w:rsidR="007554B1" w:rsidRPr="007554B1" w:rsidRDefault="007554B1" w:rsidP="007554B1">
      <w:pPr>
        <w:rPr>
          <w:b/>
          <w:bCs/>
        </w:rPr>
      </w:pPr>
      <w:r w:rsidRPr="007554B1">
        <w:rPr>
          <w:b/>
          <w:bCs/>
        </w:rPr>
        <w:lastRenderedPageBreak/>
        <w:t>Formula</w:t>
      </w:r>
    </w:p>
    <w:p w14:paraId="4262A526" w14:textId="77777777" w:rsidR="007554B1" w:rsidRPr="007554B1" w:rsidRDefault="007554B1" w:rsidP="007554B1">
      <w:r w:rsidRPr="007554B1">
        <w:t>Low Growth QoQ =</w:t>
      </w:r>
      <w:r w:rsidRPr="007554B1">
        <w:br/>
        <w:t>25th Percentile (Q1) of Historical Quarterly Growth</w:t>
      </w:r>
    </w:p>
    <w:p w14:paraId="5D6671ED" w14:textId="77777777" w:rsidR="007554B1" w:rsidRPr="007554B1" w:rsidRDefault="007554B1" w:rsidP="007554B1">
      <w:r w:rsidRPr="007554B1">
        <w:t>Or mathematically:</w:t>
      </w:r>
    </w:p>
    <w:p w14:paraId="3E2D8A1B" w14:textId="77777777" w:rsidR="007554B1" w:rsidRPr="007554B1" w:rsidRDefault="007554B1" w:rsidP="007554B1">
      <w:proofErr w:type="spellStart"/>
      <w:r w:rsidRPr="007554B1">
        <w:t>G_low</w:t>
      </w:r>
      <w:proofErr w:type="spellEnd"/>
      <w:r w:rsidRPr="007554B1">
        <w:t xml:space="preserve"> = Q1 of Historical Quarterly Growth</w:t>
      </w:r>
    </w:p>
    <w:p w14:paraId="7418150F" w14:textId="77777777" w:rsidR="007554B1" w:rsidRPr="007554B1" w:rsidRDefault="007554B1" w:rsidP="007554B1">
      <w:pPr>
        <w:rPr>
          <w:b/>
          <w:bCs/>
        </w:rPr>
      </w:pPr>
      <w:r w:rsidRPr="007554B1">
        <w:rPr>
          <w:b/>
          <w:bCs/>
        </w:rPr>
        <w:t>Methodology</w:t>
      </w:r>
    </w:p>
    <w:p w14:paraId="5AECC5D3" w14:textId="77777777" w:rsidR="007554B1" w:rsidRPr="007554B1" w:rsidRDefault="007554B1" w:rsidP="007554B1">
      <w:r w:rsidRPr="007554B1">
        <w:t xml:space="preserve">The </w:t>
      </w:r>
      <w:r w:rsidRPr="007554B1">
        <w:rPr>
          <w:b/>
          <w:bCs/>
        </w:rPr>
        <w:t>25th percentile</w:t>
      </w:r>
      <w:r w:rsidRPr="007554B1">
        <w:t xml:space="preserve">, also referred to as the </w:t>
      </w:r>
      <w:r w:rsidRPr="007554B1">
        <w:rPr>
          <w:b/>
          <w:bCs/>
        </w:rPr>
        <w:t>first quartile (Q1)</w:t>
      </w:r>
      <w:r w:rsidRPr="007554B1">
        <w:t>, represents the growth rate below which approximately 25% of historical quarterly observations occurred.</w:t>
      </w:r>
    </w:p>
    <w:p w14:paraId="486E26B7" w14:textId="77777777" w:rsidR="007554B1" w:rsidRPr="007554B1" w:rsidRDefault="007554B1" w:rsidP="007554B1">
      <w:r w:rsidRPr="007554B1">
        <w:t>This provides a region-specific measure of historically weak market performance.</w:t>
      </w:r>
    </w:p>
    <w:p w14:paraId="44D00602" w14:textId="77777777" w:rsidR="007554B1" w:rsidRPr="007554B1" w:rsidRDefault="007554B1" w:rsidP="007554B1">
      <w:pPr>
        <w:rPr>
          <w:b/>
          <w:bCs/>
        </w:rPr>
      </w:pPr>
      <w:r w:rsidRPr="007554B1">
        <w:rPr>
          <w:b/>
          <w:bCs/>
        </w:rPr>
        <w:t>Reasoning</w:t>
      </w:r>
    </w:p>
    <w:p w14:paraId="7B835829" w14:textId="77777777" w:rsidR="007554B1" w:rsidRPr="007554B1" w:rsidRDefault="007554B1" w:rsidP="007554B1">
      <w:r w:rsidRPr="007554B1">
        <w:t>Using the 25th percentile provides a realistic downside scenario without assuming an exceptional market crash.</w:t>
      </w:r>
    </w:p>
    <w:p w14:paraId="78DA0A23" w14:textId="77777777" w:rsidR="007554B1" w:rsidRPr="007554B1" w:rsidRDefault="007554B1" w:rsidP="007554B1">
      <w:r w:rsidRPr="007554B1">
        <w:t>Because the calculation is performed separately for each SA4 region, the conservative growth assumption reflects the historical resilience or volatility of that particular market.</w:t>
      </w:r>
    </w:p>
    <w:p w14:paraId="5FC3DA9F" w14:textId="77777777" w:rsidR="007554B1" w:rsidRPr="007554B1" w:rsidRDefault="007554B1" w:rsidP="007554B1">
      <w:r w:rsidRPr="007554B1">
        <w:t xml:space="preserve">For example, in highly resilient rental markets such as </w:t>
      </w:r>
      <w:r w:rsidRPr="007554B1">
        <w:rPr>
          <w:b/>
          <w:bCs/>
        </w:rPr>
        <w:t>Blacktown or South West Sydney</w:t>
      </w:r>
      <w:r w:rsidRPr="007554B1">
        <w:t xml:space="preserve">, the calculated lower growth boundary may reach approximately </w:t>
      </w:r>
      <w:r w:rsidRPr="007554B1">
        <w:rPr>
          <w:b/>
          <w:bCs/>
        </w:rPr>
        <w:t>0%</w:t>
      </w:r>
      <w:r w:rsidRPr="007554B1">
        <w:t xml:space="preserve">. This suggests that, within the historical period </w:t>
      </w:r>
      <w:proofErr w:type="spellStart"/>
      <w:r w:rsidRPr="007554B1">
        <w:t>analysed</w:t>
      </w:r>
      <w:proofErr w:type="spellEnd"/>
      <w:r w:rsidRPr="007554B1">
        <w:t>, persistent rental demand and supply constraints limited the frequency or magnitude of quarterly rental declines.</w:t>
      </w:r>
    </w:p>
    <w:p w14:paraId="5AEAC570" w14:textId="78C63213" w:rsidR="007554B1" w:rsidRPr="007554B1" w:rsidRDefault="007554B1" w:rsidP="007554B1">
      <w:r w:rsidRPr="007554B1">
        <w:t>Therefore, the Low Growth Scenario represents a historically plausible weak-market environment rather than an artificially imposed negative forecast.</w:t>
      </w:r>
    </w:p>
    <w:p w14:paraId="7BA55132" w14:textId="77777777" w:rsidR="007554B1" w:rsidRPr="007554B1" w:rsidRDefault="007554B1" w:rsidP="007554B1">
      <w:pPr>
        <w:rPr>
          <w:b/>
          <w:bCs/>
        </w:rPr>
      </w:pPr>
      <w:r w:rsidRPr="007554B1">
        <w:rPr>
          <w:b/>
          <w:bCs/>
        </w:rPr>
        <w:t>3. High Growth Scenario (</w:t>
      </w:r>
      <w:proofErr w:type="spellStart"/>
      <w:r w:rsidRPr="007554B1">
        <w:rPr>
          <w:b/>
          <w:bCs/>
        </w:rPr>
        <w:t>G_high</w:t>
      </w:r>
      <w:proofErr w:type="spellEnd"/>
      <w:r w:rsidRPr="007554B1">
        <w:rPr>
          <w:b/>
          <w:bCs/>
        </w:rPr>
        <w:t>)</w:t>
      </w:r>
    </w:p>
    <w:p w14:paraId="1028E081" w14:textId="77777777" w:rsidR="007554B1" w:rsidRPr="007554B1" w:rsidRDefault="007554B1" w:rsidP="007554B1">
      <w:r w:rsidRPr="007554B1">
        <w:t xml:space="preserve">The </w:t>
      </w:r>
      <w:r w:rsidRPr="007554B1">
        <w:rPr>
          <w:b/>
          <w:bCs/>
        </w:rPr>
        <w:t>High Growth Scenario</w:t>
      </w:r>
      <w:r w:rsidRPr="007554B1">
        <w:t xml:space="preserve"> represents an optimistic or stronger-market outcome.</w:t>
      </w:r>
    </w:p>
    <w:p w14:paraId="0B3979BA" w14:textId="77777777" w:rsidR="007554B1" w:rsidRPr="007554B1" w:rsidRDefault="007554B1" w:rsidP="007554B1">
      <w:r w:rsidRPr="007554B1">
        <w:t>It is calculated using the upper portion of the historical quarterly growth distribution for each SA4 region.</w:t>
      </w:r>
    </w:p>
    <w:p w14:paraId="36FF8546" w14:textId="77777777" w:rsidR="007554B1" w:rsidRPr="007554B1" w:rsidRDefault="007554B1" w:rsidP="007554B1">
      <w:pPr>
        <w:rPr>
          <w:b/>
          <w:bCs/>
        </w:rPr>
      </w:pPr>
      <w:r w:rsidRPr="007554B1">
        <w:rPr>
          <w:b/>
          <w:bCs/>
        </w:rPr>
        <w:t>Formula</w:t>
      </w:r>
    </w:p>
    <w:p w14:paraId="03A8AAD2" w14:textId="77777777" w:rsidR="007554B1" w:rsidRPr="007554B1" w:rsidRDefault="007554B1" w:rsidP="007554B1">
      <w:r w:rsidRPr="007554B1">
        <w:t>High Growth QoQ =</w:t>
      </w:r>
      <w:r w:rsidRPr="007554B1">
        <w:br/>
        <w:t>75th Percentile (Q3) of Historical Quarterly Growth</w:t>
      </w:r>
    </w:p>
    <w:p w14:paraId="78ADEC57" w14:textId="77777777" w:rsidR="007554B1" w:rsidRPr="007554B1" w:rsidRDefault="007554B1" w:rsidP="007554B1">
      <w:r w:rsidRPr="007554B1">
        <w:t>Or mathematically:</w:t>
      </w:r>
    </w:p>
    <w:p w14:paraId="4350AC55" w14:textId="77777777" w:rsidR="007554B1" w:rsidRPr="007554B1" w:rsidRDefault="007554B1" w:rsidP="007554B1">
      <w:proofErr w:type="spellStart"/>
      <w:r w:rsidRPr="007554B1">
        <w:t>G_high</w:t>
      </w:r>
      <w:proofErr w:type="spellEnd"/>
      <w:r w:rsidRPr="007554B1">
        <w:t xml:space="preserve"> = Q3 of Historical Quarterly Growth</w:t>
      </w:r>
    </w:p>
    <w:p w14:paraId="08F013EC" w14:textId="77777777" w:rsidR="007554B1" w:rsidRPr="007554B1" w:rsidRDefault="007554B1" w:rsidP="007554B1">
      <w:pPr>
        <w:rPr>
          <w:b/>
          <w:bCs/>
        </w:rPr>
      </w:pPr>
      <w:r w:rsidRPr="007554B1">
        <w:rPr>
          <w:b/>
          <w:bCs/>
        </w:rPr>
        <w:t>Methodology</w:t>
      </w:r>
    </w:p>
    <w:p w14:paraId="7D38EC71" w14:textId="77777777" w:rsidR="007554B1" w:rsidRPr="007554B1" w:rsidRDefault="007554B1" w:rsidP="007554B1">
      <w:r w:rsidRPr="007554B1">
        <w:t xml:space="preserve">The </w:t>
      </w:r>
      <w:r w:rsidRPr="007554B1">
        <w:rPr>
          <w:b/>
          <w:bCs/>
        </w:rPr>
        <w:t>75th percentile</w:t>
      </w:r>
      <w:r w:rsidRPr="007554B1">
        <w:t xml:space="preserve">, also referred to as the </w:t>
      </w:r>
      <w:r w:rsidRPr="007554B1">
        <w:rPr>
          <w:b/>
          <w:bCs/>
        </w:rPr>
        <w:t>third quartile (Q3)</w:t>
      </w:r>
      <w:r w:rsidRPr="007554B1">
        <w:t>, represents the quarterly growth rate below which approximately 75% of historical observations occurred.</w:t>
      </w:r>
    </w:p>
    <w:p w14:paraId="0BD3B599" w14:textId="77777777" w:rsidR="007554B1" w:rsidRPr="007554B1" w:rsidRDefault="007554B1" w:rsidP="007554B1">
      <w:r w:rsidRPr="007554B1">
        <w:lastRenderedPageBreak/>
        <w:t xml:space="preserve">Consequently, growth at this level represents a relatively strong historical quarter while remaining within the range of previously observed market </w:t>
      </w:r>
      <w:proofErr w:type="spellStart"/>
      <w:r w:rsidRPr="007554B1">
        <w:t>behaviour</w:t>
      </w:r>
      <w:proofErr w:type="spellEnd"/>
      <w:r w:rsidRPr="007554B1">
        <w:t>.</w:t>
      </w:r>
    </w:p>
    <w:p w14:paraId="53EA5C83" w14:textId="77777777" w:rsidR="007554B1" w:rsidRPr="007554B1" w:rsidRDefault="007554B1" w:rsidP="007554B1">
      <w:pPr>
        <w:rPr>
          <w:b/>
          <w:bCs/>
        </w:rPr>
      </w:pPr>
      <w:r w:rsidRPr="007554B1">
        <w:rPr>
          <w:b/>
          <w:bCs/>
        </w:rPr>
        <w:t>Reasoning</w:t>
      </w:r>
    </w:p>
    <w:p w14:paraId="60EBF4B1" w14:textId="77777777" w:rsidR="007554B1" w:rsidRPr="007554B1" w:rsidRDefault="007554B1" w:rsidP="007554B1">
      <w:r w:rsidRPr="007554B1">
        <w:t>Using the 75th percentile allows the model to represent a strong-growth environment without relying on the absolute maximum historical growth rate, which could have been caused by an unusual or temporary market event.</w:t>
      </w:r>
    </w:p>
    <w:p w14:paraId="571701BE" w14:textId="77777777" w:rsidR="007554B1" w:rsidRPr="007554B1" w:rsidRDefault="007554B1" w:rsidP="007554B1">
      <w:r w:rsidRPr="007554B1">
        <w:t>Because the percentile is calculated independently for each SA4 region, the High Growth Scenario also captures differences in regional volatility.</w:t>
      </w:r>
    </w:p>
    <w:p w14:paraId="28AAAEE4" w14:textId="77777777" w:rsidR="007554B1" w:rsidRPr="007554B1" w:rsidRDefault="007554B1" w:rsidP="007554B1">
      <w:r w:rsidRPr="007554B1">
        <w:t xml:space="preserve">For example, premium markets such as the </w:t>
      </w:r>
      <w:r w:rsidRPr="007554B1">
        <w:rPr>
          <w:b/>
          <w:bCs/>
        </w:rPr>
        <w:t>Eastern Suburbs</w:t>
      </w:r>
      <w:r w:rsidRPr="007554B1">
        <w:t xml:space="preserve"> may produce considerably higher upper growth assumptions, potentially around </w:t>
      </w:r>
      <w:r w:rsidRPr="007554B1">
        <w:rPr>
          <w:b/>
          <w:bCs/>
        </w:rPr>
        <w:t>+6.7% to +7.2% per quarter</w:t>
      </w:r>
      <w:r w:rsidRPr="007554B1">
        <w:t>, while more stable middle-ring markets generally produce lower values.</w:t>
      </w:r>
    </w:p>
    <w:p w14:paraId="34FE69D1" w14:textId="2659491D" w:rsidR="007554B1" w:rsidRPr="007554B1" w:rsidRDefault="007554B1" w:rsidP="007554B1">
      <w:r w:rsidRPr="007554B1">
        <w:t>This difference reflects the greater sensitivity of premium property markets to factors such as credit conditions, interest rates, investor activity, buyer wealth, and changes in market confidence.</w:t>
      </w:r>
    </w:p>
    <w:p w14:paraId="2FE32B0B" w14:textId="77777777" w:rsidR="007554B1" w:rsidRPr="007554B1" w:rsidRDefault="007554B1" w:rsidP="007554B1">
      <w:r w:rsidRPr="007554B1">
        <w:t>Together, these three measures provide a historically grounded range of potential quarterly growth outcomes. They are subsequently passed into the final projection framework, where additional controls such as recent momentum weighting and SA4-specific growth floors and ceilings are applied before calculating the projected price or rent for the next quarter.</w:t>
      </w:r>
    </w:p>
    <w:p w14:paraId="2E3CDD65" w14:textId="77777777" w:rsidR="00777316" w:rsidRDefault="00777316" w:rsidP="007554B1">
      <w:pPr>
        <w:pStyle w:val="Heading3"/>
      </w:pPr>
      <w:r>
        <w:t>The Chained Projection Equation with Volatility Guards</w:t>
      </w:r>
    </w:p>
    <w:p w14:paraId="70063040" w14:textId="77777777" w:rsidR="00777316" w:rsidRDefault="00777316" w:rsidP="00777316">
      <w:r>
        <w:t>To execute the 4-quarter forecast without allowing mathematical variance to fracture reality, every projection step uses an 80/20 blended temporal calculation wrapped inside an Interquartile Range (IQR) safety cage:</w:t>
      </w:r>
    </w:p>
    <w:p w14:paraId="0171FA88" w14:textId="0EC6B10E" w:rsidR="00294B82" w:rsidRPr="005A1126" w:rsidRDefault="00294B82" w:rsidP="00777316">
      <w:pPr>
        <w:rPr>
          <w:b/>
          <w:bCs/>
        </w:rPr>
      </w:pPr>
      <w:r w:rsidRPr="005A1126">
        <w:rPr>
          <w:b/>
          <w:bCs/>
        </w:rPr>
        <w:t>Quarter 1 Forecast</w:t>
      </w:r>
    </w:p>
    <w:p w14:paraId="6F803C5F" w14:textId="19055F62" w:rsidR="00294B82" w:rsidRDefault="00294B82" w:rsidP="00777316">
      <w:r w:rsidRPr="00294B82">
        <w:t>= 2025_Q3_Actual_Price</w:t>
      </w:r>
      <w:r>
        <w:t>/ 2025-Q3_Actual_Rent</w:t>
      </w:r>
      <w:r w:rsidRPr="00294B82">
        <w:t xml:space="preserve"> * (1 + </w:t>
      </w:r>
      <w:proofErr w:type="gramStart"/>
      <w:r w:rsidRPr="00294B82">
        <w:t>MEDIAN(</w:t>
      </w:r>
      <w:proofErr w:type="gramEnd"/>
      <w:r w:rsidRPr="00294B82">
        <w:t>T2, U2, (0.8 * D2) + (0.2 * E2)))</w:t>
      </w:r>
    </w:p>
    <w:p w14:paraId="333A4F82" w14:textId="5BEC8567" w:rsidR="00294B82" w:rsidRDefault="00294B82" w:rsidP="00777316">
      <w:r>
        <w:t>D2 - Scenario Growth Pct</w:t>
      </w:r>
      <w:r w:rsidR="00D168EE">
        <w:t xml:space="preserve"> (Rent or Sales)</w:t>
      </w:r>
    </w:p>
    <w:p w14:paraId="53CC95B9" w14:textId="1B29D3D8" w:rsidR="00294B82" w:rsidRDefault="00294B82" w:rsidP="00777316">
      <w:r>
        <w:t>E2 – Recent 4-Qrtr Growth Pct</w:t>
      </w:r>
      <w:r w:rsidR="00D168EE">
        <w:t xml:space="preserve"> (Rent or Sales)</w:t>
      </w:r>
    </w:p>
    <w:p w14:paraId="3761153E" w14:textId="35627A04" w:rsidR="00294B82" w:rsidRDefault="00294B82" w:rsidP="00777316">
      <w:r>
        <w:t>T2 – The 10</w:t>
      </w:r>
      <w:r w:rsidRPr="00294B82">
        <w:rPr>
          <w:vertAlign w:val="superscript"/>
        </w:rPr>
        <w:t>th</w:t>
      </w:r>
      <w:r>
        <w:t xml:space="preserve"> Percentile of the historical growth for that region</w:t>
      </w:r>
      <w:r w:rsidR="00D168EE">
        <w:t xml:space="preserve"> (Rent or Sales)</w:t>
      </w:r>
    </w:p>
    <w:p w14:paraId="17F58AA4" w14:textId="4BD76C4D" w:rsidR="00294B82" w:rsidRDefault="00294B82" w:rsidP="00777316">
      <w:r>
        <w:t>U2 – The 90</w:t>
      </w:r>
      <w:r w:rsidRPr="00294B82">
        <w:rPr>
          <w:vertAlign w:val="superscript"/>
        </w:rPr>
        <w:t>th</w:t>
      </w:r>
      <w:r>
        <w:t xml:space="preserve"> percentile of the historical growth for that region</w:t>
      </w:r>
      <w:r w:rsidR="00D168EE">
        <w:t xml:space="preserve"> (Rent or Sales)</w:t>
      </w:r>
    </w:p>
    <w:p w14:paraId="3278C2E3" w14:textId="77777777" w:rsidR="00D168EE" w:rsidRPr="005A1126" w:rsidRDefault="00D168EE" w:rsidP="00777316">
      <w:pPr>
        <w:rPr>
          <w:b/>
          <w:bCs/>
        </w:rPr>
      </w:pPr>
      <w:r w:rsidRPr="005A1126">
        <w:rPr>
          <w:b/>
          <w:bCs/>
        </w:rPr>
        <w:t>Quarter 2 Forecast</w:t>
      </w:r>
    </w:p>
    <w:p w14:paraId="1E352DDF" w14:textId="6CD6355A" w:rsidR="00D168EE" w:rsidRDefault="00D168EE" w:rsidP="00777316">
      <w:r w:rsidRPr="00D168EE">
        <w:t xml:space="preserve">= Quarter_1_Forecast_ * (1 + </w:t>
      </w:r>
      <w:proofErr w:type="gramStart"/>
      <w:r w:rsidRPr="00D168EE">
        <w:t>MEDIAN(</w:t>
      </w:r>
      <w:proofErr w:type="gramEnd"/>
      <w:r w:rsidRPr="00D168EE">
        <w:t>T2, U2, (0.8 * D2) + (0.2 * E2)))</w:t>
      </w:r>
    </w:p>
    <w:p w14:paraId="07DBC988" w14:textId="7D217533" w:rsidR="00D168EE" w:rsidRPr="005A1126" w:rsidRDefault="00D168EE" w:rsidP="00777316">
      <w:pPr>
        <w:rPr>
          <w:b/>
          <w:bCs/>
        </w:rPr>
      </w:pPr>
      <w:r w:rsidRPr="005A1126">
        <w:rPr>
          <w:b/>
          <w:bCs/>
        </w:rPr>
        <w:t>Quarter 3 Forecast</w:t>
      </w:r>
    </w:p>
    <w:p w14:paraId="68CB3D71" w14:textId="38777C0D" w:rsidR="00D168EE" w:rsidRDefault="00D168EE" w:rsidP="00D168EE">
      <w:r w:rsidRPr="00D168EE">
        <w:t>= Quarter_</w:t>
      </w:r>
      <w:r>
        <w:t>2</w:t>
      </w:r>
      <w:r w:rsidRPr="00D168EE">
        <w:t xml:space="preserve">_Forecast_ * (1 + </w:t>
      </w:r>
      <w:proofErr w:type="gramStart"/>
      <w:r w:rsidRPr="00D168EE">
        <w:t>MEDIAN(</w:t>
      </w:r>
      <w:proofErr w:type="gramEnd"/>
      <w:r w:rsidRPr="00D168EE">
        <w:t>T2, U2, (0.8 * D2) + (0.2 * E2)))</w:t>
      </w:r>
    </w:p>
    <w:p w14:paraId="3118AA24" w14:textId="1D943C13" w:rsidR="00D168EE" w:rsidRPr="005A1126" w:rsidRDefault="00D168EE" w:rsidP="00D168EE">
      <w:pPr>
        <w:rPr>
          <w:b/>
          <w:bCs/>
        </w:rPr>
      </w:pPr>
      <w:r w:rsidRPr="005A1126">
        <w:rPr>
          <w:b/>
          <w:bCs/>
        </w:rPr>
        <w:t>Quarter 4 Forecast</w:t>
      </w:r>
    </w:p>
    <w:p w14:paraId="2E4EFADB" w14:textId="188C69F4" w:rsidR="00D168EE" w:rsidRDefault="00D168EE" w:rsidP="00D168EE">
      <w:r>
        <w:lastRenderedPageBreak/>
        <w:t xml:space="preserve">= </w:t>
      </w:r>
      <w:r w:rsidRPr="00D168EE">
        <w:t>Quarter_</w:t>
      </w:r>
      <w:r>
        <w:t>3</w:t>
      </w:r>
      <w:r w:rsidRPr="00D168EE">
        <w:t xml:space="preserve">_Forecast_ * (1 + </w:t>
      </w:r>
      <w:proofErr w:type="gramStart"/>
      <w:r w:rsidRPr="00D168EE">
        <w:t>MEDIAN(</w:t>
      </w:r>
      <w:proofErr w:type="gramEnd"/>
      <w:r w:rsidRPr="00D168EE">
        <w:t>T2, U2, (0.8 * D2) + (0.2 * E2)))</w:t>
      </w:r>
    </w:p>
    <w:p w14:paraId="435620E2" w14:textId="03F0A973" w:rsidR="00777316" w:rsidRDefault="00777316" w:rsidP="00777316"/>
    <w:p w14:paraId="5A386248" w14:textId="77777777" w:rsidR="00777316" w:rsidRDefault="00777316" w:rsidP="005A1126">
      <w:pPr>
        <w:pStyle w:val="Heading2"/>
      </w:pPr>
      <w:r>
        <w:rPr>
          <w:rFonts w:ascii="Segoe UI Emoji" w:hAnsi="Segoe UI Emoji" w:cs="Segoe UI Emoji"/>
        </w:rPr>
        <w:t>💡</w:t>
      </w:r>
      <w:r>
        <w:t xml:space="preserve"> 3. Analytical Reasoning &amp; Structural Justifications</w:t>
      </w:r>
    </w:p>
    <w:p w14:paraId="401F3860" w14:textId="77777777" w:rsidR="00777316" w:rsidRDefault="00777316" w:rsidP="00777316">
      <w:r>
        <w:t>Every mathematical element in this architecture matches real-world property dynamics in Sydney:</w:t>
      </w:r>
    </w:p>
    <w:p w14:paraId="08C29B03" w14:textId="77777777" w:rsidR="00777316" w:rsidRDefault="00777316" w:rsidP="00777316">
      <w:r>
        <w:t>The 80/20 Blended Weighting Rationale</w:t>
      </w:r>
    </w:p>
    <w:p w14:paraId="2CC1774A" w14:textId="77777777" w:rsidR="00777316" w:rsidRDefault="00777316" w:rsidP="00777316">
      <w:r>
        <w:t>Relying 100% on the selected scenario growth rate ignores ongoing local momentum. Blending 80% of the Scenario Target with 20% of the Recent 4-Quarter Average Growth creates a stabilizer layer. It forces short-term momentum to pull back on excessive projections, making the fanning out of your Low, Base, and High scenarios tightly controlled as they step forward through time.</w:t>
      </w:r>
    </w:p>
    <w:p w14:paraId="150A2A60" w14:textId="77777777" w:rsidR="00777316" w:rsidRDefault="00777316" w:rsidP="00777316">
      <w:r>
        <w:t>The MEDIAN Percentile Handbrake Rationale</w:t>
      </w:r>
    </w:p>
    <w:p w14:paraId="42086C35" w14:textId="77777777" w:rsidR="00777316" w:rsidRDefault="00777316" w:rsidP="00777316">
      <w:r>
        <w:t>Using a fixed safety ceiling (like capping growth at ±6%) would stifle a genuine, sustained boom or bust in high-density corridors like Blacktown or Parramatta.</w:t>
      </w:r>
    </w:p>
    <w:p w14:paraId="582C0418" w14:textId="77777777" w:rsidR="00777316" w:rsidRDefault="00777316" w:rsidP="00777316">
      <w:r>
        <w:t>By calculating the 10th and 90th percentiles dynamically for each row, the safety guard adjusts to the "soul" of each suburb. If a premium market like Baulkham Hills naturally exhibits highly volatile family herd behavior (±20% historical swings on standard trading volumes), its 90th percentile is naturally wide, allowing the trend to pass uncensored. Conversely, if a rental market like Ryde hits an absolute affordability wall, the guard detects the anomaly and clips freak transactional spikes without warping the baseline trend.</w:t>
      </w:r>
    </w:p>
    <w:p w14:paraId="2BA5FA91" w14:textId="77777777" w:rsidR="00777316" w:rsidRDefault="00777316" w:rsidP="00777316">
      <w:r>
        <w:t>The Fixed Census Denominator Rationale</w:t>
      </w:r>
    </w:p>
    <w:p w14:paraId="198A4B18" w14:textId="77777777" w:rsidR="00777316" w:rsidRDefault="00777316" w:rsidP="00777316">
      <w:r>
        <w:t>To measure human impact, the dashboard calculates the Price-to-Income Multiple and Rent-to-Income Burden % by dividing the changing forecasts against fixed 2021 ABS Census household income baselines.</w:t>
      </w:r>
    </w:p>
    <w:p w14:paraId="59FC8481" w14:textId="306AC7F1" w:rsidR="00A42C06" w:rsidRDefault="00777316" w:rsidP="00777316">
      <w:r>
        <w:t>Holding income static is an intentional economic choice. Because wages move significantly slower than weekly real estate values, anchoring the income denominator isolates pure property market variance. This allows stakeholders to visually audit exactly how fast housing costs are outpacing or correcting toward structural household budgets over the next year.</w:t>
      </w:r>
    </w:p>
    <w:p w14:paraId="1060EB8E" w14:textId="22677732" w:rsidR="007E0EC7" w:rsidRDefault="007E0EC7" w:rsidP="007E0EC7">
      <w:pPr>
        <w:pStyle w:val="Heading2"/>
      </w:pPr>
      <w:r>
        <w:t>Forecast Dataset</w:t>
      </w:r>
    </w:p>
    <w:bookmarkStart w:id="0" w:name="_MON_1849716610"/>
    <w:bookmarkEnd w:id="0"/>
    <w:p w14:paraId="0D68AD92" w14:textId="08EA459E" w:rsidR="007E0EC7" w:rsidRPr="007E0EC7" w:rsidRDefault="007E0EC7" w:rsidP="007E0EC7">
      <w:r>
        <w:object w:dxaOrig="1508" w:dyaOrig="984" w14:anchorId="173F12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75.5pt;height:49pt" o:ole="">
            <v:imagedata r:id="rId7" o:title=""/>
          </v:shape>
          <o:OLEObject Type="Embed" ProgID="Excel.Sheet.12" ShapeID="_x0000_i1060" DrawAspect="Icon" ObjectID="_1849716652" r:id="rId8"/>
        </w:object>
      </w:r>
    </w:p>
    <w:sectPr w:rsidR="007E0EC7" w:rsidRPr="007E0EC7" w:rsidSect="00CC7522">
      <w:footerReference w:type="default" r:id="rId9"/>
      <w:pgSz w:w="12240" w:h="15840"/>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E5D70" w14:textId="77777777" w:rsidR="00846A8C" w:rsidRDefault="00846A8C" w:rsidP="007554B1">
      <w:pPr>
        <w:spacing w:after="0" w:line="240" w:lineRule="auto"/>
      </w:pPr>
      <w:r>
        <w:separator/>
      </w:r>
    </w:p>
  </w:endnote>
  <w:endnote w:type="continuationSeparator" w:id="0">
    <w:p w14:paraId="065CC079" w14:textId="77777777" w:rsidR="00846A8C" w:rsidRDefault="00846A8C" w:rsidP="007554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55CA6" w14:textId="77777777" w:rsidR="007554B1" w:rsidRDefault="007554B1" w:rsidP="007554B1">
    <w:pPr>
      <w:pStyle w:val="Footer"/>
    </w:pPr>
    <w:r w:rsidRPr="00082967">
      <w:t xml:space="preserve">Created by </w:t>
    </w:r>
    <w:r>
      <w:t>Sankalp Roy</w:t>
    </w:r>
    <w:r w:rsidRPr="00082967">
      <w:t>. Licensed under CC BY 4.0. Free to use, share, and adapt with attribution.</w:t>
    </w:r>
  </w:p>
  <w:p w14:paraId="3503DA1E" w14:textId="77777777" w:rsidR="007554B1" w:rsidRDefault="007554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298F6" w14:textId="77777777" w:rsidR="00846A8C" w:rsidRDefault="00846A8C" w:rsidP="007554B1">
      <w:pPr>
        <w:spacing w:after="0" w:line="240" w:lineRule="auto"/>
      </w:pPr>
      <w:r>
        <w:separator/>
      </w:r>
    </w:p>
  </w:footnote>
  <w:footnote w:type="continuationSeparator" w:id="0">
    <w:p w14:paraId="782622E9" w14:textId="77777777" w:rsidR="00846A8C" w:rsidRDefault="00846A8C" w:rsidP="007554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16"/>
    <w:rsid w:val="00294B82"/>
    <w:rsid w:val="00483482"/>
    <w:rsid w:val="005A1126"/>
    <w:rsid w:val="006E230F"/>
    <w:rsid w:val="007554B1"/>
    <w:rsid w:val="00777316"/>
    <w:rsid w:val="007E0EC7"/>
    <w:rsid w:val="00846A8C"/>
    <w:rsid w:val="00A42C06"/>
    <w:rsid w:val="00A510C3"/>
    <w:rsid w:val="00CB7059"/>
    <w:rsid w:val="00CB7593"/>
    <w:rsid w:val="00CC7522"/>
    <w:rsid w:val="00D168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9D176"/>
  <w15:chartTrackingRefBased/>
  <w15:docId w15:val="{064BB03B-45DF-4FD4-92E7-A83383108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73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773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773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73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73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7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7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7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7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73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773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773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73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73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7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7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7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7316"/>
    <w:rPr>
      <w:rFonts w:eastAsiaTheme="majorEastAsia" w:cstheme="majorBidi"/>
      <w:color w:val="272727" w:themeColor="text1" w:themeTint="D8"/>
    </w:rPr>
  </w:style>
  <w:style w:type="paragraph" w:styleId="Title">
    <w:name w:val="Title"/>
    <w:basedOn w:val="Normal"/>
    <w:next w:val="Normal"/>
    <w:link w:val="TitleChar"/>
    <w:uiPriority w:val="10"/>
    <w:qFormat/>
    <w:rsid w:val="00777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7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7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7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7316"/>
    <w:pPr>
      <w:spacing w:before="160"/>
      <w:jc w:val="center"/>
    </w:pPr>
    <w:rPr>
      <w:i/>
      <w:iCs/>
      <w:color w:val="404040" w:themeColor="text1" w:themeTint="BF"/>
    </w:rPr>
  </w:style>
  <w:style w:type="character" w:customStyle="1" w:styleId="QuoteChar">
    <w:name w:val="Quote Char"/>
    <w:basedOn w:val="DefaultParagraphFont"/>
    <w:link w:val="Quote"/>
    <w:uiPriority w:val="29"/>
    <w:rsid w:val="00777316"/>
    <w:rPr>
      <w:i/>
      <w:iCs/>
      <w:color w:val="404040" w:themeColor="text1" w:themeTint="BF"/>
    </w:rPr>
  </w:style>
  <w:style w:type="paragraph" w:styleId="ListParagraph">
    <w:name w:val="List Paragraph"/>
    <w:basedOn w:val="Normal"/>
    <w:uiPriority w:val="34"/>
    <w:qFormat/>
    <w:rsid w:val="00777316"/>
    <w:pPr>
      <w:ind w:left="720"/>
      <w:contextualSpacing/>
    </w:pPr>
  </w:style>
  <w:style w:type="character" w:styleId="IntenseEmphasis">
    <w:name w:val="Intense Emphasis"/>
    <w:basedOn w:val="DefaultParagraphFont"/>
    <w:uiPriority w:val="21"/>
    <w:qFormat/>
    <w:rsid w:val="00777316"/>
    <w:rPr>
      <w:i/>
      <w:iCs/>
      <w:color w:val="2F5496" w:themeColor="accent1" w:themeShade="BF"/>
    </w:rPr>
  </w:style>
  <w:style w:type="paragraph" w:styleId="IntenseQuote">
    <w:name w:val="Intense Quote"/>
    <w:basedOn w:val="Normal"/>
    <w:next w:val="Normal"/>
    <w:link w:val="IntenseQuoteChar"/>
    <w:uiPriority w:val="30"/>
    <w:qFormat/>
    <w:rsid w:val="007773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7316"/>
    <w:rPr>
      <w:i/>
      <w:iCs/>
      <w:color w:val="2F5496" w:themeColor="accent1" w:themeShade="BF"/>
    </w:rPr>
  </w:style>
  <w:style w:type="character" w:styleId="IntenseReference">
    <w:name w:val="Intense Reference"/>
    <w:basedOn w:val="DefaultParagraphFont"/>
    <w:uiPriority w:val="32"/>
    <w:qFormat/>
    <w:rsid w:val="00777316"/>
    <w:rPr>
      <w:b/>
      <w:bCs/>
      <w:smallCaps/>
      <w:color w:val="2F5496" w:themeColor="accent1" w:themeShade="BF"/>
      <w:spacing w:val="5"/>
    </w:rPr>
  </w:style>
  <w:style w:type="paragraph" w:styleId="Header">
    <w:name w:val="header"/>
    <w:basedOn w:val="Normal"/>
    <w:link w:val="HeaderChar"/>
    <w:uiPriority w:val="99"/>
    <w:unhideWhenUsed/>
    <w:rsid w:val="007554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54B1"/>
  </w:style>
  <w:style w:type="paragraph" w:styleId="Footer">
    <w:name w:val="footer"/>
    <w:basedOn w:val="Normal"/>
    <w:link w:val="FooterChar"/>
    <w:uiPriority w:val="99"/>
    <w:unhideWhenUsed/>
    <w:rsid w:val="007554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54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Excel_Worksheet.xlsx"/><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C1ADC2-DAFB-49B9-811E-8C2952D88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5</Pages>
  <Words>1535</Words>
  <Characters>8756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Sankalp Roy</dc:creator>
  <cp:keywords/>
  <dc:description/>
  <cp:lastModifiedBy>Sankalp Roy</cp:lastModifiedBy>
  <cp:revision>4</cp:revision>
  <dcterms:created xsi:type="dcterms:W3CDTF">2026-08-31T03:18:00Z</dcterms:created>
  <dcterms:modified xsi:type="dcterms:W3CDTF">2026-08-31T11:24:00Z</dcterms:modified>
</cp:coreProperties>
</file>