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imSun" w:hAnsi="SimSun" w:eastAsia="SimSun"/>
          <w:color w:val="222222"/>
          <w:sz w:val="21"/>
        </w:rPr>
        <w:t>附件1：</w:t>
      </w:r>
    </w:p>
    <w:p>
      <w:pPr>
        <w:jc w:val="center"/>
      </w:pPr>
      <w:r>
        <w:rPr>
          <w:rFonts w:ascii="Microsoft YaHei" w:hAnsi="Microsoft YaHei" w:eastAsia="Microsoft YaHei"/>
          <w:b/>
          <w:color w:val="222222"/>
          <w:sz w:val="30"/>
        </w:rPr>
        <w:t>指南建议</w:t>
      </w:r>
    </w:p>
    <w:tbl>
      <w:tblPr>
        <w:tblW w:type="auto" w:w="0"/>
        <w:jc w:val="center"/>
        <w:tblLayout w:type="fixed"/>
        <w:tblLook w:firstColumn="1" w:firstRow="1" w:lastColumn="0" w:lastRow="0" w:noHBand="0" w:noVBand="1" w:val="04A0"/>
        <w:tblBorders>
          <w:top w:val="single" w:sz="6" w:color="666666"/>
          <w:left w:val="single" w:sz="6" w:color="666666"/>
          <w:bottom w:val="single" w:sz="6" w:color="666666"/>
          <w:right w:val="single" w:sz="6" w:color="666666"/>
          <w:insideH w:val="single" w:sz="6" w:color="666666"/>
          <w:insideV w:val="single" w:sz="6" w:color="666666"/>
        </w:tblBorders>
      </w:tblPr>
      <w:tblGrid>
        <w:gridCol w:w="2020"/>
        <w:gridCol w:w="2020"/>
        <w:gridCol w:w="2020"/>
        <w:gridCol w:w="2020"/>
        <w:gridCol w:w="2020"/>
        <w:gridCol w:w="2020"/>
        <w:gridCol w:w="2020"/>
        <w:gridCol w:w="2020"/>
      </w:tblGrid>
      <w:tr>
        <w:tc>
          <w:tcPr>
            <w:tcW w:type="dxa" w:w="567"/>
            <w:vAlign w:val="center"/>
            <w:shd w:fill="17365D"/>
          </w:tcPr>
          <w:p>
            <w:pPr>
              <w:spacing w:after="0" w:line="254" w:lineRule="auto"/>
              <w:jc w:val="center"/>
            </w:pPr>
            <w:r/>
            <w:r>
              <w:rPr>
                <w:rFonts w:ascii="Microsoft YaHei" w:hAnsi="Microsoft YaHei" w:eastAsia="Microsoft YaHei"/>
                <w:b/>
                <w:color w:val="FFFFFF"/>
                <w:sz w:val="14"/>
              </w:rPr>
              <w:t>序号</w:t>
            </w:r>
          </w:p>
        </w:tc>
        <w:tc>
          <w:tcPr>
            <w:tcW w:type="dxa" w:w="2098"/>
            <w:vAlign w:val="center"/>
            <w:shd w:fill="17365D"/>
          </w:tcPr>
          <w:p>
            <w:pPr>
              <w:spacing w:after="0" w:line="254" w:lineRule="auto"/>
              <w:jc w:val="center"/>
            </w:pPr>
            <w:r/>
            <w:r>
              <w:rPr>
                <w:rFonts w:ascii="Microsoft YaHei" w:hAnsi="Microsoft YaHei" w:eastAsia="Microsoft YaHei"/>
                <w:b/>
                <w:color w:val="FFFFFF"/>
                <w:sz w:val="14"/>
              </w:rPr>
              <w:t>指南名称</w:t>
            </w:r>
          </w:p>
        </w:tc>
        <w:tc>
          <w:tcPr>
            <w:tcW w:type="dxa" w:w="7880"/>
            <w:vAlign w:val="center"/>
            <w:shd w:fill="17365D"/>
          </w:tcPr>
          <w:p>
            <w:pPr>
              <w:spacing w:after="0" w:line="254" w:lineRule="auto"/>
              <w:jc w:val="center"/>
            </w:pPr>
            <w:r/>
            <w:r>
              <w:rPr>
                <w:rFonts w:ascii="Microsoft YaHei" w:hAnsi="Microsoft YaHei" w:eastAsia="Microsoft YaHei"/>
                <w:b/>
                <w:color w:val="FFFFFF"/>
                <w:sz w:val="14"/>
              </w:rPr>
              <w:t>研究目标、内容和主要技术指标</w:t>
            </w:r>
          </w:p>
        </w:tc>
        <w:tc>
          <w:tcPr>
            <w:tcW w:type="dxa" w:w="907"/>
            <w:vAlign w:val="center"/>
            <w:shd w:fill="17365D"/>
          </w:tcPr>
          <w:p>
            <w:pPr>
              <w:spacing w:after="0" w:line="254" w:lineRule="auto"/>
              <w:jc w:val="center"/>
            </w:pPr>
            <w:r/>
            <w:r>
              <w:rPr>
                <w:rFonts w:ascii="Microsoft YaHei" w:hAnsi="Microsoft YaHei" w:eastAsia="Microsoft YaHei"/>
                <w:b/>
                <w:color w:val="FFFFFF"/>
                <w:sz w:val="14"/>
              </w:rPr>
              <w:t>研究周期</w:t>
            </w:r>
          </w:p>
        </w:tc>
        <w:tc>
          <w:tcPr>
            <w:tcW w:type="dxa" w:w="964"/>
            <w:vAlign w:val="center"/>
            <w:shd w:fill="17365D"/>
          </w:tcPr>
          <w:p>
            <w:pPr>
              <w:spacing w:after="0" w:line="254" w:lineRule="auto"/>
              <w:jc w:val="center"/>
            </w:pPr>
            <w:r/>
            <w:r>
              <w:rPr>
                <w:rFonts w:ascii="Microsoft YaHei" w:hAnsi="Microsoft YaHei" w:eastAsia="Microsoft YaHei"/>
                <w:b/>
                <w:color w:val="FFFFFF"/>
                <w:sz w:val="14"/>
              </w:rPr>
              <w:t>经费需求</w:t>
              <w:br/>
              <w:t>（万元）</w:t>
            </w:r>
          </w:p>
        </w:tc>
        <w:tc>
          <w:tcPr>
            <w:tcW w:type="dxa" w:w="1191"/>
            <w:vAlign w:val="center"/>
            <w:shd w:fill="17365D"/>
          </w:tcPr>
          <w:p>
            <w:pPr>
              <w:spacing w:after="0" w:line="254" w:lineRule="auto"/>
              <w:jc w:val="center"/>
            </w:pPr>
            <w:r/>
            <w:r>
              <w:rPr>
                <w:rFonts w:ascii="Microsoft YaHei" w:hAnsi="Microsoft YaHei" w:eastAsia="Microsoft YaHei"/>
                <w:b/>
                <w:color w:val="FFFFFF"/>
                <w:sz w:val="14"/>
              </w:rPr>
              <w:t>编制单位</w:t>
            </w:r>
          </w:p>
        </w:tc>
        <w:tc>
          <w:tcPr>
            <w:tcW w:type="dxa" w:w="1417"/>
            <w:vAlign w:val="center"/>
            <w:shd w:fill="17365D"/>
          </w:tcPr>
          <w:p>
            <w:pPr>
              <w:spacing w:after="0" w:line="254" w:lineRule="auto"/>
              <w:jc w:val="center"/>
            </w:pPr>
            <w:r/>
            <w:r>
              <w:rPr>
                <w:rFonts w:ascii="Microsoft YaHei" w:hAnsi="Microsoft YaHei" w:eastAsia="Microsoft YaHei"/>
                <w:b/>
                <w:color w:val="FFFFFF"/>
                <w:sz w:val="14"/>
              </w:rPr>
              <w:t>建议人</w:t>
            </w:r>
          </w:p>
        </w:tc>
        <w:tc>
          <w:tcPr>
            <w:tcW w:type="dxa" w:w="850"/>
            <w:vAlign w:val="center"/>
            <w:shd w:fill="17365D"/>
          </w:tcPr>
          <w:p>
            <w:pPr>
              <w:spacing w:after="0" w:line="254" w:lineRule="auto"/>
              <w:jc w:val="center"/>
            </w:pPr>
            <w:r/>
            <w:r>
              <w:rPr>
                <w:rFonts w:ascii="Microsoft YaHei" w:hAnsi="Microsoft YaHei" w:eastAsia="Microsoft YaHei"/>
                <w:b/>
                <w:color w:val="FFFFFF"/>
                <w:sz w:val="14"/>
              </w:rPr>
              <w:t>密级</w:t>
            </w:r>
          </w:p>
        </w:tc>
      </w:tr>
      <w:tr>
        <w:tc>
          <w:tcPr>
            <w:tcW w:type="dxa" w:w="567"/>
            <w:vAlign w:val="center"/>
          </w:tcPr>
          <w:p>
            <w:pPr>
              <w:spacing w:after="0" w:line="254" w:lineRule="auto"/>
              <w:jc w:val="center"/>
            </w:pPr>
            <w:r/>
            <w:r>
              <w:rPr>
                <w:rFonts w:ascii="SimSun" w:hAnsi="SimSun" w:eastAsia="SimSun"/>
                <w:b w:val="0"/>
                <w:color w:val="222222"/>
                <w:sz w:val="13"/>
              </w:rPr>
              <w:t>1</w:t>
            </w:r>
          </w:p>
        </w:tc>
        <w:tc>
          <w:tcPr>
            <w:tcW w:type="dxa" w:w="2098"/>
            <w:vAlign w:val="center"/>
          </w:tcPr>
          <w:p>
            <w:pPr>
              <w:spacing w:after="0" w:line="254" w:lineRule="auto"/>
              <w:jc w:val="left"/>
            </w:pPr>
            <w:r/>
            <w:r>
              <w:rPr>
                <w:rFonts w:ascii="SimSun" w:hAnsi="SimSun" w:eastAsia="SimSun"/>
                <w:b w:val="0"/>
                <w:color w:val="222222"/>
                <w:sz w:val="13"/>
              </w:rPr>
              <w:t>面向搭载锂离子电池特种装备的电池大模型及主动安全防护技术研究</w:t>
            </w:r>
          </w:p>
        </w:tc>
        <w:tc>
          <w:tcPr>
            <w:tcW w:type="dxa" w:w="7880"/>
            <w:vAlign w:val="center"/>
          </w:tcPr>
          <w:p>
            <w:pPr>
              <w:spacing w:after="0" w:line="254" w:lineRule="auto"/>
              <w:jc w:val="left"/>
            </w:pPr>
            <w:r/>
            <w:r>
              <w:rPr>
                <w:rFonts w:ascii="SimSun" w:hAnsi="SimSun" w:eastAsia="SimSun"/>
                <w:b w:val="0"/>
                <w:color w:val="222222"/>
                <w:sz w:val="13"/>
              </w:rPr>
              <w:t>研究目标：针对具身智能、引信装备、储能装备等搭载锂离子电池的特种装备存在健康状态评估维度单一、主动安全模型跨材料体系、跨车型和跨场景迁移泛化能力弱，以及特种装备自身数据规模小、故障标签稀缺等问题，开展电池多维健康指数、跨域时间序列预训练模型、故障预警与根因分析智能体研究，突破多源异构电池数据治理、容量—电压—电阻—故障四类健康指数构建、跨材料体系与跨场景自监督预训练、少样本迁移、故障风险识别、根因分析和运维建议生成等关键技术，研制电池大模型及主动安全防护软件原理样机，实现跨三元与磷酸铁锂体系、跨30种以上车型及车载—储能场景的状态评估和风险预警，为搭载锂离子电池的特种装备提供可迁移、可解释、可追溯的健康管理和主动安全防护技术支撑。</w:t>
              <w:br/>
              <w:t>研究内容：</w:t>
              <w:br/>
              <w:t>1）电池多维健康指数与运维看板。构建容量型、电压型、电阻型、故障型四类健康指数，形成不少于50项指标的定义、算法、入口条件、证据和版本，研究多维特征赋权与综合评分方法。</w:t>
              <w:br/>
              <w:t>2）电池时间序列预训练模型。利用车载和储能场景大规模时序数据开展掩码重构、下一时刻预测、对比学习和多任务预训练，形成跨材料体系、跨车型、跨充电/换电模式和跨场景的统一表征与迁移方法。</w:t>
              <w:br/>
              <w:t>3）故障预警大模型与主动安全防护智能体。融合多维健康指数、预训练潜在特征、故障规则、维修标签和相似案例，形成故障风险识别、Top-K根因分析、维修保养建议和人工复核闭环。</w:t>
              <w:br/>
              <w:t>主要技术指标：</w:t>
              <w:br/>
              <w:t>1）形成容量型、电压型、电阻型、故障型四类电池健康指数及运维看板，健康指数数量不少于50项；形成基于多维特征赋权的综合健康评分。</w:t>
              <w:br/>
              <w:t>2）构建电池时间序列预训练模型，测试集覆盖三元、磷酸铁锂等多种材料体系，覆盖不少于30种中国主流新能源车型并包含充电、换电等模式及典型真实储能场景；95%的场景单元电压还原误差不高于30 mV，全部场景单元SOH平均绝对误差不高于5个百分点。</w:t>
              <w:br/>
              <w:t>3）构建故障预警大模型和电池状态评估及故障预警智能体；对经维修或复检确认的故障电池，故障查准率不低于85%，输出Top-K根因、证据摘要及维修保养建议。</w:t>
              <w:br/>
              <w:t>预期成果：电池大模型及主动安全防护软件原理样机1套；多维电池健康指数体系与运维看板1套；时间序列预训练模型及迁移适配工具包1套；故障预警与根因分析智能体1套；经评审冻结的测试大纲、测试集说明和测试报告1套；研究报告及技术规范若干。</w:t>
            </w:r>
          </w:p>
        </w:tc>
        <w:tc>
          <w:tcPr>
            <w:tcW w:type="dxa" w:w="907"/>
            <w:vAlign w:val="center"/>
          </w:tcPr>
          <w:p>
            <w:pPr>
              <w:spacing w:after="0" w:line="254" w:lineRule="auto"/>
              <w:jc w:val="left"/>
            </w:pPr>
            <w:r/>
            <w:r>
              <w:rPr>
                <w:rFonts w:ascii="SimSun" w:hAnsi="SimSun" w:eastAsia="SimSun"/>
                <w:b w:val="0"/>
                <w:color w:val="222222"/>
                <w:sz w:val="13"/>
              </w:rPr>
              <w:t>2年</w:t>
            </w:r>
          </w:p>
        </w:tc>
        <w:tc>
          <w:tcPr>
            <w:tcW w:type="dxa" w:w="964"/>
            <w:vAlign w:val="center"/>
          </w:tcPr>
          <w:p>
            <w:pPr>
              <w:spacing w:after="0" w:line="254" w:lineRule="auto"/>
              <w:jc w:val="left"/>
            </w:pPr>
            <w:r/>
            <w:r>
              <w:rPr>
                <w:rFonts w:ascii="SimSun" w:hAnsi="SimSun" w:eastAsia="SimSun"/>
                <w:b w:val="0"/>
                <w:color w:val="222222"/>
                <w:sz w:val="13"/>
              </w:rPr>
              <w:t>200</w:t>
            </w:r>
          </w:p>
        </w:tc>
        <w:tc>
          <w:tcPr>
            <w:tcW w:type="dxa" w:w="1191"/>
            <w:vAlign w:val="center"/>
          </w:tcPr>
          <w:p>
            <w:pPr>
              <w:spacing w:after="0" w:line="254" w:lineRule="auto"/>
              <w:jc w:val="left"/>
            </w:pPr>
            <w:r/>
            <w:r>
              <w:rPr>
                <w:rFonts w:ascii="SimSun" w:hAnsi="SimSun" w:eastAsia="SimSun"/>
                <w:b w:val="0"/>
                <w:color w:val="222222"/>
                <w:sz w:val="13"/>
              </w:rPr>
              <w:t>北京航空航天大学</w:t>
            </w:r>
          </w:p>
        </w:tc>
        <w:tc>
          <w:tcPr>
            <w:tcW w:type="dxa" w:w="1417"/>
            <w:vAlign w:val="center"/>
          </w:tcPr>
          <w:p>
            <w:pPr>
              <w:spacing w:after="0" w:line="254" w:lineRule="auto"/>
              <w:jc w:val="left"/>
            </w:pPr>
            <w:r/>
            <w:r>
              <w:rPr>
                <w:rFonts w:ascii="SimSun" w:hAnsi="SimSun" w:eastAsia="SimSun"/>
                <w:b w:val="0"/>
                <w:color w:val="222222"/>
                <w:sz w:val="13"/>
              </w:rPr>
              <w:t>姓名：王诗童</w:t>
              <w:br/>
              <w:t>手机号：18811361360</w:t>
            </w:r>
          </w:p>
        </w:tc>
        <w:tc>
          <w:tcPr>
            <w:tcW w:type="dxa" w:w="850"/>
            <w:vAlign w:val="center"/>
          </w:tcPr>
          <w:p>
            <w:pPr>
              <w:spacing w:after="0" w:line="254" w:lineRule="auto"/>
              <w:jc w:val="left"/>
            </w:pPr>
            <w:r/>
            <w:r>
              <w:rPr>
                <w:rFonts w:ascii="SimSun" w:hAnsi="SimSun" w:eastAsia="SimSun"/>
                <w:b w:val="0"/>
                <w:color w:val="222222"/>
                <w:sz w:val="13"/>
              </w:rPr>
              <w:t>按申报要求填写</w:t>
            </w:r>
          </w:p>
        </w:tc>
      </w:tr>
    </w:tbl>
    <w:p>
      <w:pPr>
        <w:sectPr>
          <w:pgSz w:w="16838" w:h="11906" w:orient="landscape"/>
          <w:pgMar w:top="454" w:right="340" w:bottom="454" w:left="340" w:header="720" w:footer="720" w:gutter="0"/>
          <w:cols w:space="720"/>
          <w:docGrid w:linePitch="360"/>
        </w:sectPr>
      </w:pPr>
    </w:p>
    <w:p>
      <w:r>
        <w:rPr>
          <w:rFonts w:ascii="SimSun" w:hAnsi="SimSun" w:eastAsia="SimSun"/>
          <w:color w:val="222222"/>
          <w:sz w:val="21"/>
        </w:rPr>
        <w:t>附件2：</w:t>
      </w:r>
    </w:p>
    <w:p>
      <w:pPr>
        <w:jc w:val="center"/>
      </w:pPr>
      <w:r>
        <w:rPr>
          <w:rFonts w:ascii="Microsoft YaHei" w:hAnsi="Microsoft YaHei" w:eastAsia="Microsoft YaHei"/>
          <w:b/>
          <w:color w:val="222222"/>
          <w:sz w:val="34"/>
        </w:rPr>
        <w:t>面向搭载锂离子电池特种装备的电池大模型及主动安全防护技术研究论证报告</w:t>
      </w:r>
    </w:p>
    <w:p>
      <w:pPr>
        <w:pStyle w:val="Heading1"/>
        <w:keepNext/>
      </w:pPr>
      <w:r>
        <w:t>一、研究背景</w:t>
      </w:r>
    </w:p>
    <w:p>
      <w:pPr>
        <w:spacing w:line="317" w:lineRule="auto" w:after="80"/>
        <w:ind w:firstLine="420"/>
      </w:pPr>
      <w:r>
        <w:rPr>
          <w:rFonts w:ascii="SimSun" w:hAnsi="SimSun" w:eastAsia="SimSun"/>
          <w:b w:val="0"/>
          <w:color w:val="222222"/>
          <w:sz w:val="21"/>
        </w:rPr>
        <w:t>大量具身智能、引信装备、储能装备等特种装备使用锂离子电池，但其电池数据规模小、运行工况差异大，普遍存在健康状态评估维度不足、故障机理难解释、主动安全模型迁移泛化能力弱等问题。实验室和车载场景已积累较丰富的电压、电流、温度、SOC、故障码、维修和容量检测数据，但传统小模型通常依赖特定电芯、车型和工况，难以直接迁移至数据稀缺的特种装备。现有电池健康评价多依赖SOH或单一阈值，不能同时反映容量衰减、电压一致性、内阻增长和故障隐患；故障样本稀缺又限制了监督模型训练。项目拟利用车载和储能大规模无标签数据开展时间序列预训练，以少量目标域样本完成适配，并将多维健康指数、预训练潜在表征、故障规则和维修结果融合为主动安全防护能力，为特种装备电池提供统一、可迁移和可审计的状态评估与风险预警底座。</w:t>
      </w:r>
    </w:p>
    <w:p>
      <w:pPr>
        <w:pStyle w:val="Heading1"/>
        <w:keepNext/>
      </w:pPr>
      <w:r>
        <w:t>二、研究目标</w:t>
      </w:r>
    </w:p>
    <w:p>
      <w:pPr>
        <w:spacing w:line="317" w:lineRule="auto" w:after="80"/>
        <w:ind w:firstLine="420"/>
      </w:pPr>
      <w:r>
        <w:rPr>
          <w:rFonts w:ascii="SimSun" w:hAnsi="SimSun" w:eastAsia="SimSun"/>
          <w:b w:val="0"/>
          <w:color w:val="222222"/>
          <w:sz w:val="21"/>
        </w:rPr>
        <w:t>针对搭载锂离子电池特种装备健康状态难以全面评价、故障风险难以及时识别、模型跨材料体系和跨场景泛化能力不足等需求，开展多维电池健康指数、时间序列预训练模型和故障预警智能体研究，突破多源时序数据治理、健康指标物理语义映射、跨车型与跨化学体系自监督表征、少样本域适配、故障根因分析和证据治理等关键技术，研制电池大模型及主动安全防护软件原理样机，形成四类不少于50项健康指数、覆盖30种以上车型和典型储能场景的预训练模型、故障预警及根因分析智能体，实现高质量电池状态评估、故障预警、维修保养建议和全过程可追溯，为具身智能、引信装备、储能装备等搭载电池设备的主动安全防护提供技术支撑。</w:t>
      </w:r>
    </w:p>
    <w:p>
      <w:pPr>
        <w:pStyle w:val="Heading1"/>
        <w:keepNext/>
      </w:pPr>
      <w:r>
        <w:t>三、研究内容</w:t>
      </w:r>
    </w:p>
    <w:p>
      <w:pPr>
        <w:spacing w:line="317" w:lineRule="auto" w:after="80"/>
      </w:pPr>
      <w:r>
        <w:rPr>
          <w:rFonts w:ascii="SimSun" w:hAnsi="SimSun" w:eastAsia="SimSun"/>
          <w:b w:val="0"/>
          <w:color w:val="222222"/>
          <w:sz w:val="21"/>
        </w:rPr>
        <w:t>1）多源数据治理与冻结测试集：建立车辆、电池包、电芯、储能站点、时间窗口和维修结果的统一标识与数据契约，完成去噪、对齐、工况分段、单位统一、标签分级和数据血缘；按对象与时间隔离训练、验证和测试数据，防止数据泄漏。</w:t>
      </w:r>
    </w:p>
    <w:p>
      <w:pPr>
        <w:spacing w:line="317" w:lineRule="auto" w:after="80"/>
      </w:pPr>
      <w:r>
        <w:rPr>
          <w:rFonts w:ascii="SimSun" w:hAnsi="SimSun" w:eastAsia="SimSun"/>
          <w:b w:val="0"/>
          <w:color w:val="222222"/>
          <w:sz w:val="21"/>
        </w:rPr>
        <w:t>2）四类电池健康指数与综合评分：围绕容量、电压、电阻和故障四类维度，构建不少于50项可计算健康指数，明确对象层级、输入窗口、公式、入口条件、缺失处理、正常范围、证据和版本；研究物理规则与数据驱动相结合的赋权和综合评分。</w:t>
      </w:r>
    </w:p>
    <w:p>
      <w:pPr>
        <w:spacing w:line="317" w:lineRule="auto" w:after="80"/>
      </w:pPr>
      <w:r>
        <w:rPr>
          <w:rFonts w:ascii="SimSun" w:hAnsi="SimSun" w:eastAsia="SimSun"/>
          <w:b w:val="0"/>
          <w:color w:val="222222"/>
          <w:sz w:val="21"/>
        </w:rPr>
        <w:t>3）跨域时间序列预训练模型：采用Transformer等时序编码器，通过掩码重构、未来片段预测、跨周期对比和多任务学习吸收大规模车载与储能无标签数据；研究材料体系编码、车型路由、域适配、参数高效微调、适用域识别和安全回退。</w:t>
      </w:r>
    </w:p>
    <w:p>
      <w:pPr>
        <w:spacing w:line="317" w:lineRule="auto" w:after="80"/>
      </w:pPr>
      <w:r>
        <w:rPr>
          <w:rFonts w:ascii="SimSun" w:hAnsi="SimSun" w:eastAsia="SimSun"/>
          <w:b w:val="0"/>
          <w:color w:val="222222"/>
          <w:sz w:val="21"/>
        </w:rPr>
        <w:t>4）故障预警与根因分析智能体：融合健康指数、潜在时序特征、故障规则、维修标签和相似案例，输出故障概率、风险分级、Top-K根因及证据；通过智能体编排数据检查、模型路由、结果复核、维修保养建议和运维工单草案。</w:t>
      </w:r>
    </w:p>
    <w:p>
      <w:pPr>
        <w:pStyle w:val="Heading1"/>
        <w:keepNext/>
      </w:pPr>
      <w:r>
        <w:t>四、拟突破的关键技术</w:t>
      </w:r>
    </w:p>
    <w:p>
      <w:pPr>
        <w:spacing w:line="317" w:lineRule="auto" w:after="80"/>
      </w:pPr>
      <w:r>
        <w:rPr>
          <w:rFonts w:ascii="SimSun" w:hAnsi="SimSun" w:eastAsia="SimSun"/>
          <w:b w:val="0"/>
          <w:color w:val="222222"/>
          <w:sz w:val="21"/>
        </w:rPr>
        <w:t>1）多维健康指数的物理语义与赋权：将容量衰减、电压曲线与一致性、内阻与极化、故障事件和潜在特征转化为可解释指标，利用客观权重、专家权重和场景权重形成综合健康评分，并保留每项评分的贡献来源。</w:t>
      </w:r>
    </w:p>
    <w:p>
      <w:pPr>
        <w:spacing w:line="317" w:lineRule="auto" w:after="80"/>
      </w:pPr>
      <w:r>
        <w:rPr>
          <w:rFonts w:ascii="SimSun" w:hAnsi="SimSun" w:eastAsia="SimSun"/>
          <w:b w:val="0"/>
          <w:color w:val="222222"/>
          <w:sz w:val="21"/>
        </w:rPr>
        <w:t>2）跨材料体系与跨场景时序预训练：以海量无标签序列学习电池正常演化和异常偏离的通用表示，通过材料体系、车型和场景标识、域适配及少样本微调，使模型从车载数据迁移到储能和特种装备场景。</w:t>
      </w:r>
    </w:p>
    <w:p>
      <w:pPr>
        <w:spacing w:line="317" w:lineRule="auto" w:after="80"/>
      </w:pPr>
      <w:r>
        <w:rPr>
          <w:rFonts w:ascii="SimSun" w:hAnsi="SimSun" w:eastAsia="SimSun"/>
          <w:b w:val="0"/>
          <w:color w:val="222222"/>
          <w:sz w:val="21"/>
        </w:rPr>
        <w:t>3）模型路由、适用域与可信回退：根据材料体系、车型、采样频率、数据窗口和质量状态选择预训练模型、小模型、规则或物理基线；低置信或适用域外样本进入人工复核，避免长尾场景静默失败。</w:t>
      </w:r>
    </w:p>
    <w:p>
      <w:pPr>
        <w:spacing w:line="317" w:lineRule="auto" w:after="80"/>
      </w:pPr>
      <w:r>
        <w:rPr>
          <w:rFonts w:ascii="SimSun" w:hAnsi="SimSun" w:eastAsia="SimSun"/>
          <w:b w:val="0"/>
          <w:color w:val="222222"/>
          <w:sz w:val="21"/>
        </w:rPr>
        <w:t>4）多模型融合的故障预警与根因分析：联合健康指数、Transformer潜在特征、异常检测、故障树、相似案例和维修反馈，形成风险评分与Top-K根因；使用维修或复检确认结果作为最终验收标签。</w:t>
      </w:r>
    </w:p>
    <w:p>
      <w:pPr>
        <w:pStyle w:val="Heading1"/>
        <w:keepNext/>
      </w:pPr>
      <w:r>
        <w:t>五、技术指标</w:t>
      </w:r>
    </w:p>
    <w:tbl>
      <w:tblPr>
        <w:tblW w:type="auto" w:w="0"/>
        <w:jc w:val="center"/>
        <w:tblLayout w:type="fixed"/>
        <w:tblLook w:firstColumn="1" w:firstRow="1" w:lastColumn="0" w:lastRow="0" w:noHBand="0" w:noVBand="1" w:val="04A0"/>
        <w:tblBorders>
          <w:top w:val="single" w:sz="6" w:color="666666"/>
          <w:left w:val="single" w:sz="6" w:color="666666"/>
          <w:bottom w:val="single" w:sz="6" w:color="666666"/>
          <w:right w:val="single" w:sz="6" w:color="666666"/>
          <w:insideH w:val="single" w:sz="6" w:color="666666"/>
          <w:insideV w:val="single" w:sz="6" w:color="666666"/>
        </w:tblBorders>
      </w:tblPr>
      <w:tblGrid>
        <w:gridCol w:w="2409"/>
        <w:gridCol w:w="2409"/>
        <w:gridCol w:w="2409"/>
        <w:gridCol w:w="2409"/>
      </w:tblGrid>
      <w:tr>
        <w:tc>
          <w:tcPr>
            <w:tcW w:type="dxa" w:w="567"/>
            <w:vAlign w:val="center"/>
            <w:shd w:fill="17365D"/>
          </w:tcPr>
          <w:p>
            <w:pPr>
              <w:spacing w:after="0" w:line="254" w:lineRule="auto"/>
              <w:jc w:val="center"/>
            </w:pPr>
            <w:r/>
            <w:r>
              <w:rPr>
                <w:rFonts w:ascii="Microsoft YaHei" w:hAnsi="Microsoft YaHei" w:eastAsia="Microsoft YaHei"/>
                <w:b/>
                <w:color w:val="FFFFFF"/>
                <w:sz w:val="17"/>
              </w:rPr>
              <w:t>序号</w:t>
            </w:r>
          </w:p>
        </w:tc>
        <w:tc>
          <w:tcPr>
            <w:tcW w:type="dxa" w:w="1814"/>
            <w:vAlign w:val="center"/>
            <w:shd w:fill="17365D"/>
          </w:tcPr>
          <w:p>
            <w:pPr>
              <w:spacing w:after="0" w:line="254" w:lineRule="auto"/>
              <w:jc w:val="center"/>
            </w:pPr>
            <w:r/>
            <w:r>
              <w:rPr>
                <w:rFonts w:ascii="Microsoft YaHei" w:hAnsi="Microsoft YaHei" w:eastAsia="Microsoft YaHei"/>
                <w:b/>
                <w:color w:val="FFFFFF"/>
                <w:sz w:val="17"/>
              </w:rPr>
              <w:t>指标</w:t>
            </w:r>
          </w:p>
        </w:tc>
        <w:tc>
          <w:tcPr>
            <w:tcW w:type="dxa" w:w="4535"/>
            <w:vAlign w:val="center"/>
            <w:shd w:fill="17365D"/>
          </w:tcPr>
          <w:p>
            <w:pPr>
              <w:spacing w:after="0" w:line="254" w:lineRule="auto"/>
              <w:jc w:val="center"/>
            </w:pPr>
            <w:r/>
            <w:r>
              <w:rPr>
                <w:rFonts w:ascii="Microsoft YaHei" w:hAnsi="Microsoft YaHei" w:eastAsia="Microsoft YaHei"/>
                <w:b/>
                <w:color w:val="FFFFFF"/>
                <w:sz w:val="17"/>
              </w:rPr>
              <w:t>考核要求</w:t>
            </w:r>
          </w:p>
        </w:tc>
        <w:tc>
          <w:tcPr>
            <w:tcW w:type="dxa" w:w="2268"/>
            <w:vAlign w:val="center"/>
            <w:shd w:fill="17365D"/>
          </w:tcPr>
          <w:p>
            <w:pPr>
              <w:spacing w:after="0" w:line="254" w:lineRule="auto"/>
              <w:jc w:val="center"/>
            </w:pPr>
            <w:r/>
            <w:r>
              <w:rPr>
                <w:rFonts w:ascii="Microsoft YaHei" w:hAnsi="Microsoft YaHei" w:eastAsia="Microsoft YaHei"/>
                <w:b/>
                <w:color w:val="FFFFFF"/>
                <w:sz w:val="17"/>
              </w:rPr>
              <w:t>对应测试</w:t>
            </w:r>
          </w:p>
        </w:tc>
      </w:tr>
      <w:tr>
        <w:tc>
          <w:tcPr>
            <w:tcW w:type="dxa" w:w="567"/>
            <w:vAlign w:val="center"/>
          </w:tcPr>
          <w:p>
            <w:pPr>
              <w:spacing w:after="0" w:line="254" w:lineRule="auto"/>
              <w:jc w:val="center"/>
            </w:pPr>
            <w:r/>
            <w:r>
              <w:rPr>
                <w:rFonts w:ascii="SimSun" w:hAnsi="SimSun" w:eastAsia="SimSun"/>
                <w:b w:val="0"/>
                <w:color w:val="222222"/>
                <w:sz w:val="16"/>
              </w:rPr>
              <w:t>1</w:t>
            </w:r>
          </w:p>
        </w:tc>
        <w:tc>
          <w:tcPr>
            <w:tcW w:type="dxa" w:w="1814"/>
            <w:vAlign w:val="center"/>
          </w:tcPr>
          <w:p>
            <w:pPr>
              <w:spacing w:after="0" w:line="254" w:lineRule="auto"/>
              <w:jc w:val="left"/>
            </w:pPr>
            <w:r/>
            <w:r>
              <w:rPr>
                <w:rFonts w:ascii="SimSun" w:hAnsi="SimSun" w:eastAsia="SimSun"/>
                <w:b w:val="0"/>
                <w:color w:val="222222"/>
                <w:sz w:val="16"/>
              </w:rPr>
              <w:t>多维健康指数与看板</w:t>
            </w:r>
          </w:p>
        </w:tc>
        <w:tc>
          <w:tcPr>
            <w:tcW w:type="dxa" w:w="4535"/>
            <w:vAlign w:val="center"/>
          </w:tcPr>
          <w:p>
            <w:pPr>
              <w:spacing w:after="0" w:line="254" w:lineRule="auto"/>
              <w:jc w:val="left"/>
            </w:pPr>
            <w:r/>
            <w:r>
              <w:rPr>
                <w:rFonts w:ascii="SimSun" w:hAnsi="SimSun" w:eastAsia="SimSun"/>
                <w:b w:val="0"/>
                <w:color w:val="222222"/>
                <w:sz w:val="16"/>
              </w:rPr>
              <w:t>形成容量型、电压型、电阻型、故障型四类健康指数及运维看板，健康指数数量≥50项；全部指标具备定义、计算逻辑、入口条件、数据质量状态、证据来源和版本。</w:t>
            </w:r>
          </w:p>
        </w:tc>
        <w:tc>
          <w:tcPr>
            <w:tcW w:type="dxa" w:w="2268"/>
            <w:vAlign w:val="center"/>
          </w:tcPr>
          <w:p>
            <w:pPr>
              <w:spacing w:after="0" w:line="254" w:lineRule="auto"/>
              <w:jc w:val="left"/>
            </w:pPr>
            <w:r/>
            <w:r>
              <w:rPr>
                <w:rFonts w:ascii="SimSun" w:hAnsi="SimSun" w:eastAsia="SimSun"/>
                <w:b w:val="0"/>
                <w:color w:val="222222"/>
                <w:sz w:val="16"/>
              </w:rPr>
              <w:t>T-01：健康指数与运维看板测试</w:t>
            </w:r>
          </w:p>
        </w:tc>
      </w:tr>
      <w:tr>
        <w:tc>
          <w:tcPr>
            <w:tcW w:type="dxa" w:w="567"/>
            <w:vAlign w:val="center"/>
            <w:shd w:fill="F8F9FA"/>
          </w:tcPr>
          <w:p>
            <w:pPr>
              <w:spacing w:after="0" w:line="254" w:lineRule="auto"/>
              <w:jc w:val="center"/>
            </w:pPr>
            <w:r/>
            <w:r>
              <w:rPr>
                <w:rFonts w:ascii="SimSun" w:hAnsi="SimSun" w:eastAsia="SimSun"/>
                <w:b w:val="0"/>
                <w:color w:val="222222"/>
                <w:sz w:val="16"/>
              </w:rPr>
              <w:t>2</w:t>
            </w:r>
          </w:p>
        </w:tc>
        <w:tc>
          <w:tcPr>
            <w:tcW w:type="dxa" w:w="1814"/>
            <w:vAlign w:val="center"/>
            <w:shd w:fill="F8F9FA"/>
          </w:tcPr>
          <w:p>
            <w:pPr>
              <w:spacing w:after="0" w:line="254" w:lineRule="auto"/>
              <w:jc w:val="left"/>
            </w:pPr>
            <w:r/>
            <w:r>
              <w:rPr>
                <w:rFonts w:ascii="SimSun" w:hAnsi="SimSun" w:eastAsia="SimSun"/>
                <w:b w:val="0"/>
                <w:color w:val="222222"/>
                <w:sz w:val="16"/>
              </w:rPr>
              <w:t>时间序列预训练与泛化</w:t>
            </w:r>
          </w:p>
        </w:tc>
        <w:tc>
          <w:tcPr>
            <w:tcW w:type="dxa" w:w="4535"/>
            <w:vAlign w:val="center"/>
            <w:shd w:fill="F8F9FA"/>
          </w:tcPr>
          <w:p>
            <w:pPr>
              <w:spacing w:after="0" w:line="254" w:lineRule="auto"/>
              <w:jc w:val="left"/>
            </w:pPr>
            <w:r/>
            <w:r>
              <w:rPr>
                <w:rFonts w:ascii="SimSun" w:hAnsi="SimSun" w:eastAsia="SimSun"/>
                <w:b w:val="0"/>
                <w:color w:val="222222"/>
                <w:sz w:val="16"/>
              </w:rPr>
              <w:t>测试集覆盖三元、磷酸铁锂等材料体系，≥30种中国主流新能源车型，包含充电、换电及典型真实储能场景；95%的场景单元电压还原误差≤30 mV，全部场景单元SOH平均绝对误差≤5个百分点。</w:t>
            </w:r>
          </w:p>
        </w:tc>
        <w:tc>
          <w:tcPr>
            <w:tcW w:type="dxa" w:w="2268"/>
            <w:vAlign w:val="center"/>
            <w:shd w:fill="F8F9FA"/>
          </w:tcPr>
          <w:p>
            <w:pPr>
              <w:spacing w:after="0" w:line="254" w:lineRule="auto"/>
              <w:jc w:val="left"/>
            </w:pPr>
            <w:r/>
            <w:r>
              <w:rPr>
                <w:rFonts w:ascii="SimSun" w:hAnsi="SimSun" w:eastAsia="SimSun"/>
                <w:b w:val="0"/>
                <w:color w:val="222222"/>
                <w:sz w:val="16"/>
              </w:rPr>
              <w:t>T-02：预训练模型与跨域泛化测试</w:t>
            </w:r>
          </w:p>
        </w:tc>
      </w:tr>
      <w:tr>
        <w:tc>
          <w:tcPr>
            <w:tcW w:type="dxa" w:w="567"/>
            <w:vAlign w:val="center"/>
          </w:tcPr>
          <w:p>
            <w:pPr>
              <w:spacing w:after="0" w:line="254" w:lineRule="auto"/>
              <w:jc w:val="center"/>
            </w:pPr>
            <w:r/>
            <w:r>
              <w:rPr>
                <w:rFonts w:ascii="SimSun" w:hAnsi="SimSun" w:eastAsia="SimSun"/>
                <w:b w:val="0"/>
                <w:color w:val="222222"/>
                <w:sz w:val="16"/>
              </w:rPr>
              <w:t>3</w:t>
            </w:r>
          </w:p>
        </w:tc>
        <w:tc>
          <w:tcPr>
            <w:tcW w:type="dxa" w:w="1814"/>
            <w:vAlign w:val="center"/>
          </w:tcPr>
          <w:p>
            <w:pPr>
              <w:spacing w:after="0" w:line="254" w:lineRule="auto"/>
              <w:jc w:val="left"/>
            </w:pPr>
            <w:r/>
            <w:r>
              <w:rPr>
                <w:rFonts w:ascii="SimSun" w:hAnsi="SimSun" w:eastAsia="SimSun"/>
                <w:b w:val="0"/>
                <w:color w:val="222222"/>
                <w:sz w:val="16"/>
              </w:rPr>
              <w:t>故障预警与智能体</w:t>
            </w:r>
          </w:p>
        </w:tc>
        <w:tc>
          <w:tcPr>
            <w:tcW w:type="dxa" w:w="4535"/>
            <w:vAlign w:val="center"/>
          </w:tcPr>
          <w:p>
            <w:pPr>
              <w:spacing w:after="0" w:line="254" w:lineRule="auto"/>
              <w:jc w:val="left"/>
            </w:pPr>
            <w:r/>
            <w:r>
              <w:rPr>
                <w:rFonts w:ascii="SimSun" w:hAnsi="SimSun" w:eastAsia="SimSun"/>
                <w:b w:val="0"/>
                <w:color w:val="222222"/>
                <w:sz w:val="16"/>
              </w:rPr>
              <w:t>在覆盖≥30种车型及典型真实储能场景的冻结测试集上，对维修或复检确认的故障电池，故障查准率≥85%；智能体输出Top-K根因、证据摘要和维修保养建议。</w:t>
            </w:r>
          </w:p>
        </w:tc>
        <w:tc>
          <w:tcPr>
            <w:tcW w:type="dxa" w:w="2268"/>
            <w:vAlign w:val="center"/>
          </w:tcPr>
          <w:p>
            <w:pPr>
              <w:spacing w:after="0" w:line="254" w:lineRule="auto"/>
              <w:jc w:val="left"/>
            </w:pPr>
            <w:r/>
            <w:r>
              <w:rPr>
                <w:rFonts w:ascii="SimSun" w:hAnsi="SimSun" w:eastAsia="SimSun"/>
                <w:b w:val="0"/>
                <w:color w:val="222222"/>
                <w:sz w:val="16"/>
              </w:rPr>
              <w:t>T-03：故障预警与智能体测试</w:t>
            </w:r>
          </w:p>
        </w:tc>
      </w:tr>
    </w:tbl>
    <w:p>
      <w:pPr>
        <w:pStyle w:val="Heading1"/>
        <w:keepNext/>
      </w:pPr>
      <w:r>
        <w:t>六、预期成效</w:t>
      </w:r>
    </w:p>
    <w:p>
      <w:pPr>
        <w:spacing w:line="317" w:lineRule="auto" w:after="80"/>
        <w:ind w:firstLine="420"/>
      </w:pPr>
      <w:r>
        <w:rPr>
          <w:rFonts w:ascii="SimSun" w:hAnsi="SimSun" w:eastAsia="SimSun"/>
          <w:b w:val="0"/>
          <w:color w:val="222222"/>
          <w:sz w:val="21"/>
        </w:rPr>
        <w:t>形成覆盖容量、电压、电阻和故障四维度的电池健康评价方法，建立跨材料体系、跨30种以上车型和车载—储能场景的时间序列预训练模型，提升数据稀缺装备场景的模型迁移能力；形成故障预警、根因分析和维修建议智能体，使电池状态评价由单一指标转向全维度、可解释、可追溯的主动安全防护，为具身智能、引信装备和储能装备提供统一技术底座。</w:t>
      </w:r>
    </w:p>
    <w:p>
      <w:pPr>
        <w:pStyle w:val="Heading1"/>
        <w:keepNext/>
      </w:pPr>
      <w:r>
        <w:t>七、成果形式及验证考虑</w:t>
      </w:r>
    </w:p>
    <w:tbl>
      <w:tblPr>
        <w:tblW w:type="auto" w:w="0"/>
        <w:jc w:val="center"/>
        <w:tblLayout w:type="fixed"/>
        <w:tblLook w:firstColumn="1" w:firstRow="1" w:lastColumn="0" w:lastRow="0" w:noHBand="0" w:noVBand="1" w:val="04A0"/>
        <w:tblBorders>
          <w:top w:val="single" w:sz="6" w:color="666666"/>
          <w:left w:val="single" w:sz="6" w:color="666666"/>
          <w:bottom w:val="single" w:sz="6" w:color="666666"/>
          <w:right w:val="single" w:sz="6" w:color="666666"/>
          <w:insideH w:val="single" w:sz="6" w:color="666666"/>
          <w:insideV w:val="single" w:sz="6" w:color="666666"/>
        </w:tblBorders>
      </w:tblPr>
      <w:tblGrid>
        <w:gridCol w:w="3213"/>
        <w:gridCol w:w="3213"/>
        <w:gridCol w:w="3213"/>
      </w:tblGrid>
      <w:tr>
        <w:tc>
          <w:tcPr>
            <w:tcW w:type="dxa" w:w="2268"/>
            <w:vAlign w:val="center"/>
            <w:shd w:fill="17365D"/>
          </w:tcPr>
          <w:p>
            <w:pPr>
              <w:spacing w:after="0" w:line="254" w:lineRule="auto"/>
              <w:jc w:val="center"/>
            </w:pPr>
            <w:r/>
            <w:r>
              <w:rPr>
                <w:rFonts w:ascii="Microsoft YaHei" w:hAnsi="Microsoft YaHei" w:eastAsia="Microsoft YaHei"/>
                <w:b/>
                <w:color w:val="FFFFFF"/>
                <w:sz w:val="17"/>
              </w:rPr>
              <w:t>成果形式</w:t>
            </w:r>
          </w:p>
        </w:tc>
        <w:tc>
          <w:tcPr>
            <w:tcW w:type="dxa" w:w="4252"/>
            <w:vAlign w:val="center"/>
            <w:shd w:fill="17365D"/>
          </w:tcPr>
          <w:p>
            <w:pPr>
              <w:spacing w:after="0" w:line="254" w:lineRule="auto"/>
              <w:jc w:val="center"/>
            </w:pPr>
            <w:r/>
            <w:r>
              <w:rPr>
                <w:rFonts w:ascii="Microsoft YaHei" w:hAnsi="Microsoft YaHei" w:eastAsia="Microsoft YaHei"/>
                <w:b/>
                <w:color w:val="FFFFFF"/>
                <w:sz w:val="17"/>
              </w:rPr>
              <w:t>主要内容</w:t>
            </w:r>
          </w:p>
        </w:tc>
        <w:tc>
          <w:tcPr>
            <w:tcW w:type="dxa" w:w="2665"/>
            <w:vAlign w:val="center"/>
            <w:shd w:fill="17365D"/>
          </w:tcPr>
          <w:p>
            <w:pPr>
              <w:spacing w:after="0" w:line="254" w:lineRule="auto"/>
              <w:jc w:val="center"/>
            </w:pPr>
            <w:r/>
            <w:r>
              <w:rPr>
                <w:rFonts w:ascii="Microsoft YaHei" w:hAnsi="Microsoft YaHei" w:eastAsia="Microsoft YaHei"/>
                <w:b/>
                <w:color w:val="FFFFFF"/>
                <w:sz w:val="17"/>
              </w:rPr>
              <w:t>验证方式</w:t>
            </w:r>
          </w:p>
        </w:tc>
      </w:tr>
      <w:tr>
        <w:tc>
          <w:tcPr>
            <w:tcW w:type="dxa" w:w="2268"/>
            <w:vAlign w:val="center"/>
          </w:tcPr>
          <w:p>
            <w:pPr>
              <w:spacing w:after="0" w:line="254" w:lineRule="auto"/>
              <w:jc w:val="center"/>
            </w:pPr>
            <w:r/>
            <w:r>
              <w:rPr>
                <w:rFonts w:ascii="SimSun" w:hAnsi="SimSun" w:eastAsia="SimSun"/>
                <w:b w:val="0"/>
                <w:color w:val="222222"/>
                <w:sz w:val="16"/>
              </w:rPr>
              <w:t>电池大模型及主动安全防护软件原理样机</w:t>
            </w:r>
          </w:p>
        </w:tc>
        <w:tc>
          <w:tcPr>
            <w:tcW w:type="dxa" w:w="4252"/>
            <w:vAlign w:val="center"/>
          </w:tcPr>
          <w:p>
            <w:pPr>
              <w:spacing w:after="0" w:line="254" w:lineRule="auto"/>
              <w:jc w:val="left"/>
            </w:pPr>
            <w:r/>
            <w:r>
              <w:rPr>
                <w:rFonts w:ascii="SimSun" w:hAnsi="SimSun" w:eastAsia="SimSun"/>
                <w:b w:val="0"/>
                <w:color w:val="222222"/>
                <w:sz w:val="16"/>
              </w:rPr>
              <w:t>包含健康指数与看板、预训练模型与迁移、故障预警与智能体、模型评测与证据治理等功能。</w:t>
            </w:r>
          </w:p>
        </w:tc>
        <w:tc>
          <w:tcPr>
            <w:tcW w:type="dxa" w:w="2665"/>
            <w:vAlign w:val="center"/>
          </w:tcPr>
          <w:p>
            <w:pPr>
              <w:spacing w:after="0" w:line="254" w:lineRule="auto"/>
              <w:jc w:val="left"/>
            </w:pPr>
            <w:r/>
            <w:r>
              <w:rPr>
                <w:rFonts w:ascii="SimSun" w:hAnsi="SimSun" w:eastAsia="SimSun"/>
                <w:b w:val="0"/>
                <w:color w:val="222222"/>
                <w:sz w:val="16"/>
              </w:rPr>
              <w:t>软件功能演示、安装包、用户手册和测试报告。</w:t>
            </w:r>
          </w:p>
        </w:tc>
      </w:tr>
      <w:tr>
        <w:tc>
          <w:tcPr>
            <w:tcW w:type="dxa" w:w="2268"/>
            <w:vAlign w:val="center"/>
            <w:shd w:fill="F8F9FA"/>
          </w:tcPr>
          <w:p>
            <w:pPr>
              <w:spacing w:after="0" w:line="254" w:lineRule="auto"/>
              <w:jc w:val="center"/>
            </w:pPr>
            <w:r/>
            <w:r>
              <w:rPr>
                <w:rFonts w:ascii="SimSun" w:hAnsi="SimSun" w:eastAsia="SimSun"/>
                <w:b w:val="0"/>
                <w:color w:val="222222"/>
                <w:sz w:val="16"/>
              </w:rPr>
              <w:t>多维电池健康指数体系</w:t>
            </w:r>
          </w:p>
        </w:tc>
        <w:tc>
          <w:tcPr>
            <w:tcW w:type="dxa" w:w="4252"/>
            <w:vAlign w:val="center"/>
            <w:shd w:fill="F8F9FA"/>
          </w:tcPr>
          <w:p>
            <w:pPr>
              <w:spacing w:after="0" w:line="254" w:lineRule="auto"/>
              <w:jc w:val="left"/>
            </w:pPr>
            <w:r/>
            <w:r>
              <w:rPr>
                <w:rFonts w:ascii="SimSun" w:hAnsi="SimSun" w:eastAsia="SimSun"/>
                <w:b w:val="0"/>
                <w:color w:val="222222"/>
                <w:sz w:val="16"/>
              </w:rPr>
              <w:t>容量型、电压型、电阻型、故障型四类不少于50项健康指数及综合评分方法。</w:t>
            </w:r>
          </w:p>
        </w:tc>
        <w:tc>
          <w:tcPr>
            <w:tcW w:type="dxa" w:w="2665"/>
            <w:vAlign w:val="center"/>
            <w:shd w:fill="F8F9FA"/>
          </w:tcPr>
          <w:p>
            <w:pPr>
              <w:spacing w:after="0" w:line="254" w:lineRule="auto"/>
              <w:jc w:val="left"/>
            </w:pPr>
            <w:r/>
            <w:r>
              <w:rPr>
                <w:rFonts w:ascii="SimSun" w:hAnsi="SimSun" w:eastAsia="SimSun"/>
                <w:b w:val="0"/>
                <w:color w:val="222222"/>
                <w:sz w:val="16"/>
              </w:rPr>
              <w:t>指标字典、算法说明、示例数据和运维看板测试。</w:t>
            </w:r>
          </w:p>
        </w:tc>
      </w:tr>
      <w:tr>
        <w:tc>
          <w:tcPr>
            <w:tcW w:type="dxa" w:w="2268"/>
            <w:vAlign w:val="center"/>
          </w:tcPr>
          <w:p>
            <w:pPr>
              <w:spacing w:after="0" w:line="254" w:lineRule="auto"/>
              <w:jc w:val="center"/>
            </w:pPr>
            <w:r/>
            <w:r>
              <w:rPr>
                <w:rFonts w:ascii="SimSun" w:hAnsi="SimSun" w:eastAsia="SimSun"/>
                <w:b w:val="0"/>
                <w:color w:val="222222"/>
                <w:sz w:val="16"/>
              </w:rPr>
              <w:t>时间序列预训练模型及迁移工具包</w:t>
            </w:r>
          </w:p>
        </w:tc>
        <w:tc>
          <w:tcPr>
            <w:tcW w:type="dxa" w:w="4252"/>
            <w:vAlign w:val="center"/>
          </w:tcPr>
          <w:p>
            <w:pPr>
              <w:spacing w:after="0" w:line="254" w:lineRule="auto"/>
              <w:jc w:val="left"/>
            </w:pPr>
            <w:r/>
            <w:r>
              <w:rPr>
                <w:rFonts w:ascii="SimSun" w:hAnsi="SimSun" w:eastAsia="SimSun"/>
                <w:b w:val="0"/>
                <w:color w:val="222222"/>
                <w:sz w:val="16"/>
              </w:rPr>
              <w:t>覆盖三元、磷酸铁锂、30种以上车型及车载—储能场景的预训练模型、适配器、模型卡和评测脚本。</w:t>
            </w:r>
          </w:p>
        </w:tc>
        <w:tc>
          <w:tcPr>
            <w:tcW w:type="dxa" w:w="2665"/>
            <w:vAlign w:val="center"/>
          </w:tcPr>
          <w:p>
            <w:pPr>
              <w:spacing w:after="0" w:line="254" w:lineRule="auto"/>
              <w:jc w:val="left"/>
            </w:pPr>
            <w:r/>
            <w:r>
              <w:rPr>
                <w:rFonts w:ascii="SimSun" w:hAnsi="SimSun" w:eastAsia="SimSun"/>
                <w:b w:val="0"/>
                <w:color w:val="222222"/>
                <w:sz w:val="16"/>
              </w:rPr>
              <w:t>冻结测试集、模型复测和跨域评测报告。</w:t>
            </w:r>
          </w:p>
        </w:tc>
      </w:tr>
      <w:tr>
        <w:tc>
          <w:tcPr>
            <w:tcW w:type="dxa" w:w="2268"/>
            <w:vAlign w:val="center"/>
            <w:shd w:fill="F8F9FA"/>
          </w:tcPr>
          <w:p>
            <w:pPr>
              <w:spacing w:after="0" w:line="254" w:lineRule="auto"/>
              <w:jc w:val="center"/>
            </w:pPr>
            <w:r/>
            <w:r>
              <w:rPr>
                <w:rFonts w:ascii="SimSun" w:hAnsi="SimSun" w:eastAsia="SimSun"/>
                <w:b w:val="0"/>
                <w:color w:val="222222"/>
                <w:sz w:val="16"/>
              </w:rPr>
              <w:t>故障预警与根因分析智能体</w:t>
            </w:r>
          </w:p>
        </w:tc>
        <w:tc>
          <w:tcPr>
            <w:tcW w:type="dxa" w:w="4252"/>
            <w:vAlign w:val="center"/>
            <w:shd w:fill="F8F9FA"/>
          </w:tcPr>
          <w:p>
            <w:pPr>
              <w:spacing w:after="0" w:line="254" w:lineRule="auto"/>
              <w:jc w:val="left"/>
            </w:pPr>
            <w:r/>
            <w:r>
              <w:rPr>
                <w:rFonts w:ascii="SimSun" w:hAnsi="SimSun" w:eastAsia="SimSun"/>
                <w:b w:val="0"/>
                <w:color w:val="222222"/>
                <w:sz w:val="16"/>
              </w:rPr>
              <w:t>风险识别、Top-K根因、证据摘要、维修保养建议和人工复核工作流。</w:t>
            </w:r>
          </w:p>
        </w:tc>
        <w:tc>
          <w:tcPr>
            <w:tcW w:type="dxa" w:w="2665"/>
            <w:vAlign w:val="center"/>
            <w:shd w:fill="F8F9FA"/>
          </w:tcPr>
          <w:p>
            <w:pPr>
              <w:spacing w:after="0" w:line="254" w:lineRule="auto"/>
              <w:jc w:val="left"/>
            </w:pPr>
            <w:r/>
            <w:r>
              <w:rPr>
                <w:rFonts w:ascii="SimSun" w:hAnsi="SimSun" w:eastAsia="SimSun"/>
                <w:b w:val="0"/>
                <w:color w:val="222222"/>
                <w:sz w:val="16"/>
              </w:rPr>
              <w:t>冻结故障测试集、维修真值核验和端到端任务回放。</w:t>
            </w:r>
          </w:p>
        </w:tc>
      </w:tr>
      <w:tr>
        <w:tc>
          <w:tcPr>
            <w:tcW w:type="dxa" w:w="2268"/>
            <w:vAlign w:val="center"/>
          </w:tcPr>
          <w:p>
            <w:pPr>
              <w:spacing w:after="0" w:line="254" w:lineRule="auto"/>
              <w:jc w:val="center"/>
            </w:pPr>
            <w:r/>
            <w:r>
              <w:rPr>
                <w:rFonts w:ascii="SimSun" w:hAnsi="SimSun" w:eastAsia="SimSun"/>
                <w:b w:val="0"/>
                <w:color w:val="222222"/>
                <w:sz w:val="16"/>
              </w:rPr>
              <w:t>测试与研究报告</w:t>
            </w:r>
          </w:p>
        </w:tc>
        <w:tc>
          <w:tcPr>
            <w:tcW w:type="dxa" w:w="4252"/>
            <w:vAlign w:val="center"/>
          </w:tcPr>
          <w:p>
            <w:pPr>
              <w:spacing w:after="0" w:line="254" w:lineRule="auto"/>
              <w:jc w:val="left"/>
            </w:pPr>
            <w:r/>
            <w:r>
              <w:rPr>
                <w:rFonts w:ascii="SimSun" w:hAnsi="SimSun" w:eastAsia="SimSun"/>
                <w:b w:val="0"/>
                <w:color w:val="222222"/>
                <w:sz w:val="16"/>
              </w:rPr>
              <w:t>经评审冻结的测试大纲、测试报告、技术研究报告、数据规范和部署运维规范。</w:t>
            </w:r>
          </w:p>
        </w:tc>
        <w:tc>
          <w:tcPr>
            <w:tcW w:type="dxa" w:w="2665"/>
            <w:vAlign w:val="center"/>
          </w:tcPr>
          <w:p>
            <w:pPr>
              <w:spacing w:after="0" w:line="254" w:lineRule="auto"/>
              <w:jc w:val="left"/>
            </w:pPr>
            <w:r/>
            <w:r>
              <w:rPr>
                <w:rFonts w:ascii="SimSun" w:hAnsi="SimSun" w:eastAsia="SimSun"/>
                <w:b w:val="0"/>
                <w:color w:val="222222"/>
                <w:sz w:val="16"/>
              </w:rPr>
              <w:t>专家评审、第三方或项目组测试。</w:t>
            </w:r>
          </w:p>
        </w:tc>
      </w:tr>
    </w:tbl>
    <w:p>
      <w:pPr>
        <w:pStyle w:val="Heading2"/>
        <w:keepNext/>
      </w:pPr>
      <w:r>
        <w:t>7.1 测试大纲建议</w:t>
      </w:r>
    </w:p>
    <w:tbl>
      <w:tblPr>
        <w:tblW w:type="auto" w:w="0"/>
        <w:jc w:val="center"/>
        <w:tblLayout w:type="fixed"/>
        <w:tblLook w:firstColumn="1" w:firstRow="1" w:lastColumn="0" w:lastRow="0" w:noHBand="0" w:noVBand="1" w:val="04A0"/>
        <w:tblBorders>
          <w:top w:val="single" w:sz="6" w:color="666666"/>
          <w:left w:val="single" w:sz="6" w:color="666666"/>
          <w:bottom w:val="single" w:sz="6" w:color="666666"/>
          <w:right w:val="single" w:sz="6" w:color="666666"/>
          <w:insideH w:val="single" w:sz="6" w:color="666666"/>
          <w:insideV w:val="single" w:sz="6" w:color="666666"/>
        </w:tblBorders>
      </w:tblPr>
      <w:tblGrid>
        <w:gridCol w:w="2409"/>
        <w:gridCol w:w="2409"/>
        <w:gridCol w:w="2409"/>
        <w:gridCol w:w="2409"/>
      </w:tblGrid>
      <w:tr>
        <w:tc>
          <w:tcPr>
            <w:tcW w:type="dxa" w:w="1984"/>
            <w:vAlign w:val="center"/>
            <w:shd w:fill="17365D"/>
          </w:tcPr>
          <w:p>
            <w:pPr>
              <w:spacing w:after="0" w:line="254" w:lineRule="auto"/>
              <w:jc w:val="center"/>
            </w:pPr>
            <w:r/>
            <w:r>
              <w:rPr>
                <w:rFonts w:ascii="Microsoft YaHei" w:hAnsi="Microsoft YaHei" w:eastAsia="Microsoft YaHei"/>
                <w:b/>
                <w:color w:val="FFFFFF"/>
                <w:sz w:val="16"/>
              </w:rPr>
              <w:t>测试项</w:t>
            </w:r>
          </w:p>
        </w:tc>
        <w:tc>
          <w:tcPr>
            <w:tcW w:type="dxa" w:w="2438"/>
            <w:vAlign w:val="center"/>
            <w:shd w:fill="17365D"/>
          </w:tcPr>
          <w:p>
            <w:pPr>
              <w:spacing w:after="0" w:line="254" w:lineRule="auto"/>
              <w:jc w:val="center"/>
            </w:pPr>
            <w:r/>
            <w:r>
              <w:rPr>
                <w:rFonts w:ascii="Microsoft YaHei" w:hAnsi="Microsoft YaHei" w:eastAsia="Microsoft YaHei"/>
                <w:b/>
                <w:color w:val="FFFFFF"/>
                <w:sz w:val="16"/>
              </w:rPr>
              <w:t>测试前置条件</w:t>
            </w:r>
          </w:p>
        </w:tc>
        <w:tc>
          <w:tcPr>
            <w:tcW w:type="dxa" w:w="3118"/>
            <w:vAlign w:val="center"/>
            <w:shd w:fill="17365D"/>
          </w:tcPr>
          <w:p>
            <w:pPr>
              <w:spacing w:after="0" w:line="254" w:lineRule="auto"/>
              <w:jc w:val="center"/>
            </w:pPr>
            <w:r/>
            <w:r>
              <w:rPr>
                <w:rFonts w:ascii="Microsoft YaHei" w:hAnsi="Microsoft YaHei" w:eastAsia="Microsoft YaHei"/>
                <w:b/>
                <w:color w:val="FFFFFF"/>
                <w:sz w:val="16"/>
              </w:rPr>
              <w:t>测试步骤</w:t>
            </w:r>
          </w:p>
        </w:tc>
        <w:tc>
          <w:tcPr>
            <w:tcW w:type="dxa" w:w="1701"/>
            <w:vAlign w:val="center"/>
            <w:shd w:fill="17365D"/>
          </w:tcPr>
          <w:p>
            <w:pPr>
              <w:spacing w:after="0" w:line="254" w:lineRule="auto"/>
              <w:jc w:val="center"/>
            </w:pPr>
            <w:r/>
            <w:r>
              <w:rPr>
                <w:rFonts w:ascii="Microsoft YaHei" w:hAnsi="Microsoft YaHei" w:eastAsia="Microsoft YaHei"/>
                <w:b/>
                <w:color w:val="FFFFFF"/>
                <w:sz w:val="16"/>
              </w:rPr>
              <w:t>通过判据</w:t>
            </w:r>
          </w:p>
        </w:tc>
      </w:tr>
      <w:tr>
        <w:tc>
          <w:tcPr>
            <w:tcW w:type="dxa" w:w="1984"/>
            <w:vAlign w:val="center"/>
          </w:tcPr>
          <w:p>
            <w:pPr>
              <w:spacing w:after="0" w:line="254" w:lineRule="auto"/>
              <w:jc w:val="center"/>
            </w:pPr>
            <w:r/>
            <w:r>
              <w:rPr>
                <w:rFonts w:ascii="SimSun" w:hAnsi="SimSun" w:eastAsia="SimSun"/>
                <w:b w:val="0"/>
                <w:color w:val="222222"/>
                <w:sz w:val="15"/>
              </w:rPr>
              <w:t>T-01 健康指数与看板</w:t>
            </w:r>
          </w:p>
        </w:tc>
        <w:tc>
          <w:tcPr>
            <w:tcW w:type="dxa" w:w="2438"/>
            <w:vAlign w:val="center"/>
          </w:tcPr>
          <w:p>
            <w:pPr>
              <w:spacing w:after="0" w:line="254" w:lineRule="auto"/>
              <w:jc w:val="left"/>
            </w:pPr>
            <w:r/>
            <w:r>
              <w:rPr>
                <w:rFonts w:ascii="SimSun" w:hAnsi="SimSun" w:eastAsia="SimSun"/>
                <w:b w:val="0"/>
                <w:color w:val="222222"/>
                <w:sz w:val="15"/>
              </w:rPr>
              <w:t>冻结指标字典、公式、样例数据和软件版本。</w:t>
            </w:r>
          </w:p>
        </w:tc>
        <w:tc>
          <w:tcPr>
            <w:tcW w:type="dxa" w:w="3118"/>
            <w:vAlign w:val="center"/>
          </w:tcPr>
          <w:p>
            <w:pPr>
              <w:spacing w:after="0" w:line="254" w:lineRule="auto"/>
              <w:jc w:val="left"/>
            </w:pPr>
            <w:r/>
            <w:r>
              <w:rPr>
                <w:rFonts w:ascii="SimSun" w:hAnsi="SimSun" w:eastAsia="SimSun"/>
                <w:b w:val="0"/>
                <w:color w:val="222222"/>
                <w:sz w:val="15"/>
              </w:rPr>
              <w:t>逐项检查四类指标、缺失处理、评分贡献和看板显示。</w:t>
            </w:r>
          </w:p>
        </w:tc>
        <w:tc>
          <w:tcPr>
            <w:tcW w:type="dxa" w:w="1701"/>
            <w:vAlign w:val="center"/>
          </w:tcPr>
          <w:p>
            <w:pPr>
              <w:spacing w:after="0" w:line="254" w:lineRule="auto"/>
              <w:jc w:val="left"/>
            </w:pPr>
            <w:r/>
            <w:r>
              <w:rPr>
                <w:rFonts w:ascii="SimSun" w:hAnsi="SimSun" w:eastAsia="SimSun"/>
                <w:b w:val="0"/>
                <w:color w:val="222222"/>
                <w:sz w:val="15"/>
              </w:rPr>
              <w:t>健康指数≥50项，分类正确，公式可复算，综合评分可追溯。</w:t>
            </w:r>
          </w:p>
        </w:tc>
      </w:tr>
      <w:tr>
        <w:tc>
          <w:tcPr>
            <w:tcW w:type="dxa" w:w="1984"/>
            <w:vAlign w:val="center"/>
            <w:shd w:fill="F8F9FA"/>
          </w:tcPr>
          <w:p>
            <w:pPr>
              <w:spacing w:after="0" w:line="254" w:lineRule="auto"/>
              <w:jc w:val="center"/>
            </w:pPr>
            <w:r/>
            <w:r>
              <w:rPr>
                <w:rFonts w:ascii="SimSun" w:hAnsi="SimSun" w:eastAsia="SimSun"/>
                <w:b w:val="0"/>
                <w:color w:val="222222"/>
                <w:sz w:val="15"/>
              </w:rPr>
              <w:t>T-02 预训练模型与泛化</w:t>
            </w:r>
          </w:p>
        </w:tc>
        <w:tc>
          <w:tcPr>
            <w:tcW w:type="dxa" w:w="2438"/>
            <w:vAlign w:val="center"/>
            <w:shd w:fill="F8F9FA"/>
          </w:tcPr>
          <w:p>
            <w:pPr>
              <w:spacing w:after="0" w:line="254" w:lineRule="auto"/>
              <w:jc w:val="left"/>
            </w:pPr>
            <w:r/>
            <w:r>
              <w:rPr>
                <w:rFonts w:ascii="SimSun" w:hAnsi="SimSun" w:eastAsia="SimSun"/>
                <w:b w:val="0"/>
                <w:color w:val="222222"/>
                <w:sz w:val="15"/>
              </w:rPr>
              <w:t>冻结数据授权、车型/站点清单、材料体系、训练/验证/测试划分、真值和评价脚本。</w:t>
            </w:r>
          </w:p>
        </w:tc>
        <w:tc>
          <w:tcPr>
            <w:tcW w:type="dxa" w:w="3118"/>
            <w:vAlign w:val="center"/>
            <w:shd w:fill="F8F9FA"/>
          </w:tcPr>
          <w:p>
            <w:pPr>
              <w:spacing w:after="0" w:line="254" w:lineRule="auto"/>
              <w:jc w:val="left"/>
            </w:pPr>
            <w:r/>
            <w:r>
              <w:rPr>
                <w:rFonts w:ascii="SimSun" w:hAnsi="SimSun" w:eastAsia="SimSun"/>
                <w:b w:val="0"/>
                <w:color w:val="222222"/>
                <w:sz w:val="15"/>
              </w:rPr>
              <w:t>按场景单元离线运行，计算电压还原误差和SOH误差，并检查对象与时间隔离。</w:t>
            </w:r>
          </w:p>
        </w:tc>
        <w:tc>
          <w:tcPr>
            <w:tcW w:type="dxa" w:w="1701"/>
            <w:vAlign w:val="center"/>
            <w:shd w:fill="F8F9FA"/>
          </w:tcPr>
          <w:p>
            <w:pPr>
              <w:spacing w:after="0" w:line="254" w:lineRule="auto"/>
              <w:jc w:val="left"/>
            </w:pPr>
            <w:r/>
            <w:r>
              <w:rPr>
                <w:rFonts w:ascii="SimSun" w:hAnsi="SimSun" w:eastAsia="SimSun"/>
                <w:b w:val="0"/>
                <w:color w:val="222222"/>
                <w:sz w:val="15"/>
              </w:rPr>
              <w:t>95%场景单元电压误差≤30 mV；全部场景单元SOH MAE≤5个百分点；无测试泄漏。</w:t>
            </w:r>
          </w:p>
        </w:tc>
      </w:tr>
      <w:tr>
        <w:tc>
          <w:tcPr>
            <w:tcW w:type="dxa" w:w="1984"/>
            <w:vAlign w:val="center"/>
          </w:tcPr>
          <w:p>
            <w:pPr>
              <w:spacing w:after="0" w:line="254" w:lineRule="auto"/>
              <w:jc w:val="center"/>
            </w:pPr>
            <w:r/>
            <w:r>
              <w:rPr>
                <w:rFonts w:ascii="SimSun" w:hAnsi="SimSun" w:eastAsia="SimSun"/>
                <w:b w:val="0"/>
                <w:color w:val="222222"/>
                <w:sz w:val="15"/>
              </w:rPr>
              <w:t>T-03 故障预警与智能体</w:t>
            </w:r>
          </w:p>
        </w:tc>
        <w:tc>
          <w:tcPr>
            <w:tcW w:type="dxa" w:w="2438"/>
            <w:vAlign w:val="center"/>
          </w:tcPr>
          <w:p>
            <w:pPr>
              <w:spacing w:after="0" w:line="254" w:lineRule="auto"/>
              <w:jc w:val="left"/>
            </w:pPr>
            <w:r/>
            <w:r>
              <w:rPr>
                <w:rFonts w:ascii="SimSun" w:hAnsi="SimSun" w:eastAsia="SimSun"/>
                <w:b w:val="0"/>
                <w:color w:val="222222"/>
                <w:sz w:val="15"/>
              </w:rPr>
              <w:t>冻结维修或复检确认的正负样本、≥30车型和典型储能场景、报告模板。</w:t>
            </w:r>
          </w:p>
        </w:tc>
        <w:tc>
          <w:tcPr>
            <w:tcW w:type="dxa" w:w="3118"/>
            <w:vAlign w:val="center"/>
          </w:tcPr>
          <w:p>
            <w:pPr>
              <w:spacing w:after="0" w:line="254" w:lineRule="auto"/>
              <w:jc w:val="left"/>
            </w:pPr>
            <w:r/>
            <w:r>
              <w:rPr>
                <w:rFonts w:ascii="SimSun" w:hAnsi="SimSun" w:eastAsia="SimSun"/>
                <w:b w:val="0"/>
                <w:color w:val="222222"/>
                <w:sz w:val="15"/>
              </w:rPr>
              <w:t>运行风险识别、根因分析和建议生成，计算查准率并抽查证据。</w:t>
            </w:r>
          </w:p>
        </w:tc>
        <w:tc>
          <w:tcPr>
            <w:tcW w:type="dxa" w:w="1701"/>
            <w:vAlign w:val="center"/>
          </w:tcPr>
          <w:p>
            <w:pPr>
              <w:spacing w:after="0" w:line="254" w:lineRule="auto"/>
              <w:jc w:val="left"/>
            </w:pPr>
            <w:r/>
            <w:r>
              <w:rPr>
                <w:rFonts w:ascii="SimSun" w:hAnsi="SimSun" w:eastAsia="SimSun"/>
                <w:b w:val="0"/>
                <w:color w:val="222222"/>
                <w:sz w:val="15"/>
              </w:rPr>
              <w:t>故障查准率≥85%；输出Top-K根因、证据和维修保养建议；低置信进入人工复核。</w:t>
            </w:r>
          </w:p>
        </w:tc>
      </w:tr>
    </w:tbl>
    <w:p>
      <w:pPr>
        <w:pStyle w:val="Heading1"/>
        <w:keepNext/>
      </w:pPr>
      <w:r>
        <w:t>八、研制周期和经费需求</w:t>
      </w:r>
    </w:p>
    <w:p>
      <w:pPr>
        <w:spacing w:line="317" w:lineRule="auto" w:after="80"/>
        <w:ind w:firstLine="420"/>
      </w:pPr>
      <w:r>
        <w:rPr>
          <w:rFonts w:ascii="SimSun" w:hAnsi="SimSun" w:eastAsia="SimSun"/>
          <w:b w:val="0"/>
          <w:color w:val="222222"/>
          <w:sz w:val="21"/>
        </w:rPr>
        <w:t>研究周期为24个月，建议经费200万元。经费主要用于多源数据治理、预训练算力、模型开发与评测、健康指数和看板开发、智能体与软件集成、第三方测试、专家咨询及部署运维，不购置大型固定设备。</w:t>
      </w:r>
    </w:p>
    <w:tbl>
      <w:tblPr>
        <w:tblW w:type="auto" w:w="0"/>
        <w:jc w:val="center"/>
        <w:tblLayout w:type="fixed"/>
        <w:tblLook w:firstColumn="1" w:firstRow="1" w:lastColumn="0" w:lastRow="0" w:noHBand="0" w:noVBand="1" w:val="04A0"/>
        <w:tblBorders>
          <w:top w:val="single" w:sz="6" w:color="666666"/>
          <w:left w:val="single" w:sz="6" w:color="666666"/>
          <w:bottom w:val="single" w:sz="6" w:color="666666"/>
          <w:right w:val="single" w:sz="6" w:color="666666"/>
          <w:insideH w:val="single" w:sz="6" w:color="666666"/>
          <w:insideV w:val="single" w:sz="6" w:color="666666"/>
        </w:tblBorders>
      </w:tblPr>
      <w:tblGrid>
        <w:gridCol w:w="3213"/>
        <w:gridCol w:w="3213"/>
        <w:gridCol w:w="3213"/>
      </w:tblGrid>
      <w:tr>
        <w:tc>
          <w:tcPr>
            <w:tcW w:type="dxa" w:w="1701"/>
            <w:vAlign w:val="center"/>
            <w:shd w:fill="17365D"/>
          </w:tcPr>
          <w:p>
            <w:pPr>
              <w:spacing w:after="0" w:line="254" w:lineRule="auto"/>
              <w:jc w:val="center"/>
            </w:pPr>
            <w:r/>
            <w:r>
              <w:rPr>
                <w:rFonts w:ascii="Microsoft YaHei" w:hAnsi="Microsoft YaHei" w:eastAsia="Microsoft YaHei"/>
                <w:b/>
                <w:color w:val="FFFFFF"/>
                <w:sz w:val="17"/>
              </w:rPr>
              <w:t>阶段</w:t>
            </w:r>
          </w:p>
        </w:tc>
        <w:tc>
          <w:tcPr>
            <w:tcW w:type="dxa" w:w="1984"/>
            <w:vAlign w:val="center"/>
            <w:shd w:fill="17365D"/>
          </w:tcPr>
          <w:p>
            <w:pPr>
              <w:spacing w:after="0" w:line="254" w:lineRule="auto"/>
              <w:jc w:val="center"/>
            </w:pPr>
            <w:r/>
            <w:r>
              <w:rPr>
                <w:rFonts w:ascii="Microsoft YaHei" w:hAnsi="Microsoft YaHei" w:eastAsia="Microsoft YaHei"/>
                <w:b/>
                <w:color w:val="FFFFFF"/>
                <w:sz w:val="17"/>
              </w:rPr>
              <w:t>周期</w:t>
            </w:r>
          </w:p>
        </w:tc>
        <w:tc>
          <w:tcPr>
            <w:tcW w:type="dxa" w:w="5499"/>
            <w:vAlign w:val="center"/>
            <w:shd w:fill="17365D"/>
          </w:tcPr>
          <w:p>
            <w:pPr>
              <w:spacing w:after="0" w:line="254" w:lineRule="auto"/>
              <w:jc w:val="center"/>
            </w:pPr>
            <w:r/>
            <w:r>
              <w:rPr>
                <w:rFonts w:ascii="Microsoft YaHei" w:hAnsi="Microsoft YaHei" w:eastAsia="Microsoft YaHei"/>
                <w:b/>
                <w:color w:val="FFFFFF"/>
                <w:sz w:val="17"/>
              </w:rPr>
              <w:t>主要任务</w:t>
            </w:r>
          </w:p>
        </w:tc>
      </w:tr>
      <w:tr>
        <w:tc>
          <w:tcPr>
            <w:tcW w:type="dxa" w:w="1701"/>
            <w:vAlign w:val="center"/>
          </w:tcPr>
          <w:p>
            <w:pPr>
              <w:spacing w:after="0" w:line="254" w:lineRule="auto"/>
              <w:jc w:val="center"/>
            </w:pPr>
            <w:r/>
            <w:r>
              <w:rPr>
                <w:rFonts w:ascii="SimSun" w:hAnsi="SimSun" w:eastAsia="SimSun"/>
                <w:b w:val="0"/>
                <w:color w:val="222222"/>
                <w:sz w:val="17"/>
              </w:rPr>
              <w:t>第一阶段</w:t>
            </w:r>
          </w:p>
        </w:tc>
        <w:tc>
          <w:tcPr>
            <w:tcW w:type="dxa" w:w="1984"/>
            <w:vAlign w:val="center"/>
          </w:tcPr>
          <w:p>
            <w:pPr>
              <w:spacing w:after="0" w:line="254" w:lineRule="auto"/>
              <w:jc w:val="left"/>
            </w:pPr>
            <w:r/>
            <w:r>
              <w:rPr>
                <w:rFonts w:ascii="SimSun" w:hAnsi="SimSun" w:eastAsia="SimSun"/>
                <w:b w:val="0"/>
                <w:color w:val="222222"/>
                <w:sz w:val="17"/>
              </w:rPr>
              <w:t>第1—4个月</w:t>
            </w:r>
          </w:p>
        </w:tc>
        <w:tc>
          <w:tcPr>
            <w:tcW w:type="dxa" w:w="5499"/>
            <w:vAlign w:val="center"/>
          </w:tcPr>
          <w:p>
            <w:pPr>
              <w:spacing w:after="0" w:line="254" w:lineRule="auto"/>
              <w:jc w:val="left"/>
            </w:pPr>
            <w:r/>
            <w:r>
              <w:rPr>
                <w:rFonts w:ascii="SimSun" w:hAnsi="SimSun" w:eastAsia="SimSun"/>
                <w:b w:val="0"/>
                <w:color w:val="222222"/>
                <w:sz w:val="17"/>
              </w:rPr>
              <w:t>冻结数据、任务、指标和测试大纲；完成数据清单、场景单元定义、健康指标候选和人工基线。</w:t>
            </w:r>
          </w:p>
        </w:tc>
      </w:tr>
      <w:tr>
        <w:tc>
          <w:tcPr>
            <w:tcW w:type="dxa" w:w="1701"/>
            <w:vAlign w:val="center"/>
            <w:shd w:fill="F8F9FA"/>
          </w:tcPr>
          <w:p>
            <w:pPr>
              <w:spacing w:after="0" w:line="254" w:lineRule="auto"/>
              <w:jc w:val="center"/>
            </w:pPr>
            <w:r/>
            <w:r>
              <w:rPr>
                <w:rFonts w:ascii="SimSun" w:hAnsi="SimSun" w:eastAsia="SimSun"/>
                <w:b w:val="0"/>
                <w:color w:val="222222"/>
                <w:sz w:val="17"/>
              </w:rPr>
              <w:t>第二阶段</w:t>
            </w:r>
          </w:p>
        </w:tc>
        <w:tc>
          <w:tcPr>
            <w:tcW w:type="dxa" w:w="1984"/>
            <w:vAlign w:val="center"/>
            <w:shd w:fill="F8F9FA"/>
          </w:tcPr>
          <w:p>
            <w:pPr>
              <w:spacing w:after="0" w:line="254" w:lineRule="auto"/>
              <w:jc w:val="left"/>
            </w:pPr>
            <w:r/>
            <w:r>
              <w:rPr>
                <w:rFonts w:ascii="SimSun" w:hAnsi="SimSun" w:eastAsia="SimSun"/>
                <w:b w:val="0"/>
                <w:color w:val="222222"/>
                <w:sz w:val="17"/>
              </w:rPr>
              <w:t>第5—10个月</w:t>
            </w:r>
          </w:p>
        </w:tc>
        <w:tc>
          <w:tcPr>
            <w:tcW w:type="dxa" w:w="5499"/>
            <w:vAlign w:val="center"/>
            <w:shd w:fill="F8F9FA"/>
          </w:tcPr>
          <w:p>
            <w:pPr>
              <w:spacing w:after="0" w:line="254" w:lineRule="auto"/>
              <w:jc w:val="left"/>
            </w:pPr>
            <w:r/>
            <w:r>
              <w:rPr>
                <w:rFonts w:ascii="SimSun" w:hAnsi="SimSun" w:eastAsia="SimSun"/>
                <w:b w:val="0"/>
                <w:color w:val="222222"/>
                <w:sz w:val="17"/>
              </w:rPr>
              <w:t>完成数据治理、四类健康指数、综合评分、车载与储能预训练数据集和预训练模型V1。</w:t>
            </w:r>
          </w:p>
        </w:tc>
      </w:tr>
      <w:tr>
        <w:tc>
          <w:tcPr>
            <w:tcW w:type="dxa" w:w="1701"/>
            <w:vAlign w:val="center"/>
          </w:tcPr>
          <w:p>
            <w:pPr>
              <w:spacing w:after="0" w:line="254" w:lineRule="auto"/>
              <w:jc w:val="center"/>
            </w:pPr>
            <w:r/>
            <w:r>
              <w:rPr>
                <w:rFonts w:ascii="SimSun" w:hAnsi="SimSun" w:eastAsia="SimSun"/>
                <w:b w:val="0"/>
                <w:color w:val="222222"/>
                <w:sz w:val="17"/>
              </w:rPr>
              <w:t>第三阶段</w:t>
            </w:r>
          </w:p>
        </w:tc>
        <w:tc>
          <w:tcPr>
            <w:tcW w:type="dxa" w:w="1984"/>
            <w:vAlign w:val="center"/>
          </w:tcPr>
          <w:p>
            <w:pPr>
              <w:spacing w:after="0" w:line="254" w:lineRule="auto"/>
              <w:jc w:val="left"/>
            </w:pPr>
            <w:r/>
            <w:r>
              <w:rPr>
                <w:rFonts w:ascii="SimSun" w:hAnsi="SimSun" w:eastAsia="SimSun"/>
                <w:b w:val="0"/>
                <w:color w:val="222222"/>
                <w:sz w:val="17"/>
              </w:rPr>
              <w:t>第11—18个月</w:t>
            </w:r>
          </w:p>
        </w:tc>
        <w:tc>
          <w:tcPr>
            <w:tcW w:type="dxa" w:w="5499"/>
            <w:vAlign w:val="center"/>
          </w:tcPr>
          <w:p>
            <w:pPr>
              <w:spacing w:after="0" w:line="254" w:lineRule="auto"/>
              <w:jc w:val="left"/>
            </w:pPr>
            <w:r/>
            <w:r>
              <w:rPr>
                <w:rFonts w:ascii="SimSun" w:hAnsi="SimSun" w:eastAsia="SimSun"/>
                <w:b w:val="0"/>
                <w:color w:val="222222"/>
                <w:sz w:val="17"/>
              </w:rPr>
              <w:t>完成跨车型/化学体系/场景迁移、故障预警大模型、根因分析智能体和运维看板。</w:t>
            </w:r>
          </w:p>
        </w:tc>
      </w:tr>
      <w:tr>
        <w:tc>
          <w:tcPr>
            <w:tcW w:type="dxa" w:w="1701"/>
            <w:vAlign w:val="center"/>
            <w:shd w:fill="F8F9FA"/>
          </w:tcPr>
          <w:p>
            <w:pPr>
              <w:spacing w:after="0" w:line="254" w:lineRule="auto"/>
              <w:jc w:val="center"/>
            </w:pPr>
            <w:r/>
            <w:r>
              <w:rPr>
                <w:rFonts w:ascii="SimSun" w:hAnsi="SimSun" w:eastAsia="SimSun"/>
                <w:b w:val="0"/>
                <w:color w:val="222222"/>
                <w:sz w:val="17"/>
              </w:rPr>
              <w:t>第四阶段</w:t>
            </w:r>
          </w:p>
        </w:tc>
        <w:tc>
          <w:tcPr>
            <w:tcW w:type="dxa" w:w="1984"/>
            <w:vAlign w:val="center"/>
            <w:shd w:fill="F8F9FA"/>
          </w:tcPr>
          <w:p>
            <w:pPr>
              <w:spacing w:after="0" w:line="254" w:lineRule="auto"/>
              <w:jc w:val="left"/>
            </w:pPr>
            <w:r/>
            <w:r>
              <w:rPr>
                <w:rFonts w:ascii="SimSun" w:hAnsi="SimSun" w:eastAsia="SimSun"/>
                <w:b w:val="0"/>
                <w:color w:val="222222"/>
                <w:sz w:val="17"/>
              </w:rPr>
              <w:t>第19—24个月</w:t>
            </w:r>
          </w:p>
        </w:tc>
        <w:tc>
          <w:tcPr>
            <w:tcW w:type="dxa" w:w="5499"/>
            <w:vAlign w:val="center"/>
            <w:shd w:fill="F8F9FA"/>
          </w:tcPr>
          <w:p>
            <w:pPr>
              <w:spacing w:after="0" w:line="254" w:lineRule="auto"/>
              <w:jc w:val="left"/>
            </w:pPr>
            <w:r/>
            <w:r>
              <w:rPr>
                <w:rFonts w:ascii="SimSun" w:hAnsi="SimSun" w:eastAsia="SimSun"/>
                <w:b w:val="0"/>
                <w:color w:val="222222"/>
                <w:sz w:val="17"/>
              </w:rPr>
              <w:t>冻结测试集并正式测试，完成问题整改、第三方或专家评审、软件与报告交付。</w:t>
            </w:r>
          </w:p>
        </w:tc>
      </w:tr>
    </w:tbl>
    <w:p>
      <w:pPr>
        <w:pStyle w:val="Heading1"/>
        <w:keepNext/>
      </w:pPr>
      <w:r>
        <w:t>九、已有基础</w:t>
      </w:r>
    </w:p>
    <w:p>
      <w:pPr>
        <w:spacing w:line="317" w:lineRule="auto" w:after="80"/>
        <w:ind w:firstLine="420"/>
      </w:pPr>
      <w:r>
        <w:rPr>
          <w:rFonts w:ascii="SimSun" w:hAnsi="SimSun" w:eastAsia="SimSun"/>
          <w:b w:val="0"/>
          <w:color w:val="222222"/>
          <w:sz w:val="21"/>
        </w:rPr>
        <w:t>在电池系统层面，申请人将目光拓展至智能电池管理与优化。他牵头开发了基于大数据和大模型的电池管理系统，以车辆及储能系统运行数据为基础（千亿条真实用户电池场景数据），融合机器学习和智能决策算法，实现了电池全生命周期的健康状态评估与优化控制[Energy Storage Mater. 2026, 86, 104897；申请欧洲发明专利EP4693592A1、申请中国发明专利202410175617.0]。荣获挑战杯2025年度中国青年科技创新“揭榜挂帅”擂台赛——基于AI大模型的新能源汽车动力电池安全预警与健康监测技术赛道特等奖（前十获奖团队中唯一高校团队）。上述工作为本项目构建跨场景电池状态评估、模型评测和安全预警闭环提供了丰富的工程化落地经验。</w:t>
      </w:r>
    </w:p>
    <w:p>
      <w:pPr>
        <w:spacing w:line="317" w:lineRule="auto" w:after="80"/>
        <w:ind w:firstLine="420"/>
      </w:pPr>
      <w:r>
        <w:rPr>
          <w:rFonts w:ascii="SimSun" w:hAnsi="SimSun" w:eastAsia="SimSun"/>
          <w:b w:val="0"/>
          <w:color w:val="222222"/>
          <w:sz w:val="21"/>
        </w:rPr>
        <w:t>申请人善于利用大语言模型等先进AI技术对接复杂系统的大规模数据和机理模型。例如，他构建了多智能体协作的储能材料创意生成平台，用于新机理探索和新材料开发；在内部多任务评测集中，所开发多智能体系统在若干材料研发子任务上表现出较强的问题分解、工具调用和证据整合能力，公开基准验证仍在持续开展。团队还开发了用于自主识别意图、自主生成分析方案、自主研究并发掘新机制的低温电导率智能机器人，获得第十一届全国大学生物理实验竞赛（创新）一等奖、第十八届北京市大学生物理实验竞赛一等奖。这些基础可直接支撑本项目的模型路由、智能体编排、Critical评测和证据治理。</w:t>
      </w:r>
    </w:p>
    <w:p>
      <w:pPr>
        <w:pStyle w:val="Heading1"/>
        <w:keepNext/>
      </w:pPr>
      <w:r>
        <w:t>十、编制单位和人员</w:t>
      </w:r>
    </w:p>
    <w:p>
      <w:pPr>
        <w:spacing w:line="317" w:lineRule="auto" w:after="80"/>
      </w:pPr>
      <w:r>
        <w:rPr>
          <w:rFonts w:ascii="SimSun" w:hAnsi="SimSun" w:eastAsia="SimSun"/>
          <w:b w:val="0"/>
          <w:color w:val="222222"/>
          <w:sz w:val="21"/>
        </w:rPr>
        <w:t>编制单位：北京航空航天大学</w:t>
      </w:r>
    </w:p>
    <w:p>
      <w:pPr>
        <w:spacing w:line="317" w:lineRule="auto" w:after="80"/>
      </w:pPr>
      <w:r>
        <w:rPr>
          <w:rFonts w:ascii="SimSun" w:hAnsi="SimSun" w:eastAsia="SimSun"/>
          <w:b w:val="0"/>
          <w:color w:val="222222"/>
          <w:sz w:val="21"/>
        </w:rPr>
        <w:t>姓名：王诗童</w:t>
      </w:r>
    </w:p>
    <w:p>
      <w:pPr>
        <w:spacing w:line="317" w:lineRule="auto" w:after="80"/>
      </w:pPr>
      <w:r>
        <w:rPr>
          <w:rFonts w:ascii="SimSun" w:hAnsi="SimSun" w:eastAsia="SimSun"/>
          <w:b w:val="0"/>
          <w:color w:val="222222"/>
          <w:sz w:val="21"/>
        </w:rPr>
        <w:t>手机号码：18811361360</w:t>
      </w:r>
    </w:p>
    <w:p>
      <w:pPr>
        <w:pStyle w:val="Heading2"/>
        <w:keepNext/>
      </w:pPr>
      <w:r>
        <w:t>主要资料依据</w:t>
      </w:r>
    </w:p>
    <w:p>
      <w:pPr>
        <w:spacing w:line="317" w:lineRule="auto" w:after="80"/>
      </w:pPr>
      <w:r>
        <w:rPr>
          <w:rFonts w:ascii="SimSun" w:hAnsi="SimSun" w:eastAsia="SimSun"/>
          <w:b w:val="0"/>
          <w:color w:val="222222"/>
          <w:sz w:val="18"/>
        </w:rPr>
        <w:t>[F1] 《电池基因库及电池事故溯源分析平台构建方案》：全生命周期数据、数字档案、潜在特征和健康指数体系。</w:t>
      </w:r>
    </w:p>
    <w:p>
      <w:pPr>
        <w:spacing w:line="317" w:lineRule="auto" w:after="80"/>
      </w:pPr>
      <w:r>
        <w:rPr>
          <w:rFonts w:ascii="SimSun" w:hAnsi="SimSun" w:eastAsia="SimSun"/>
          <w:b w:val="0"/>
          <w:color w:val="222222"/>
          <w:sz w:val="18"/>
        </w:rPr>
        <w:t>[F2] 《新能源汽车电池热失控事故溯源分析大模型解读》：Transformer/LSTM/VAE、自监督预训练、多任务微调、故障根因及边云协同。</w:t>
      </w:r>
    </w:p>
    <w:p>
      <w:pPr>
        <w:spacing w:line="317" w:lineRule="auto" w:after="80"/>
      </w:pPr>
      <w:r>
        <w:rPr>
          <w:rFonts w:ascii="SimSun" w:hAnsi="SimSun" w:eastAsia="SimSun"/>
          <w:b w:val="0"/>
          <w:color w:val="222222"/>
          <w:sz w:val="18"/>
        </w:rPr>
        <w:t>[F3] 《申报人情况概述-北航-王诗童 V2.0》：申请人与团队研究基础。</w:t>
      </w:r>
    </w:p>
    <w:p>
      <w:pPr>
        <w:spacing w:line="317" w:lineRule="auto" w:after="80"/>
      </w:pPr>
      <w:r>
        <w:rPr>
          <w:rFonts w:ascii="SimSun" w:hAnsi="SimSun" w:eastAsia="SimSun"/>
          <w:b w:val="0"/>
          <w:color w:val="222222"/>
          <w:sz w:val="18"/>
        </w:rPr>
        <w:t>[W1] NIST, Artificial Intelligence Risk Management Framework (AI RMF 1.0), 2023。</w:t>
      </w:r>
    </w:p>
    <w:sectPr w:rsidR="00FC693F" w:rsidRPr="0006063C" w:rsidSect="00034616">
      <w:footerReference w:type="default" r:id="rId9"/>
      <w:pgSz w:w="11906" w:h="16838"/>
      <w:pgMar w:top="964"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F6B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面向搭载锂离子电池特种装备的电池大模型及主动安全防护技术研究指南及论证报告</dc:title>
  <dc:subject/>
  <dc:creator>北京航空航天大学 王诗童</dc:creator>
  <cp:keywords/>
  <dc:description>generated by python-docx</dc:description>
  <cp:lastModifiedBy/>
  <cp:revision>1</cp:revision>
  <dcterms:created xsi:type="dcterms:W3CDTF">2013-12-23T23:15:00Z</dcterms:created>
  <dcterms:modified xsi:type="dcterms:W3CDTF">2013-12-23T23:15:00Z</dcterms:modified>
  <cp:category/>
</cp:coreProperties>
</file>