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Авторство"/>
        <w:bidi w:val="0"/>
        <w:rPr>
          <w:rFonts w:ascii="Times Roman" w:cs="Times Roman" w:hAnsi="Times Roman" w:eastAsia="Times Roman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-1022350</wp:posOffset>
            </wp:positionH>
            <wp:positionV relativeFrom="page">
              <wp:posOffset>0</wp:posOffset>
            </wp:positionV>
            <wp:extent cx="915427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3-04-06 в 12.21.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04-06 в 12.21.13.jpg" descr="Снимок экрана 2023-04-06 в 12.21.1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27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  <w:lang w:val="ru-RU"/>
        </w:rPr>
        <w:t xml:space="preserve">Национальный исследовательский университет «Высшая школа экономики» </w:t>
      </w:r>
    </w:p>
    <w:p>
      <w:pPr>
        <w:pStyle w:val="Авторство"/>
        <w:bidi w:val="0"/>
        <w:rPr>
          <w:rFonts w:ascii="Times Roman" w:cs="Times Roman" w:hAnsi="Times Roman" w:eastAsia="Times Roman"/>
        </w:rPr>
      </w:pPr>
      <w:r>
        <w:rPr>
          <w:rFonts w:cs="Arial Unicode MS" w:eastAsia="Arial Unicode MS" w:hint="default"/>
          <w:rtl w:val="0"/>
          <w:lang w:val="ru-RU"/>
        </w:rPr>
        <w:t>Факультет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Московский институт электроники и математики Образовательная программа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Прикладная математика </w:t>
      </w:r>
    </w:p>
    <w:p>
      <w:pPr>
        <w:pStyle w:val="По умолчанию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Заголовок"/>
        <w:bidi w:val="0"/>
      </w:pPr>
    </w:p>
    <w:p>
      <w:pPr>
        <w:pStyle w:val="Заголовок"/>
        <w:bidi w:val="0"/>
      </w:pPr>
    </w:p>
    <w:p>
      <w:pPr>
        <w:pStyle w:val="Заголовок"/>
        <w:bidi w:val="0"/>
      </w:pPr>
    </w:p>
    <w:p>
      <w:pPr>
        <w:pStyle w:val="Заголовок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Отчет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Самостоятельной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работе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№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>1</w:t>
      </w:r>
    </w:p>
    <w:p>
      <w:pPr>
        <w:pStyle w:val="Подзаголовок"/>
        <w:bidi w:val="0"/>
      </w:pPr>
      <w:r>
        <w:rPr>
          <w:rtl w:val="0"/>
        </w:rPr>
        <w:t xml:space="preserve">Временные ряды и их практическое применение </w:t>
      </w:r>
    </w:p>
    <w:p>
      <w:pPr>
        <w:pStyle w:val="Авторство"/>
        <w:bidi w:val="0"/>
      </w:pPr>
    </w:p>
    <w:p>
      <w:pPr>
        <w:pStyle w:val="Авторство"/>
        <w:bidi w:val="0"/>
      </w:pPr>
    </w:p>
    <w:p>
      <w:pPr>
        <w:pStyle w:val="Авторство"/>
        <w:bidi w:val="0"/>
      </w:pPr>
    </w:p>
    <w:p>
      <w:pPr>
        <w:pStyle w:val="Авторство"/>
        <w:bidi w:val="0"/>
      </w:pPr>
    </w:p>
    <w:p>
      <w:pPr>
        <w:pStyle w:val="Авторство"/>
        <w:jc w:val="right"/>
      </w:pPr>
    </w:p>
    <w:p>
      <w:pPr>
        <w:pStyle w:val="Авторство"/>
        <w:jc w:val="right"/>
      </w:pPr>
    </w:p>
    <w:p>
      <w:pPr>
        <w:pStyle w:val="Авторство"/>
        <w:jc w:val="right"/>
      </w:pPr>
    </w:p>
    <w:p>
      <w:pPr>
        <w:pStyle w:val="Авторство"/>
        <w:jc w:val="right"/>
      </w:pPr>
    </w:p>
    <w:p>
      <w:pPr>
        <w:pStyle w:val="Авторство"/>
        <w:jc w:val="right"/>
      </w:pPr>
    </w:p>
    <w:p>
      <w:pPr>
        <w:pStyle w:val="Авторство"/>
        <w:jc w:val="right"/>
      </w:pPr>
      <w:r>
        <w:rPr>
          <w:rtl w:val="0"/>
          <w:lang w:val="ru-RU"/>
        </w:rPr>
        <w:t>Работу выполнили</w:t>
      </w:r>
      <w:r>
        <w:rPr>
          <w:rtl w:val="0"/>
          <w:lang w:val="ru-RU"/>
        </w:rPr>
        <w:t>:</w:t>
      </w:r>
    </w:p>
    <w:p>
      <w:pPr>
        <w:pStyle w:val="Авторство"/>
        <w:jc w:val="right"/>
      </w:pPr>
      <w:r>
        <w:rPr>
          <w:rtl w:val="0"/>
          <w:lang w:val="ru-RU"/>
        </w:rPr>
        <w:t xml:space="preserve"> Цыплаков Александр</w:t>
      </w:r>
    </w:p>
    <w:p>
      <w:pPr>
        <w:pStyle w:val="Авторство"/>
        <w:jc w:val="right"/>
      </w:pPr>
      <w:r>
        <w:rPr>
          <w:rtl w:val="0"/>
          <w:lang w:val="ru-RU"/>
        </w:rPr>
        <w:t>Ермаков Семён</w:t>
      </w:r>
    </w:p>
    <w:p>
      <w:pPr>
        <w:pStyle w:val="Авторство"/>
        <w:jc w:val="right"/>
      </w:pPr>
      <w:r>
        <w:rPr/>
        <w:fldChar w:fldCharType="begin" w:fldLock="0"/>
      </w:r>
      <w:r>
        <w:instrText xml:space="preserve"> DATE \@ "d MMMM y 'г'." </w:instrText>
      </w:r>
      <w:r>
        <w:rPr/>
        <w:fldChar w:fldCharType="separate" w:fldLock="0"/>
      </w:r>
      <w:r>
        <w:rPr>
          <w:rtl w:val="0"/>
          <w:lang w:val="ru-RU"/>
        </w:rPr>
        <w:t>4 апреля 2024 г.</w:t>
      </w:r>
      <w:r>
        <w:rPr/>
        <w:fldChar w:fldCharType="end" w:fldLock="1"/>
      </w: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Содержание</w:t>
      </w:r>
    </w:p>
    <w:p>
      <w:pPr>
        <w:pStyle w:val="Авторство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"Введение"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Введение</w:t>
      </w:r>
      <w:r>
        <w:rPr/>
        <w:fldChar w:fldCharType="end" w:fldLock="0"/>
      </w:r>
      <w:r>
        <w:rPr>
          <w:rtl w:val="0"/>
          <w:lang w:val="ru-RU"/>
        </w:rPr>
        <w:t>……………………………………………………………………</w:t>
      </w:r>
      <w:r>
        <w:rPr>
          <w:rtl w:val="0"/>
          <w:lang w:val="ru-RU"/>
        </w:rPr>
        <w:t>..3</w:t>
      </w:r>
    </w:p>
    <w:p>
      <w:pPr>
        <w:pStyle w:val="Авторство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"ИсходныеДанные"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Исходные данные</w:t>
      </w:r>
      <w:r>
        <w:rPr/>
        <w:fldChar w:fldCharType="end" w:fldLock="0"/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…………………………………………………………</w:t>
      </w:r>
      <w:r>
        <w:rPr>
          <w:rtl w:val="0"/>
          <w:lang w:val="ru-RU"/>
        </w:rPr>
        <w:t>.4</w:t>
      </w:r>
    </w:p>
    <w:p>
      <w:pPr>
        <w:pStyle w:val="Авторство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"ОсновныеКомпонентыВременногоРяда"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Основные компоненты временного ряда</w:t>
      </w:r>
      <w:r>
        <w:rPr/>
        <w:fldChar w:fldCharType="end" w:fldLock="0"/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...7</w:t>
      </w:r>
    </w:p>
    <w:p>
      <w:pPr>
        <w:pStyle w:val="Авторство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дзаголовок"/>
        <w:rPr>
          <w:b w:val="1"/>
          <w:bCs w:val="1"/>
        </w:rPr>
      </w:pPr>
      <w:bookmarkStart w:name="Введение" w:id="0"/>
      <w:r>
        <w:rPr>
          <w:b w:val="1"/>
          <w:bCs w:val="1"/>
          <w:rtl w:val="0"/>
          <w:lang w:val="ru-RU"/>
        </w:rPr>
        <w:t>Введение</w:t>
      </w:r>
      <w:bookmarkEnd w:id="0"/>
    </w:p>
    <w:p>
      <w:pPr>
        <w:pStyle w:val="Основной текст"/>
        <w:bidi w:val="0"/>
      </w:pPr>
      <w:r>
        <w:rPr>
          <w:rtl w:val="0"/>
        </w:rPr>
        <w:t>В современном мире энергетические ресурсы играют ключевую роль в обеспечении экономического роста и социального развития</w:t>
      </w:r>
      <w:r>
        <w:rPr>
          <w:rtl w:val="0"/>
        </w:rPr>
        <w:t xml:space="preserve">. </w:t>
      </w:r>
      <w:r>
        <w:rPr>
          <w:rtl w:val="0"/>
        </w:rPr>
        <w:t>Одним из важных аспектов энергетической политики является производство электроэнергии из ядерных источников</w:t>
      </w:r>
      <w:r>
        <w:rPr>
          <w:rtl w:val="0"/>
        </w:rPr>
        <w:t xml:space="preserve">. </w:t>
      </w:r>
      <w:r>
        <w:rPr>
          <w:rtl w:val="0"/>
        </w:rPr>
        <w:t>В этом контексте проведен анализ и прогнозирование временных рядов производства электроэнергии из ядерных источников в Соединенных Штатах Америки и Франции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Выбор данных Соединенных Штатов и Франции обусловлен их значимостью на мировой арене и различиями в стратегиях развития ядерной энергетики</w:t>
      </w:r>
      <w:r>
        <w:rPr>
          <w:rtl w:val="0"/>
        </w:rPr>
        <w:t xml:space="preserve">. </w:t>
      </w:r>
      <w:r>
        <w:rPr>
          <w:rtl w:val="0"/>
        </w:rPr>
        <w:t xml:space="preserve">Период наблюдений охватывает временной интервал с </w:t>
      </w:r>
      <w:r>
        <w:rPr>
          <w:rtl w:val="0"/>
        </w:rPr>
        <w:t xml:space="preserve">1960 </w:t>
      </w:r>
      <w:r>
        <w:rPr>
          <w:rtl w:val="0"/>
        </w:rPr>
        <w:t xml:space="preserve">по </w:t>
      </w:r>
      <w:r>
        <w:rPr>
          <w:rtl w:val="0"/>
        </w:rPr>
        <w:t xml:space="preserve">2015 </w:t>
      </w:r>
      <w:r>
        <w:rPr>
          <w:rtl w:val="0"/>
        </w:rPr>
        <w:t>год</w:t>
      </w:r>
      <w:r>
        <w:rPr>
          <w:rtl w:val="0"/>
        </w:rPr>
        <w:t xml:space="preserve">, </w:t>
      </w:r>
      <w:r>
        <w:rPr>
          <w:rtl w:val="0"/>
        </w:rPr>
        <w:t>что позволяет проанализировать долгосрочную динамику развития ядерной энергетики в этих странах</w:t>
      </w:r>
      <w:r>
        <w:rPr>
          <w:rtl w:val="0"/>
        </w:rPr>
        <w:t>.</w:t>
      </w:r>
    </w:p>
    <w:p>
      <w:pPr>
        <w:pStyle w:val="По умолчанию"/>
        <w:bidi w:val="0"/>
        <w:spacing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ececec"/>
          <w:sz w:val="32"/>
          <w:szCs w:val="32"/>
          <w:shd w:val="clear" w:color="auto" w:fill="212121"/>
          <w:rtl w:val="0"/>
          <w14:textFill>
            <w14:solidFill>
              <w14:srgbClr w14:val="ECECEC"/>
            </w14:solidFill>
          </w14:textFill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</w:p>
    <w:p>
      <w:pPr>
        <w:pStyle w:val="Подзаголовок"/>
        <w:rPr>
          <w:b w:val="1"/>
          <w:bCs w:val="1"/>
        </w:rPr>
      </w:pPr>
      <w:bookmarkStart w:name="ИсходныеДанные" w:id="1"/>
      <w:r>
        <w:rPr>
          <w:b w:val="1"/>
          <w:bCs w:val="1"/>
          <w:rtl w:val="0"/>
          <w:lang w:val="ru-RU"/>
        </w:rPr>
        <w:t>Исходные данные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2192044</wp:posOffset>
            </wp:positionV>
            <wp:extent cx="5524500" cy="3593225"/>
            <wp:effectExtent l="0" t="0" r="0" b="0"/>
            <wp:wrapTopAndBottom distT="152400" distB="152400"/>
            <wp:docPr id="1073741826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3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690" w:type="dxa"/>
        <w:jc w:val="center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4345"/>
        <w:gridCol w:w="4345"/>
      </w:tblGrid>
      <w:tr>
        <w:tblPrEx>
          <w:shd w:val="clear" w:color="auto" w:fill="auto"/>
        </w:tblPrEx>
        <w:trPr>
          <w:trHeight w:val="575" w:hRule="atLeast"/>
          <w:tblHeader/>
        </w:trPr>
        <w:tc>
          <w:tcPr>
            <w:tcW w:type="dxa" w:w="4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Анализируемый показатель и его единица измерения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:</w:t>
            </w:r>
          </w:p>
        </w:tc>
        <w:tc>
          <w:tcPr>
            <w:tcW w:type="dxa" w:w="4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venir Next Regular" w:cs="Arial Unicode MS" w:hAnsi="Avenir Next Regular" w:eastAsia="Arial Unicode MS" w:hint="default"/>
                <w:rtl w:val="0"/>
              </w:rPr>
              <w:t xml:space="preserve">Производство электроэнергии из ядерных источников </w:t>
            </w:r>
            <w:r>
              <w:rPr>
                <w:rFonts w:ascii="Avenir Next Regular" w:cs="Arial Unicode MS" w:hAnsi="Avenir Next Regular" w:eastAsia="Arial Unicode MS"/>
                <w:rtl w:val="0"/>
              </w:rPr>
              <w:t xml:space="preserve">(% </w:t>
            </w:r>
            <w:r>
              <w:rPr>
                <w:rFonts w:ascii="Avenir Next Regular" w:cs="Arial Unicode MS" w:hAnsi="Avenir Next Regular" w:eastAsia="Arial Unicode MS" w:hint="default"/>
                <w:rtl w:val="0"/>
              </w:rPr>
              <w:t>от общего объема</w:t>
            </w:r>
            <w:r>
              <w:rPr>
                <w:rFonts w:ascii="Avenir Next Regular" w:cs="Arial Unicode MS" w:hAnsi="Avenir Next Regular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345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Анализируемые страны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/</w:t>
            </w: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регионы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:</w:t>
            </w:r>
          </w:p>
        </w:tc>
        <w:tc>
          <w:tcPr>
            <w:tcW w:type="dxa" w:w="4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venir Next Regular" w:cs="Arial Unicode MS" w:hAnsi="Avenir Next Regular" w:eastAsia="Arial Unicode MS" w:hint="default"/>
                <w:rtl w:val="0"/>
              </w:rPr>
              <w:t>Соединенные Штаты Америки и Франция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4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Источник данных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:</w:t>
            </w:r>
          </w:p>
        </w:tc>
        <w:tc>
          <w:tcPr>
            <w:tcW w:type="dxa" w:w="434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 xml:space="preserve">Данные Всемирного банка </w:t>
            </w:r>
            <w:r>
              <w:rPr>
                <w:rFonts w:cs="Arial Unicode MS" w:eastAsia="Arial Unicode MS"/>
                <w:rtl w:val="0"/>
              </w:rPr>
              <w:t>(</w:t>
            </w:r>
            <w:r>
              <w:rPr/>
              <w:fldChar w:fldCharType="begin" w:fldLock="0"/>
            </w:r>
            <w:r>
              <w:instrText xml:space="preserve"> HYPERLINK "https://data.worldbank.org/indicator?tab=all"</w:instrText>
            </w:r>
            <w:r>
              <w:rPr/>
              <w:fldChar w:fldCharType="separate" w:fldLock="0"/>
            </w:r>
            <w:r>
              <w:rPr>
                <w:rFonts w:cs="Arial Unicode MS" w:eastAsia="Arial Unicode MS"/>
                <w:rtl w:val="0"/>
                <w:lang w:val="en-US"/>
              </w:rPr>
              <w:t>https://data.worldbank.org/indicator?tab=all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Период наблюдения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:</w:t>
            </w:r>
          </w:p>
        </w:tc>
        <w:tc>
          <w:tcPr>
            <w:tcW w:type="dxa" w:w="434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 xml:space="preserve">1960 - 2015 </w:t>
            </w:r>
            <w:r>
              <w:rPr>
                <w:rFonts w:ascii="Avenir Next Regular" w:cs="Arial Unicode MS" w:hAnsi="Avenir Next Regular" w:eastAsia="Arial Unicode MS" w:hint="default"/>
                <w:rtl w:val="0"/>
              </w:rPr>
              <w:t>годы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venir Next Demi Bold" w:cs="Arial Unicode MS" w:hAnsi="Avenir Next Demi Bold" w:eastAsia="Arial Unicode MS" w:hint="default"/>
                <w:rtl w:val="0"/>
              </w:rPr>
              <w:t>Количество наблюдений</w:t>
            </w:r>
            <w:r>
              <w:rPr>
                <w:rFonts w:ascii="Avenir Next Demi Bold" w:cs="Arial Unicode MS" w:hAnsi="Avenir Next Demi Bold" w:eastAsia="Arial Unicode MS"/>
                <w:rtl w:val="0"/>
              </w:rPr>
              <w:t>:</w:t>
            </w:r>
          </w:p>
        </w:tc>
        <w:tc>
          <w:tcPr>
            <w:tcW w:type="dxa" w:w="434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N = 56 (</w:t>
            </w:r>
            <w:r>
              <w:rPr>
                <w:rFonts w:ascii="Avenir Next Regular" w:cs="Arial Unicode MS" w:hAnsi="Avenir Next Regular" w:eastAsia="Arial Unicode MS" w:hint="default"/>
                <w:rtl w:val="0"/>
              </w:rPr>
              <w:t xml:space="preserve">за каждый год с </w:t>
            </w:r>
            <w:r>
              <w:rPr>
                <w:rFonts w:ascii="Avenir Next Regular" w:cs="Arial Unicode MS" w:hAnsi="Avenir Next Regular" w:eastAsia="Arial Unicode MS"/>
                <w:rtl w:val="0"/>
              </w:rPr>
              <w:t xml:space="preserve">1960 </w:t>
            </w:r>
            <w:r>
              <w:rPr>
                <w:rFonts w:ascii="Avenir Next Regular" w:cs="Arial Unicode MS" w:hAnsi="Avenir Next Regular" w:eastAsia="Arial Unicode MS" w:hint="default"/>
                <w:rtl w:val="0"/>
              </w:rPr>
              <w:t xml:space="preserve">по </w:t>
            </w:r>
            <w:r>
              <w:rPr>
                <w:rFonts w:ascii="Avenir Next Regular" w:cs="Arial Unicode MS" w:hAnsi="Avenir Next Regular" w:eastAsia="Arial Unicode MS"/>
                <w:rtl w:val="0"/>
              </w:rPr>
              <w:t>2015)</w:t>
            </w:r>
          </w:p>
        </w:tc>
      </w:tr>
    </w:tbl>
    <w:p>
      <w:pPr>
        <w:pStyle w:val="Подзаголовок"/>
        <w:rPr>
          <w:b w:val="1"/>
          <w:bCs w:val="1"/>
        </w:rPr>
      </w:pPr>
      <w:bookmarkEnd w:id="1"/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Согласно графикам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видно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что в период с </w:t>
      </w:r>
      <w:r>
        <w:rPr>
          <w:shd w:val="clear" w:color="auto" w:fill="ffffff"/>
          <w:rtl w:val="0"/>
        </w:rPr>
        <w:t>1960-</w:t>
      </w:r>
      <w:r>
        <w:rPr>
          <w:shd w:val="clear" w:color="auto" w:fill="ffffff"/>
          <w:rtl w:val="0"/>
          <w:lang w:val="ru-RU"/>
        </w:rPr>
        <w:t xml:space="preserve">х по </w:t>
      </w:r>
      <w:r>
        <w:rPr>
          <w:shd w:val="clear" w:color="auto" w:fill="ffffff"/>
          <w:rtl w:val="0"/>
        </w:rPr>
        <w:t xml:space="preserve">1990 </w:t>
      </w:r>
      <w:r>
        <w:rPr>
          <w:shd w:val="clear" w:color="auto" w:fill="ffffff"/>
          <w:rtl w:val="0"/>
          <w:lang w:val="ru-RU"/>
        </w:rPr>
        <w:t>годы Франция пережила резкий скачок в производстве электроэнергии из ядерных источников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Этот скачок указывает на успешную демонстрацию эффективности ядерной энергетики в стране и переход на использование этого источника энергии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В то же время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Соединенные Штаты Америки характеризовались более равномерным ростом производства электроэнергии из ядерных источников на протяжении всего исследуемого периода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Тем не менее</w:t>
      </w:r>
      <w:r>
        <w:rPr>
          <w:rtl w:val="0"/>
        </w:rPr>
        <w:t xml:space="preserve">, </w:t>
      </w:r>
      <w:r>
        <w:rPr>
          <w:rtl w:val="0"/>
        </w:rPr>
        <w:t>несмотря на различия в динамике роста между двумя странами</w:t>
      </w:r>
      <w:r>
        <w:rPr>
          <w:rtl w:val="0"/>
        </w:rPr>
        <w:t xml:space="preserve"> (</w:t>
      </w:r>
      <w:r>
        <w:rPr>
          <w:rtl w:val="0"/>
        </w:rPr>
        <w:t>С</w:t>
      </w:r>
      <w:r>
        <w:rPr>
          <w:rtl w:val="0"/>
        </w:rPr>
        <w:t>Ш</w:t>
      </w:r>
      <w:r>
        <w:rPr>
          <w:rtl w:val="0"/>
        </w:rPr>
        <w:t>А</w:t>
      </w:r>
      <w:r>
        <w:rPr>
          <w:rtl w:val="0"/>
          <w:lang w:val="it-IT"/>
        </w:rPr>
        <w:t>: 27793.18%</w:t>
      </w:r>
      <w:r>
        <w:rPr>
          <w:rtl w:val="0"/>
        </w:rPr>
        <w:t xml:space="preserve">; </w:t>
      </w:r>
      <w:r>
        <w:rPr>
          <w:rtl w:val="0"/>
        </w:rPr>
        <w:t>Франция</w:t>
      </w:r>
      <w:r>
        <w:rPr>
          <w:rtl w:val="0"/>
        </w:rPr>
        <w:t>: 39808.67%</w:t>
      </w:r>
      <w:r>
        <w:rPr>
          <w:rtl w:val="0"/>
        </w:rPr>
        <w:t>)</w:t>
      </w:r>
      <w:r>
        <w:rPr>
          <w:rtl w:val="0"/>
        </w:rPr>
        <w:t xml:space="preserve">, </w:t>
      </w:r>
      <w:r>
        <w:rPr>
          <w:rtl w:val="0"/>
        </w:rPr>
        <w:t>важно отметить</w:t>
      </w:r>
      <w:r>
        <w:rPr>
          <w:rtl w:val="0"/>
        </w:rPr>
        <w:t xml:space="preserve">, </w:t>
      </w:r>
      <w:r>
        <w:rPr>
          <w:rtl w:val="0"/>
        </w:rPr>
        <w:t>что обе они демонстрируют значительные показатели роста в производстве электроэнергии из ядерных источников</w:t>
      </w:r>
      <w:r>
        <w:rPr>
          <w:rtl w:val="0"/>
        </w:rPr>
        <w:t xml:space="preserve">. </w:t>
      </w:r>
      <w:r>
        <w:rPr>
          <w:rtl w:val="0"/>
        </w:rPr>
        <w:t>Темп прироста в обеих странах также подтверждает эту динамику</w:t>
      </w:r>
      <w:r>
        <w:rPr>
          <w:rtl w:val="0"/>
        </w:rPr>
        <w:t xml:space="preserve"> (</w:t>
      </w:r>
      <w:r>
        <w:rPr>
          <w:rtl w:val="0"/>
        </w:rPr>
        <w:t>США</w:t>
      </w:r>
      <w:r>
        <w:rPr>
          <w:rtl w:val="0"/>
        </w:rPr>
        <w:t xml:space="preserve">: 0.1058; </w:t>
      </w:r>
      <w:r>
        <w:rPr>
          <w:rtl w:val="0"/>
        </w:rPr>
        <w:t>Франция</w:t>
      </w:r>
      <w:r>
        <w:rPr>
          <w:rtl w:val="0"/>
        </w:rPr>
        <w:t>:</w:t>
      </w:r>
      <w:r>
        <w:rPr>
          <w:rtl w:val="0"/>
        </w:rPr>
        <w:t xml:space="preserve"> 0.1129)</w:t>
      </w:r>
      <w:r>
        <w:rPr>
          <w:rtl w:val="0"/>
        </w:rPr>
        <w:t xml:space="preserve">, </w:t>
      </w:r>
      <w:r>
        <w:rPr>
          <w:rtl w:val="0"/>
        </w:rPr>
        <w:t>хотя темп прироста для Франции немного выше</w:t>
      </w:r>
      <w:r>
        <w:rPr>
          <w:rtl w:val="0"/>
        </w:rPr>
        <w:t xml:space="preserve">, </w:t>
      </w:r>
      <w:r>
        <w:rPr>
          <w:rtl w:val="0"/>
        </w:rPr>
        <w:t>чем для Соединенных Штатов Америки</w:t>
      </w:r>
      <w:r>
        <w:rPr>
          <w:rtl w:val="0"/>
        </w:rPr>
        <w:t xml:space="preserve">. </w:t>
      </w:r>
      <w:r>
        <w:rPr>
          <w:rtl w:val="0"/>
        </w:rPr>
        <w:t>В целом</w:t>
      </w:r>
      <w:r>
        <w:rPr>
          <w:rtl w:val="0"/>
        </w:rPr>
        <w:t xml:space="preserve">, </w:t>
      </w:r>
      <w:r>
        <w:rPr>
          <w:rtl w:val="0"/>
        </w:rPr>
        <w:t>общая динамика производства электроэнергии из ядерных источников за рассматриваемый период показывает важность и эффективность этого источника энергии для обеих стран</w:t>
      </w:r>
      <w:r>
        <w:rPr>
          <w:rtl w:val="0"/>
        </w:rPr>
        <w:t xml:space="preserve">. </w:t>
      </w:r>
    </w:p>
    <w:p>
      <w:pPr>
        <w:pStyle w:val="Основной текст"/>
        <w:rPr>
          <w:u w:val="single"/>
        </w:rPr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Дескриптивные статистики</w:t>
      </w:r>
      <w:r>
        <w:rPr>
          <w:u w:val="single"/>
          <w:rtl w:val="0"/>
          <w:lang w:val="ru-RU"/>
        </w:rPr>
        <w:t>:</w:t>
      </w:r>
    </w:p>
    <w:p>
      <w:pPr>
        <w:pStyle w:val="Основной текст"/>
        <w:bidi w:val="0"/>
      </w:pPr>
      <w:r>
        <w:rPr>
          <w:rtl w:val="0"/>
        </w:rPr>
        <w:t>Полученные дескриптивные статистики для производства электроэнергии из ядерных источников в Соединенных Штатах Америки и Франции представляют следующую картину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Соединенные Штаты Америки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Среднее значение</w:t>
      </w:r>
      <w:r>
        <w:rPr>
          <w:rtl w:val="0"/>
        </w:rPr>
        <w:t>: 13.06%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Стандартное отклонение</w:t>
      </w:r>
      <w:r>
        <w:rPr>
          <w:rtl w:val="0"/>
        </w:rPr>
        <w:t>: 7.70%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Минимальное значение</w:t>
      </w:r>
      <w:r>
        <w:rPr>
          <w:rtl w:val="0"/>
        </w:rPr>
        <w:t>: 0.07%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Максимальное значение</w:t>
      </w:r>
      <w:r>
        <w:rPr>
          <w:rtl w:val="0"/>
        </w:rPr>
        <w:t>: 20.65%</w:t>
      </w:r>
    </w:p>
    <w:p>
      <w:pPr>
        <w:pStyle w:val="Основной текст"/>
        <w:bidi w:val="0"/>
      </w:pPr>
      <w:r>
        <w:rPr>
          <w:rtl w:val="0"/>
        </w:rPr>
        <w:t>Франция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Среднее значение</w:t>
      </w:r>
      <w:r>
        <w:rPr>
          <w:rtl w:val="0"/>
        </w:rPr>
        <w:t>: 47.71%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Стандартное отклонение</w:t>
      </w:r>
      <w:r>
        <w:rPr>
          <w:rtl w:val="0"/>
        </w:rPr>
        <w:t>: 33.76%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Минимальное значение</w:t>
      </w:r>
      <w:r>
        <w:rPr>
          <w:rtl w:val="0"/>
        </w:rPr>
        <w:t>: 0.19%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Максимальное значение</w:t>
      </w:r>
      <w:r>
        <w:rPr>
          <w:rtl w:val="0"/>
        </w:rPr>
        <w:t>: 79.51%</w:t>
      </w:r>
    </w:p>
    <w:p>
      <w:pPr>
        <w:pStyle w:val="Основной текст"/>
        <w:bidi w:val="0"/>
      </w:pPr>
      <w:r>
        <w:rPr>
          <w:rtl w:val="0"/>
        </w:rPr>
        <w:t>Из этой информации видно</w:t>
      </w:r>
      <w:r>
        <w:rPr>
          <w:rtl w:val="0"/>
        </w:rPr>
        <w:t xml:space="preserve">, </w:t>
      </w:r>
      <w:r>
        <w:rPr>
          <w:rtl w:val="0"/>
        </w:rPr>
        <w:t>что в среднем Франция имеет значительно более высокий процент производства электроэнергии из ядерных источников</w:t>
      </w:r>
      <w:r>
        <w:rPr>
          <w:rtl w:val="0"/>
        </w:rPr>
        <w:t xml:space="preserve">, </w:t>
      </w:r>
      <w:r>
        <w:rPr>
          <w:rtl w:val="0"/>
        </w:rPr>
        <w:t>чем Соединенные Штаты Америки</w:t>
      </w:r>
      <w:r>
        <w:rPr>
          <w:rtl w:val="0"/>
        </w:rPr>
        <w:t xml:space="preserve">. </w:t>
      </w:r>
      <w:r>
        <w:rPr>
          <w:rtl w:val="0"/>
        </w:rPr>
        <w:t>Стандартное отклонение для Франции также значительно выше</w:t>
      </w:r>
      <w:r>
        <w:rPr>
          <w:rtl w:val="0"/>
        </w:rPr>
        <w:t xml:space="preserve">, </w:t>
      </w:r>
      <w:r>
        <w:rPr>
          <w:rtl w:val="0"/>
        </w:rPr>
        <w:t>что указывает на более высокую изменчивость в производстве электроэнергии из ядерных источников в этой стране по сравнению со США</w:t>
      </w:r>
      <w:r>
        <w:rPr>
          <w:rtl w:val="0"/>
        </w:rPr>
        <w:t xml:space="preserve">. </w:t>
      </w:r>
      <w:r>
        <w:rPr>
          <w:rtl w:val="0"/>
        </w:rPr>
        <w:t>В то время как минимальное и максимальное значения указывают на разнообразие ситуаций в обеих странах в отношении использования ядерной энергии</w:t>
      </w:r>
      <w:r>
        <w:rPr>
          <w:rtl w:val="0"/>
        </w:rPr>
        <w:t>.</w:t>
      </w:r>
    </w:p>
    <w:p>
      <w:pPr>
        <w:pStyle w:val="Подзаголовок"/>
        <w:rPr>
          <w:b w:val="1"/>
          <w:bCs w:val="1"/>
        </w:rPr>
      </w:pPr>
      <w:bookmarkStart w:name="ОсновныеКомпонентыВременногоРяда" w:id="2"/>
      <w:r>
        <w:rPr>
          <w:b w:val="1"/>
          <w:bCs w:val="1"/>
          <w:rtl w:val="0"/>
          <w:lang w:val="ru-RU"/>
        </w:rPr>
        <w:t>Основные компоненты временного ряда</w:t>
      </w:r>
      <w:bookmarkEnd w:id="2"/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3.1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304800</wp:posOffset>
            </wp:positionV>
            <wp:extent cx="5524500" cy="3670610"/>
            <wp:effectExtent l="0" t="0" r="0" b="0"/>
            <wp:wrapTopAndBottom distT="152400" distB="152400"/>
            <wp:docPr id="1073741827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70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bidi w:val="0"/>
      </w:pPr>
      <w:r>
        <w:rPr>
          <w:rtl w:val="0"/>
        </w:rPr>
        <w:t>На изображении представлены четыре графика</w:t>
      </w:r>
      <w:r>
        <w:rPr>
          <w:rtl w:val="0"/>
        </w:rPr>
        <w:t xml:space="preserve">, </w:t>
      </w:r>
      <w:r>
        <w:rPr>
          <w:rtl w:val="0"/>
        </w:rPr>
        <w:t xml:space="preserve">отображающие автокорреляционную функцию </w:t>
      </w:r>
      <w:r>
        <w:rPr>
          <w:rtl w:val="0"/>
          <w:lang w:val="fr-FR"/>
        </w:rPr>
        <w:t xml:space="preserve">(ACF) </w:t>
      </w:r>
      <w:r>
        <w:rPr>
          <w:rtl w:val="0"/>
        </w:rPr>
        <w:t xml:space="preserve">и частичную автокорреляционную функцию </w:t>
      </w:r>
      <w:r>
        <w:rPr>
          <w:rtl w:val="0"/>
          <w:lang w:val="fr-FR"/>
        </w:rPr>
        <w:t xml:space="preserve">(PACF) </w:t>
      </w:r>
      <w:r>
        <w:rPr>
          <w:rtl w:val="0"/>
        </w:rPr>
        <w:t>для двух разных датасетов</w:t>
      </w:r>
      <w:r>
        <w:rPr>
          <w:rtl w:val="0"/>
        </w:rPr>
        <w:t xml:space="preserve">, </w:t>
      </w:r>
      <w:r>
        <w:rPr>
          <w:rtl w:val="0"/>
        </w:rPr>
        <w:t xml:space="preserve">а именно для США </w:t>
      </w:r>
      <w:r>
        <w:rPr>
          <w:rtl w:val="0"/>
        </w:rPr>
        <w:t>(</w:t>
      </w:r>
      <w:r>
        <w:rPr>
          <w:rtl w:val="0"/>
        </w:rPr>
        <w:t>верхние графики</w:t>
      </w:r>
      <w:r>
        <w:rPr>
          <w:rtl w:val="0"/>
        </w:rPr>
        <w:t xml:space="preserve">) </w:t>
      </w:r>
      <w:r>
        <w:rPr>
          <w:rtl w:val="0"/>
        </w:rPr>
        <w:t xml:space="preserve">и Франции </w:t>
      </w:r>
      <w:r>
        <w:rPr>
          <w:rtl w:val="0"/>
        </w:rPr>
        <w:t>(</w:t>
      </w:r>
      <w:r>
        <w:rPr>
          <w:rtl w:val="0"/>
        </w:rPr>
        <w:t>нижние графики</w:t>
      </w:r>
      <w:r>
        <w:rPr>
          <w:rtl w:val="0"/>
        </w:rPr>
        <w:t>).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Верхний левый график </w:t>
      </w:r>
      <w:r>
        <w:rPr>
          <w:rtl w:val="0"/>
          <w:lang w:val="fr-FR"/>
        </w:rPr>
        <w:t xml:space="preserve">("ACF </w:t>
      </w:r>
      <w:r>
        <w:rPr>
          <w:rtl w:val="0"/>
        </w:rPr>
        <w:t>для США</w:t>
      </w:r>
      <w:r>
        <w:rPr>
          <w:rtl w:val="0"/>
        </w:rPr>
        <w:t xml:space="preserve">") </w:t>
      </w:r>
      <w:r>
        <w:rPr>
          <w:rtl w:val="0"/>
        </w:rPr>
        <w:t>показывает автокорреляционную функцию для США</w:t>
      </w:r>
      <w:r>
        <w:rPr>
          <w:rtl w:val="0"/>
        </w:rPr>
        <w:t xml:space="preserve">. </w:t>
      </w:r>
      <w:r>
        <w:rPr>
          <w:rtl w:val="0"/>
        </w:rPr>
        <w:t xml:space="preserve">Автокорреляция измеряется для разных лагов </w:t>
      </w:r>
      <w:r>
        <w:rPr>
          <w:rtl w:val="0"/>
        </w:rPr>
        <w:t>(</w:t>
      </w:r>
      <w:r>
        <w:rPr>
          <w:rtl w:val="0"/>
        </w:rPr>
        <w:t>задержек</w:t>
      </w:r>
      <w:r>
        <w:rPr>
          <w:rtl w:val="0"/>
        </w:rPr>
        <w:t xml:space="preserve">), </w:t>
      </w:r>
      <w:r>
        <w:rPr>
          <w:rtl w:val="0"/>
        </w:rPr>
        <w:t>и мы видим</w:t>
      </w:r>
      <w:r>
        <w:rPr>
          <w:rtl w:val="0"/>
        </w:rPr>
        <w:t xml:space="preserve">, </w:t>
      </w:r>
      <w:r>
        <w:rPr>
          <w:rtl w:val="0"/>
        </w:rPr>
        <w:t>что значения автокорреляции положительны и медленно уменьшаются по мере увеличения лага</w:t>
      </w:r>
      <w:r>
        <w:rPr>
          <w:rtl w:val="0"/>
        </w:rPr>
        <w:t xml:space="preserve">. </w:t>
      </w:r>
      <w:r>
        <w:rPr>
          <w:rtl w:val="0"/>
        </w:rPr>
        <w:t>Это указывает на то</w:t>
      </w:r>
      <w:r>
        <w:rPr>
          <w:rtl w:val="0"/>
        </w:rPr>
        <w:t xml:space="preserve">, </w:t>
      </w:r>
      <w:r>
        <w:rPr>
          <w:rtl w:val="0"/>
        </w:rPr>
        <w:t>что в данных присутствует некоторая зависимость от предыдущих значений</w:t>
      </w:r>
      <w:r>
        <w:rPr>
          <w:rtl w:val="0"/>
        </w:rPr>
        <w:t xml:space="preserve">, </w:t>
      </w:r>
      <w:r>
        <w:rPr>
          <w:rtl w:val="0"/>
        </w:rPr>
        <w:t>и она уменьшается по мере увеличения разрыва во времени</w:t>
      </w:r>
      <w:r>
        <w:rPr>
          <w:rtl w:val="0"/>
        </w:rPr>
        <w:t>.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Верхний правый график </w:t>
      </w:r>
      <w:r>
        <w:rPr>
          <w:rtl w:val="0"/>
          <w:lang w:val="fr-FR"/>
        </w:rPr>
        <w:t xml:space="preserve">("PACF </w:t>
      </w:r>
      <w:r>
        <w:rPr>
          <w:rtl w:val="0"/>
        </w:rPr>
        <w:t>для США</w:t>
      </w:r>
      <w:r>
        <w:rPr>
          <w:rtl w:val="0"/>
        </w:rPr>
        <w:t xml:space="preserve">") </w:t>
      </w:r>
      <w:r>
        <w:rPr>
          <w:rtl w:val="0"/>
        </w:rPr>
        <w:t>показывает частичную автокорреляционную функцию для США</w:t>
      </w:r>
      <w:r>
        <w:rPr>
          <w:rtl w:val="0"/>
        </w:rPr>
        <w:t xml:space="preserve">. </w:t>
      </w:r>
      <w:r>
        <w:rPr>
          <w:rtl w:val="0"/>
        </w:rPr>
        <w:t xml:space="preserve">Значения </w:t>
      </w:r>
      <w:r>
        <w:rPr>
          <w:rtl w:val="0"/>
          <w:lang w:val="fr-FR"/>
        </w:rPr>
        <w:t xml:space="preserve">PACF </w:t>
      </w:r>
      <w:r>
        <w:rPr>
          <w:rtl w:val="0"/>
        </w:rPr>
        <w:t>в основном находятся внутри границ синего облака</w:t>
      </w:r>
      <w:r>
        <w:rPr>
          <w:rtl w:val="0"/>
        </w:rPr>
        <w:t xml:space="preserve">, </w:t>
      </w:r>
      <w:r>
        <w:rPr>
          <w:rtl w:val="0"/>
        </w:rPr>
        <w:t>что означает</w:t>
      </w:r>
      <w:r>
        <w:rPr>
          <w:rtl w:val="0"/>
        </w:rPr>
        <w:t xml:space="preserve">, </w:t>
      </w:r>
      <w:r>
        <w:rPr>
          <w:rtl w:val="0"/>
        </w:rPr>
        <w:t>что после учёта предыдущих лагов</w:t>
      </w:r>
      <w:r>
        <w:rPr>
          <w:rtl w:val="0"/>
        </w:rPr>
        <w:t xml:space="preserve">, </w:t>
      </w:r>
      <w:r>
        <w:rPr>
          <w:rtl w:val="0"/>
        </w:rPr>
        <w:t>большинство оставшихся корреляций не значительны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первый лаг выходит за границы этого облака</w:t>
      </w:r>
      <w:r>
        <w:rPr>
          <w:rtl w:val="0"/>
        </w:rPr>
        <w:t xml:space="preserve">, </w:t>
      </w:r>
      <w:r>
        <w:rPr>
          <w:rtl w:val="0"/>
        </w:rPr>
        <w:t>что указывает на статистически значимую частичную автокорреляцию для этого лага</w:t>
      </w:r>
      <w:r>
        <w:rPr>
          <w:rtl w:val="0"/>
        </w:rPr>
        <w:t>.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Нижний левый график </w:t>
      </w:r>
      <w:r>
        <w:rPr>
          <w:rtl w:val="0"/>
          <w:lang w:val="fr-FR"/>
        </w:rPr>
        <w:t xml:space="preserve">("ACF </w:t>
      </w:r>
      <w:r>
        <w:rPr>
          <w:rtl w:val="0"/>
        </w:rPr>
        <w:t>для Франции</w:t>
      </w:r>
      <w:r>
        <w:rPr>
          <w:rtl w:val="0"/>
        </w:rPr>
        <w:t xml:space="preserve">") </w:t>
      </w:r>
      <w:r>
        <w:rPr>
          <w:rtl w:val="0"/>
        </w:rPr>
        <w:t>аналогично показывает автокорреляционную функцию</w:t>
      </w:r>
      <w:r>
        <w:rPr>
          <w:rtl w:val="0"/>
        </w:rPr>
        <w:t xml:space="preserve">, </w:t>
      </w:r>
      <w:r>
        <w:rPr>
          <w:rtl w:val="0"/>
        </w:rPr>
        <w:t>но для Франции</w:t>
      </w:r>
      <w:r>
        <w:rPr>
          <w:rtl w:val="0"/>
        </w:rPr>
        <w:t xml:space="preserve">. </w:t>
      </w:r>
      <w:r>
        <w:rPr>
          <w:rtl w:val="0"/>
        </w:rPr>
        <w:t>Здесь также видна положительная автокорреляция</w:t>
      </w:r>
      <w:r>
        <w:rPr>
          <w:rtl w:val="0"/>
        </w:rPr>
        <w:t xml:space="preserve">, </w:t>
      </w:r>
      <w:r>
        <w:rPr>
          <w:rtl w:val="0"/>
        </w:rPr>
        <w:t>которая уменьшается с увеличением лага</w:t>
      </w:r>
      <w:r>
        <w:rPr>
          <w:rtl w:val="0"/>
        </w:rPr>
        <w:t xml:space="preserve">, </w:t>
      </w:r>
      <w:r>
        <w:rPr>
          <w:rtl w:val="0"/>
        </w:rPr>
        <w:t>что также указывает на временную зависимость в данных</w:t>
      </w:r>
      <w:r>
        <w:rPr>
          <w:rtl w:val="0"/>
        </w:rPr>
        <w:t>.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Нижний правый график </w:t>
      </w:r>
      <w:r>
        <w:rPr>
          <w:rtl w:val="0"/>
          <w:lang w:val="fr-FR"/>
        </w:rPr>
        <w:t xml:space="preserve">("PACF </w:t>
      </w:r>
      <w:r>
        <w:rPr>
          <w:rtl w:val="0"/>
        </w:rPr>
        <w:t>для Франции</w:t>
      </w:r>
      <w:r>
        <w:rPr>
          <w:rtl w:val="0"/>
        </w:rPr>
        <w:t xml:space="preserve">") </w:t>
      </w:r>
      <w:r>
        <w:rPr>
          <w:rtl w:val="0"/>
        </w:rPr>
        <w:t>показывает частичную автокорреляционную функцию для Франции</w:t>
      </w:r>
      <w:r>
        <w:rPr>
          <w:rtl w:val="0"/>
        </w:rPr>
        <w:t xml:space="preserve">. </w:t>
      </w:r>
      <w:r>
        <w:rPr>
          <w:rtl w:val="0"/>
        </w:rPr>
        <w:t>Здесь также видим</w:t>
      </w:r>
      <w:r>
        <w:rPr>
          <w:rtl w:val="0"/>
        </w:rPr>
        <w:t xml:space="preserve">, </w:t>
      </w:r>
      <w:r>
        <w:rPr>
          <w:rtl w:val="0"/>
        </w:rPr>
        <w:t xml:space="preserve">что большинство значений </w:t>
      </w:r>
      <w:r>
        <w:rPr>
          <w:rtl w:val="0"/>
          <w:lang w:val="fr-FR"/>
        </w:rPr>
        <w:t xml:space="preserve">PACF </w:t>
      </w:r>
      <w:r>
        <w:rPr>
          <w:rtl w:val="0"/>
        </w:rPr>
        <w:t>находится внутри границ</w:t>
      </w:r>
      <w:r>
        <w:rPr>
          <w:rtl w:val="0"/>
        </w:rPr>
        <w:t xml:space="preserve">, </w:t>
      </w:r>
      <w:r>
        <w:rPr>
          <w:rtl w:val="0"/>
        </w:rPr>
        <w:t>за исключением первого лага</w:t>
      </w:r>
      <w:r>
        <w:rPr>
          <w:rtl w:val="0"/>
        </w:rPr>
        <w:t xml:space="preserve">, </w:t>
      </w:r>
      <w:r>
        <w:rPr>
          <w:rtl w:val="0"/>
        </w:rPr>
        <w:t>который существенно выделяется</w:t>
      </w:r>
      <w:r>
        <w:rPr>
          <w:rtl w:val="0"/>
        </w:rPr>
        <w:t xml:space="preserve">, </w:t>
      </w:r>
      <w:r>
        <w:rPr>
          <w:rtl w:val="0"/>
        </w:rPr>
        <w:t>указывая на его значимость</w:t>
      </w:r>
      <w:r>
        <w:rPr>
          <w:rtl w:val="0"/>
        </w:rPr>
        <w:t>.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tl w:val="0"/>
        </w:rPr>
        <w:t>Графики содержат синее облако вокруг оси лагов</w:t>
      </w:r>
      <w:r>
        <w:rPr>
          <w:rtl w:val="0"/>
        </w:rPr>
        <w:t xml:space="preserve">, </w:t>
      </w:r>
      <w:r>
        <w:rPr>
          <w:rtl w:val="0"/>
        </w:rPr>
        <w:t xml:space="preserve">отображающее доверительный интервал </w:t>
      </w:r>
      <w:r>
        <w:rPr>
          <w:rtl w:val="0"/>
        </w:rPr>
        <w:t xml:space="preserve">(95%), </w:t>
      </w:r>
      <w:r>
        <w:rPr>
          <w:rtl w:val="0"/>
        </w:rPr>
        <w:t>внутри которого значения корреляции</w:t>
      </w:r>
      <w:r>
        <w:rPr>
          <w:rtl w:val="0"/>
        </w:rPr>
        <w:t xml:space="preserve"> </w:t>
      </w:r>
      <w:r>
        <w:rPr>
          <w:rtl w:val="0"/>
        </w:rPr>
        <w:t>не являются статистически значимыми</w:t>
      </w:r>
      <w:r>
        <w:rPr>
          <w:rtl w:val="0"/>
        </w:rPr>
        <w:t xml:space="preserve">. </w:t>
      </w:r>
      <w:r>
        <w:rPr>
          <w:rtl w:val="0"/>
        </w:rPr>
        <w:t>Это предполагает</w:t>
      </w:r>
      <w:r>
        <w:rPr>
          <w:rtl w:val="0"/>
        </w:rPr>
        <w:t xml:space="preserve">, </w:t>
      </w:r>
      <w:r>
        <w:rPr>
          <w:rtl w:val="0"/>
        </w:rPr>
        <w:t>что значения выходящие за пределы этого облака считаются статистически значимыми</w:t>
      </w:r>
      <w:r>
        <w:rPr>
          <w:rtl w:val="0"/>
        </w:rPr>
        <w:t>..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 xml:space="preserve">3.2 </w:t>
      </w:r>
    </w:p>
    <w:p>
      <w:pPr>
        <w:pStyle w:val="Основной текст"/>
        <w:bidi w:val="0"/>
      </w:pPr>
      <w:r>
        <w:rPr>
          <w:rtl w:val="0"/>
        </w:rPr>
        <w:t xml:space="preserve">Для проверки гипотезы об отсутствии тренда во временных рядах можно использовать тест Квадратичного Приращения Параметров </w:t>
      </w:r>
      <w:r>
        <w:rPr>
          <w:rtl w:val="0"/>
        </w:rPr>
        <w:t>(KPSS).</w:t>
      </w:r>
    </w:p>
    <w:p>
      <w:pPr>
        <w:pStyle w:val="Основной текст"/>
        <w:bidi w:val="0"/>
      </w:pPr>
      <w:r>
        <w:rPr>
          <w:rtl w:val="0"/>
        </w:rPr>
        <w:t>Результаты теста представлены следующим образом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Для временного ряда США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KPSS Statistic: 1.059654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p-value: 0.010000</w:t>
      </w:r>
    </w:p>
    <w:p>
      <w:pPr>
        <w:pStyle w:val="Основной текст"/>
        <w:bidi w:val="0"/>
      </w:pPr>
      <w:r>
        <w:rPr>
          <w:rtl w:val="0"/>
        </w:rPr>
        <w:t>Для временного ряда Франции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KPSS Statistic: 1.072875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p-value: 0.010000</w:t>
      </w:r>
    </w:p>
    <w:p>
      <w:pPr>
        <w:pStyle w:val="Основной текст"/>
        <w:bidi w:val="0"/>
      </w:pPr>
      <w:r>
        <w:rPr>
          <w:rtl w:val="0"/>
        </w:rPr>
        <w:t xml:space="preserve">Исходя из результатов теста </w:t>
      </w:r>
      <w:r>
        <w:rPr>
          <w:rtl w:val="0"/>
          <w:lang w:val="pt-PT"/>
        </w:rPr>
        <w:t xml:space="preserve">KPSS, </w:t>
      </w:r>
      <w:r>
        <w:rPr>
          <w:rtl w:val="0"/>
        </w:rPr>
        <w:t xml:space="preserve">нулевая гипотеза о стационарности временного ряда отвергается при уровне значимости </w:t>
      </w:r>
      <w:r>
        <w:rPr>
          <w:rtl w:val="0"/>
        </w:rPr>
        <w:t xml:space="preserve">0.01, </w:t>
      </w:r>
      <w:r>
        <w:rPr>
          <w:rtl w:val="0"/>
        </w:rPr>
        <w:t xml:space="preserve">так как </w:t>
      </w:r>
      <w:r>
        <w:rPr>
          <w:rtl w:val="0"/>
          <w:lang w:val="en-US"/>
        </w:rPr>
        <w:t xml:space="preserve">p-value </w:t>
      </w:r>
      <w:r>
        <w:rPr>
          <w:rtl w:val="0"/>
        </w:rPr>
        <w:t>меньше уровня значимости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у нас есть статистически значимые доказательства в пользу наличия тренда в обоих временных рядах</w:t>
      </w:r>
      <w:r>
        <w:rPr>
          <w:rtl w:val="0"/>
        </w:rPr>
        <w:t>.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Выводы</w:t>
      </w:r>
      <w:r>
        <w:rPr>
          <w:u w:val="single"/>
          <w:rtl w:val="0"/>
          <w:lang w:val="ru-RU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На основании результатов теста Квадратичного Приращения Параметров </w:t>
      </w:r>
      <w:r>
        <w:rPr>
          <w:rtl w:val="0"/>
        </w:rPr>
        <w:t xml:space="preserve">(KPSS) </w:t>
      </w:r>
      <w:r>
        <w:rPr>
          <w:rtl w:val="0"/>
        </w:rPr>
        <w:t>обнаружено</w:t>
      </w:r>
      <w:r>
        <w:rPr>
          <w:rtl w:val="0"/>
        </w:rPr>
        <w:t xml:space="preserve">, </w:t>
      </w:r>
      <w:r>
        <w:rPr>
          <w:rtl w:val="0"/>
        </w:rPr>
        <w:t>что как для временного ряда Соединенных Штатов Америки</w:t>
      </w:r>
      <w:r>
        <w:rPr>
          <w:rtl w:val="0"/>
        </w:rPr>
        <w:t xml:space="preserve">, </w:t>
      </w:r>
      <w:r>
        <w:rPr>
          <w:rtl w:val="0"/>
        </w:rPr>
        <w:t>так и для Франции</w:t>
      </w:r>
      <w:r>
        <w:rPr>
          <w:rtl w:val="0"/>
        </w:rPr>
        <w:t xml:space="preserve">, </w:t>
      </w:r>
      <w:r>
        <w:rPr>
          <w:rtl w:val="0"/>
        </w:rPr>
        <w:t xml:space="preserve">нулевая гипотеза о стационарности временного ряда была отвергнута на уровне значимости </w:t>
      </w:r>
      <w:r>
        <w:rPr>
          <w:rtl w:val="0"/>
        </w:rPr>
        <w:t xml:space="preserve">0.01. </w:t>
      </w:r>
      <w:r>
        <w:rPr>
          <w:rtl w:val="0"/>
        </w:rPr>
        <w:t>Это свидетельствует о наличии тренда в обоих временных рядах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Эти результаты подтверждают выводы</w:t>
      </w:r>
      <w:r>
        <w:rPr>
          <w:rtl w:val="0"/>
        </w:rPr>
        <w:t xml:space="preserve">, </w:t>
      </w:r>
      <w:r>
        <w:rPr>
          <w:rtl w:val="0"/>
        </w:rPr>
        <w:t>сделанные ранее при анализе графиков временных рядов</w:t>
      </w:r>
      <w:r>
        <w:rPr>
          <w:rtl w:val="0"/>
        </w:rPr>
        <w:t xml:space="preserve">. </w:t>
      </w:r>
      <w:r>
        <w:rPr>
          <w:rtl w:val="0"/>
        </w:rPr>
        <w:t>Мы отметили</w:t>
      </w:r>
      <w:r>
        <w:rPr>
          <w:rtl w:val="0"/>
        </w:rPr>
        <w:t xml:space="preserve">, </w:t>
      </w:r>
      <w:r>
        <w:rPr>
          <w:rtl w:val="0"/>
        </w:rPr>
        <w:t>что в обоих странах присутствует тренд</w:t>
      </w:r>
      <w:r>
        <w:rPr>
          <w:rtl w:val="0"/>
        </w:rPr>
        <w:t xml:space="preserve">, </w:t>
      </w:r>
      <w:r>
        <w:rPr>
          <w:rtl w:val="0"/>
        </w:rPr>
        <w:t>проявляющийся в изменении уровня производства электроэнергии из ядерных источников с течением времени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наличие тренда в данных подтверждается как визуальным анализом графиков</w:t>
      </w:r>
      <w:r>
        <w:rPr>
          <w:rtl w:val="0"/>
        </w:rPr>
        <w:t xml:space="preserve">, </w:t>
      </w:r>
      <w:r>
        <w:rPr>
          <w:rtl w:val="0"/>
        </w:rPr>
        <w:t>так и результатами статистического теста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3.3</w:t>
      </w:r>
    </w:p>
    <w:p>
      <w:pPr>
        <w:pStyle w:val="Основной текст"/>
        <w:bidi w:val="0"/>
      </w:pPr>
      <w:r>
        <w:rPr>
          <w:rtl w:val="0"/>
        </w:rPr>
        <w:t xml:space="preserve">На графике </w:t>
      </w:r>
      <w:r>
        <w:rPr>
          <w:rtl w:val="0"/>
          <w:lang w:val="fr-FR"/>
        </w:rPr>
        <w:t xml:space="preserve">CUSUM </w:t>
      </w:r>
      <w:r>
        <w:rPr>
          <w:rtl w:val="0"/>
        </w:rPr>
        <w:t xml:space="preserve">для США </w:t>
      </w:r>
      <w:r>
        <w:rPr>
          <w:rtl w:val="0"/>
          <w:lang w:val="fr-FR"/>
        </w:rPr>
        <w:t xml:space="preserve">(USA CUSUM) </w:t>
      </w:r>
      <w:r>
        <w:rPr>
          <w:rtl w:val="0"/>
        </w:rPr>
        <w:t>мы наблюдаем</w:t>
      </w:r>
      <w:r>
        <w:rPr>
          <w:rtl w:val="0"/>
        </w:rPr>
        <w:t xml:space="preserve">, </w:t>
      </w:r>
      <w:r>
        <w:rPr>
          <w:rtl w:val="0"/>
        </w:rPr>
        <w:t>что кривая начинается ниже нулевой линии и постепенно поднимается к ней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в начале рассматриваемого периода данные имеют тенденцию к убыванию или меньшему значению</w:t>
      </w:r>
      <w:r>
        <w:rPr>
          <w:rtl w:val="0"/>
        </w:rPr>
        <w:t xml:space="preserve">, </w:t>
      </w:r>
      <w:r>
        <w:rPr>
          <w:rtl w:val="0"/>
        </w:rPr>
        <w:t>чем ожидалось</w:t>
      </w:r>
      <w:r>
        <w:rPr>
          <w:rtl w:val="0"/>
        </w:rPr>
        <w:t xml:space="preserve">. </w:t>
      </w:r>
      <w:r>
        <w:rPr>
          <w:rtl w:val="0"/>
        </w:rPr>
        <w:t>Затем кривая пересекает нулевую линию и начинает восходящее движение</w:t>
      </w:r>
      <w:r>
        <w:rPr>
          <w:rtl w:val="0"/>
        </w:rPr>
        <w:t xml:space="preserve">, </w:t>
      </w:r>
      <w:r>
        <w:rPr>
          <w:rtl w:val="0"/>
        </w:rPr>
        <w:t xml:space="preserve">достигая максимальной амплитуды в районе значения </w:t>
      </w:r>
      <w:r>
        <w:rPr>
          <w:rtl w:val="0"/>
        </w:rPr>
        <w:t xml:space="preserve">40. </w:t>
      </w:r>
      <w:r>
        <w:rPr>
          <w:rtl w:val="0"/>
        </w:rPr>
        <w:t>Это указывает на сдвиг в данных</w:t>
      </w:r>
      <w:r>
        <w:rPr>
          <w:rtl w:val="0"/>
        </w:rPr>
        <w:t xml:space="preserve">, </w:t>
      </w:r>
      <w:r>
        <w:rPr>
          <w:rtl w:val="0"/>
        </w:rPr>
        <w:t>который может быть связан с каким</w:t>
      </w:r>
      <w:r>
        <w:rPr>
          <w:rtl w:val="0"/>
        </w:rPr>
        <w:t>-</w:t>
      </w:r>
      <w:r>
        <w:rPr>
          <w:rtl w:val="0"/>
        </w:rPr>
        <w:t>то значимым событием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1035126</wp:posOffset>
            </wp:positionV>
            <wp:extent cx="5524500" cy="4311574"/>
            <wp:effectExtent l="0" t="0" r="0" b="0"/>
            <wp:wrapTopAndBottom distT="152400" distB="152400"/>
            <wp:docPr id="1073741828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1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или изменением в экономике или политике США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Аналогично</w:t>
      </w:r>
      <w:r>
        <w:rPr>
          <w:rtl w:val="0"/>
        </w:rPr>
        <w:t xml:space="preserve">, </w:t>
      </w:r>
      <w:r>
        <w:rPr>
          <w:rtl w:val="0"/>
        </w:rPr>
        <w:t xml:space="preserve">график </w:t>
      </w:r>
      <w:r>
        <w:rPr>
          <w:rtl w:val="0"/>
          <w:lang w:val="fr-FR"/>
        </w:rPr>
        <w:t xml:space="preserve">CUSUM </w:t>
      </w:r>
      <w:r>
        <w:rPr>
          <w:rtl w:val="0"/>
        </w:rPr>
        <w:t xml:space="preserve">для Франции </w:t>
      </w:r>
      <w:r>
        <w:rPr>
          <w:rtl w:val="0"/>
          <w:lang w:val="fr-FR"/>
        </w:rPr>
        <w:t xml:space="preserve">(France CUSUM) </w:t>
      </w:r>
      <w:r>
        <w:rPr>
          <w:rtl w:val="0"/>
        </w:rPr>
        <w:t>также начинается ниже нулевой линии и имеет более выраженную амплитуду</w:t>
      </w:r>
      <w:r>
        <w:rPr>
          <w:rtl w:val="0"/>
        </w:rPr>
        <w:t xml:space="preserve">, </w:t>
      </w:r>
      <w:r>
        <w:rPr>
          <w:rtl w:val="0"/>
        </w:rPr>
        <w:t xml:space="preserve">достигая около значения </w:t>
      </w:r>
      <w:r>
        <w:rPr>
          <w:rtl w:val="0"/>
        </w:rPr>
        <w:t xml:space="preserve">150. </w:t>
      </w:r>
      <w:r>
        <w:rPr>
          <w:rtl w:val="0"/>
        </w:rPr>
        <w:t>Это указывает на более сильный структурный сдвиг в данных Франции по сравнению с США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Эти выводы подтверждаются р</w:t>
      </w:r>
      <w:r>
        <w:rPr>
          <w:rtl w:val="0"/>
        </w:rPr>
        <w:t>езультат</w:t>
      </w:r>
      <w:r>
        <w:rPr>
          <w:rtl w:val="0"/>
        </w:rPr>
        <w:t>ами</w:t>
      </w:r>
      <w:r>
        <w:rPr>
          <w:rtl w:val="0"/>
        </w:rPr>
        <w:t xml:space="preserve"> теста Чоу </w:t>
      </w:r>
      <w:r>
        <w:rPr>
          <w:rtl w:val="0"/>
          <w:lang w:val="en-US"/>
        </w:rPr>
        <w:t xml:space="preserve">(Chow test). </w:t>
      </w:r>
      <w:r>
        <w:rPr>
          <w:rtl w:val="0"/>
        </w:rPr>
        <w:t xml:space="preserve">Значение </w:t>
      </w:r>
      <w:r>
        <w:rPr>
          <w:rtl w:val="0"/>
        </w:rPr>
        <w:t>F-</w:t>
      </w:r>
      <w:r>
        <w:rPr>
          <w:rtl w:val="0"/>
        </w:rPr>
        <w:t xml:space="preserve">статистики и </w:t>
      </w:r>
      <w:r>
        <w:rPr>
          <w:rtl w:val="0"/>
          <w:lang w:val="en-US"/>
        </w:rPr>
        <w:t xml:space="preserve">p-value </w:t>
      </w:r>
      <w:r>
        <w:rPr>
          <w:rtl w:val="0"/>
        </w:rPr>
        <w:t>предоставляют информацию о статистической значимости этих структурных сдвигов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Для Соединенных Штатов Америки значение </w:t>
      </w:r>
      <w:r>
        <w:rPr>
          <w:rtl w:val="0"/>
        </w:rPr>
        <w:t>F-</w:t>
      </w:r>
      <w:r>
        <w:rPr>
          <w:rtl w:val="0"/>
        </w:rPr>
        <w:t xml:space="preserve">статистики составляет примерно </w:t>
      </w:r>
      <w:r>
        <w:rPr>
          <w:rtl w:val="0"/>
        </w:rPr>
        <w:t xml:space="preserve">20.52,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p-value </w:t>
      </w:r>
      <w:r>
        <w:rPr>
          <w:rtl w:val="0"/>
        </w:rPr>
        <w:t xml:space="preserve">составляет приблизительно </w:t>
      </w:r>
      <w:r>
        <w:rPr>
          <w:rtl w:val="0"/>
        </w:rPr>
        <w:t xml:space="preserve">2.69e-07.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 xml:space="preserve">что полученное значение </w:t>
      </w:r>
      <w:r>
        <w:rPr>
          <w:rtl w:val="0"/>
        </w:rPr>
        <w:t>F-</w:t>
      </w:r>
      <w:r>
        <w:rPr>
          <w:rtl w:val="0"/>
        </w:rPr>
        <w:t>статистики статистически значимо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p-value </w:t>
      </w:r>
      <w:r>
        <w:rPr>
          <w:rtl w:val="0"/>
        </w:rPr>
        <w:t>крайне мало</w:t>
      </w:r>
      <w:r>
        <w:rPr>
          <w:rtl w:val="0"/>
        </w:rPr>
        <w:t xml:space="preserve">, </w:t>
      </w:r>
      <w:r>
        <w:rPr>
          <w:rtl w:val="0"/>
        </w:rPr>
        <w:t>что позволяет нам отвергнуть нулевую гипотезу о отсутствии структурного сдвига в данных для США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Для Франции значение </w:t>
      </w:r>
      <w:r>
        <w:rPr>
          <w:rtl w:val="0"/>
        </w:rPr>
        <w:t>F-</w:t>
      </w:r>
      <w:r>
        <w:rPr>
          <w:rtl w:val="0"/>
        </w:rPr>
        <w:t xml:space="preserve">статистики составляет около </w:t>
      </w:r>
      <w:r>
        <w:rPr>
          <w:rtl w:val="0"/>
        </w:rPr>
        <w:t xml:space="preserve">15.45,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p-value </w:t>
      </w:r>
      <w:r>
        <w:rPr>
          <w:rtl w:val="0"/>
        </w:rPr>
        <w:t xml:space="preserve">около </w:t>
      </w:r>
      <w:r>
        <w:rPr>
          <w:rtl w:val="0"/>
        </w:rPr>
        <w:t xml:space="preserve">5.41e-06. </w:t>
      </w:r>
      <w:r>
        <w:rPr>
          <w:rtl w:val="0"/>
        </w:rPr>
        <w:t>Эти значения также свидетельствуют о статистически значимом структурном сдвиге в данных для Франции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результаты теста Чоу подтверждают наличие структурных изменений во временных рядах производства электроэнергии из ядерных источников как для Соединенных Штатов Америки</w:t>
      </w:r>
      <w:r>
        <w:rPr>
          <w:rtl w:val="0"/>
        </w:rPr>
        <w:t xml:space="preserve">, </w:t>
      </w:r>
      <w:r>
        <w:rPr>
          <w:rtl w:val="0"/>
        </w:rPr>
        <w:t>так и для Франции</w:t>
      </w:r>
      <w:r>
        <w:rPr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Возможные причины структурных сдвигов </w:t>
      </w:r>
      <w:r>
        <w:rPr>
          <w:shd w:val="clear" w:color="auto" w:fill="ffffff"/>
          <w:rtl w:val="0"/>
          <w:lang w:val="ru-RU"/>
        </w:rPr>
        <w:t>в данных о производстве электроэнергии из ядерных источников в США и Франции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shd w:val="clear" w:color="auto" w:fill="ffffff"/>
          <w:rtl w:val="0"/>
        </w:rPr>
        <w:tab/>
        <w:t>Технологические инновации</w:t>
      </w:r>
      <w:r>
        <w:rPr>
          <w:b w:val="1"/>
          <w:bCs w:val="1"/>
          <w:shd w:val="clear" w:color="auto" w:fill="ffffff"/>
          <w:rtl w:val="0"/>
        </w:rPr>
        <w:t>:</w:t>
      </w:r>
      <w:r>
        <w:rPr>
          <w:shd w:val="clear" w:color="auto" w:fill="ffffff"/>
          <w:rtl w:val="0"/>
          <w:lang w:val="ru-RU"/>
        </w:rPr>
        <w:t xml:space="preserve"> Возможно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в рассматриваемый период в одной из стран произошел значительный технологический прорыв в области ядерной энергетики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Это могло привести к увеличению производства электроэнергии из ядерных источников 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как следствие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 структурному сдвигу в данных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shd w:val="clear" w:color="auto" w:fill="ffffff"/>
          <w:rtl w:val="0"/>
        </w:rPr>
        <w:tab/>
        <w:t>Энергетическая политика</w:t>
      </w:r>
      <w:r>
        <w:rPr>
          <w:b w:val="1"/>
          <w:bCs w:val="1"/>
          <w:shd w:val="clear" w:color="auto" w:fill="ffffff"/>
          <w:rtl w:val="0"/>
        </w:rPr>
        <w:t>:</w:t>
      </w:r>
      <w:r>
        <w:rPr>
          <w:shd w:val="clear" w:color="auto" w:fill="ffffff"/>
          <w:rtl w:val="0"/>
          <w:lang w:val="ru-RU"/>
        </w:rPr>
        <w:t xml:space="preserve"> Изменения в энергетической политике могли повлиять на развитие ядерной энергетики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>Например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введение новых стимулов или регулирований в отрасли может существенно повлиять на объем производства электроэнергии из ядерных источников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shd w:val="clear" w:color="auto" w:fill="ffffff"/>
          <w:rtl w:val="0"/>
        </w:rPr>
        <w:tab/>
        <w:t>Экологические факторы</w:t>
      </w:r>
      <w:r>
        <w:rPr>
          <w:b w:val="1"/>
          <w:bCs w:val="1"/>
          <w:shd w:val="clear" w:color="auto" w:fill="ffffff"/>
          <w:rtl w:val="0"/>
        </w:rPr>
        <w:t>:</w:t>
      </w:r>
      <w:r>
        <w:rPr>
          <w:shd w:val="clear" w:color="auto" w:fill="ffffff"/>
          <w:rtl w:val="0"/>
          <w:lang w:val="ru-RU"/>
        </w:rPr>
        <w:t xml:space="preserve"> Рост общего интереса к экологии и усиление требований к сокращению выбросов парниковых газов могли стать стимулом для развития чистых источников энергии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включая ядерную энергетику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shd w:val="clear" w:color="auto" w:fill="ffffff"/>
          <w:rtl w:val="0"/>
        </w:rPr>
        <w:tab/>
        <w:t>Экономические факторы</w:t>
      </w:r>
      <w:r>
        <w:rPr>
          <w:b w:val="1"/>
          <w:bCs w:val="1"/>
          <w:shd w:val="clear" w:color="auto" w:fill="ffffff"/>
          <w:rtl w:val="0"/>
        </w:rPr>
        <w:t>:</w:t>
      </w:r>
      <w:r>
        <w:rPr>
          <w:shd w:val="clear" w:color="auto" w:fill="ffffff"/>
          <w:rtl w:val="0"/>
          <w:lang w:val="ru-RU"/>
        </w:rPr>
        <w:t xml:space="preserve"> Экономические изменения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такие как изменение стоимости топлива или экономические кризисы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могли повлиять на инвестиции в ядерную энергетику и соответствующее производство электроэнергии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shd w:val="clear" w:color="auto" w:fill="ffffff"/>
          <w:rtl w:val="0"/>
        </w:rPr>
        <w:tab/>
        <w:t>Геополитические события</w:t>
      </w:r>
      <w:r>
        <w:rPr>
          <w:b w:val="1"/>
          <w:bCs w:val="1"/>
          <w:shd w:val="clear" w:color="auto" w:fill="ffffff"/>
          <w:rtl w:val="0"/>
        </w:rPr>
        <w:t>:</w:t>
      </w:r>
      <w:r>
        <w:rPr>
          <w:shd w:val="clear" w:color="auto" w:fill="ffffff"/>
          <w:rtl w:val="0"/>
          <w:lang w:val="ru-RU"/>
        </w:rPr>
        <w:t xml:space="preserve"> События мирового масштаба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такие как изменения в международных отношениях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конфликты или сокращение поставок энергоносителей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могли повлиять на стратегии энергетической безопасности и внутреннюю политику по использованию ядерной энергии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Учитывая тему исследования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производство электроэнергии из ядерных источников</w:t>
      </w:r>
      <w:r>
        <w:rPr>
          <w:shd w:val="clear" w:color="auto" w:fill="ffffff"/>
          <w:rtl w:val="0"/>
        </w:rPr>
        <w:t xml:space="preserve">", </w:t>
      </w:r>
      <w:r>
        <w:rPr>
          <w:shd w:val="clear" w:color="auto" w:fill="ffffff"/>
          <w:rtl w:val="0"/>
          <w:lang w:val="ru-RU"/>
        </w:rPr>
        <w:t>структурный сдвиг в данных может быть связан с одним или комбинацией вышеперечисленных факторов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которые оказывают влияние на развитие ядерной энергетики в рассматриваемых странах</w:t>
      </w:r>
      <w:r>
        <w:rPr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b4b4b4"/>
          <w:sz w:val="24"/>
          <w:szCs w:val="24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center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24"/>
          <w:szCs w:val="24"/>
          <w:shd w:val="clear" w:color="auto" w:fill="2121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r>
    </w:p>
    <w:sectPr>
      <w:headerReference w:type="default" r:id="rId8"/>
      <w:footerReference w:type="default" r:id="rId9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  <w:font w:name="Times Roman">
    <w:charset w:val="00"/>
    <w:family w:val="roman"/>
    <w:pitch w:val="default"/>
  </w:font>
  <w:font w:name="Canela Text Regular">
    <w:charset w:val="00"/>
    <w:family w:val="roman"/>
    <w:pitch w:val="default"/>
  </w:font>
  <w:font w:name="Canela Deck Bold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350"/>
        <w:tab w:val="right" w:pos="8700"/>
      </w:tabs>
      <w:jc w:val="left"/>
    </w:pPr>
    <w:r>
      <w:tab/>
    </w:r>
    <w:r>
      <w:rPr>
        <w:rtl w:val="0"/>
        <w:lang w:val="ru-RU"/>
      </w:rPr>
      <w:t>Москва</w:t>
    </w:r>
    <w:r>
      <w:rPr>
        <w:rtl w:val="0"/>
        <w:lang w:val="ru-RU"/>
      </w:rPr>
      <w:t>, 2024</w:t>
    </w:r>
    <w:r>
      <w:rPr>
        <w:rtl w:val="0"/>
        <w:lang w:val="ru-RU"/>
      </w:rPr>
      <w:t>г</w:t>
    </w:r>
    <w:r>
      <w:rPr>
        <w:rtl w:val="0"/>
        <w:lang w:val="ru-RU"/>
      </w:rPr>
      <w:t xml:space="preserve">. 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075"/>
        </w:tabs>
        <w:ind w:left="59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95"/>
        </w:tabs>
        <w:ind w:left="81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515"/>
        </w:tabs>
        <w:ind w:left="103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735"/>
        </w:tabs>
        <w:ind w:left="125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955"/>
        </w:tabs>
        <w:ind w:left="147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175"/>
        </w:tabs>
        <w:ind w:left="169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395"/>
        </w:tabs>
        <w:ind w:left="191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615"/>
        </w:tabs>
        <w:ind w:left="213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835"/>
        </w:tabs>
        <w:ind w:left="2355" w:firstLine="10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840"/>
        </w:tabs>
        <w:ind w:left="36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60"/>
        </w:tabs>
        <w:ind w:left="108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280"/>
        </w:tabs>
        <w:ind w:left="180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00"/>
        </w:tabs>
        <w:ind w:left="252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720"/>
        </w:tabs>
        <w:ind w:left="324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440"/>
        </w:tabs>
        <w:ind w:left="396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160"/>
        </w:tabs>
        <w:ind w:left="468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880"/>
        </w:tabs>
        <w:ind w:left="540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00"/>
        </w:tabs>
        <w:ind w:left="612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200"/>
          </w:tabs>
          <w:ind w:left="72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420"/>
          </w:tabs>
          <w:ind w:left="94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640"/>
          </w:tabs>
          <w:ind w:left="116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860"/>
          </w:tabs>
          <w:ind w:left="138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080"/>
          </w:tabs>
          <w:ind w:left="160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2300"/>
          </w:tabs>
          <w:ind w:left="182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520"/>
          </w:tabs>
          <w:ind w:left="204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740"/>
          </w:tabs>
          <w:ind w:left="226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960"/>
          </w:tabs>
          <w:ind w:left="2480" w:hanging="2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Авторство">
    <w:name w:val="Авторство"/>
    <w:next w:val="Авторств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Подзаголовок">
    <w:name w:val="Подзаголовок"/>
    <w:next w:val="Подзаголов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venir Next Regular" w:cs="Arial Unicode MS" w:hAnsi="Avenir N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both"/>
      <w:outlineLvl w:val="9"/>
    </w:pPr>
    <w:rPr>
      <w:rFonts w:ascii="Avenir Next Regular" w:cs="Arial Unicode MS" w:hAnsi="Avenir N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Avenir Next Regular"/>
        <a:ea typeface="Avenir Next Regular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