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color w:val="64748B"/>
          <w:sz w:val="36"/>
          <w:szCs w:val="36"/>
        </w:rPr>
        <w:t xml:space="preserve">รูปเล่มนำเสนอผลงานนวัตกรรม</w:t>
      </w:r>
    </w:p>
    <w:p>
      <w:pPr>
        <w:spacing w:after="60" w:before="240"/>
        <w:jc w:val="center"/>
      </w:pPr>
      <w:r>
        <w:rPr>
          <w:rFonts w:ascii="TH Sarabun New" w:cs="TH Sarabun New" w:eastAsia="TH Sarabun New" w:hAnsi="TH Sarabun New"/>
          <w:b/>
          <w:bCs/>
          <w:color w:val="0F766E"/>
          <w:sz w:val="88"/>
          <w:szCs w:val="88"/>
        </w:rPr>
        <w:t xml:space="preserve">FinFlow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ระบบรวบรวมและวิเคราะห์การเงินส่วนบุคคล</w:t>
      </w:r>
    </w:p>
    <w:p>
      <w:pPr>
        <w:spacing w:after="80" w:line="320"/>
        <w:jc w:val="center"/>
      </w:pPr>
      <w:r>
        <w:rPr>
          <w:rFonts w:ascii="TH Sarabun New" w:cs="TH Sarabun New" w:eastAsia="TH Sarabun New" w:hAnsi="TH Sarabun New"/>
          <w:color w:val="334155"/>
          <w:sz w:val="32"/>
          <w:szCs w:val="32"/>
        </w:rPr>
        <w:t xml:space="preserve">ด้วยเอนจินสถิติที่พัฒนาขึ้นเอง และผู้ช่วยอัจฉริยะ (AI)</w:t>
      </w:r>
    </w:p>
    <w:p>
      <w:pPr>
        <w:spacing w:after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จัดทำเพื่อนำเสนอใน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color w:val="115E59"/>
          <w:sz w:val="34"/>
          <w:szCs w:val="34"/>
        </w:rPr>
        <w:t xml:space="preserve">การแข่งขันนวัตกรรม AI และคณิตศาสตร์วิชาการ ครั้งที่ 11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475569"/>
          <w:sz w:val="28"/>
          <w:szCs w:val="28"/>
        </w:rPr>
        <w:t xml:space="preserve">ประเภท: นวัตกรรมด้านปัญญาประดิษฐ์และคณิตศาสตร์ประยุกต์</w:t>
      </w:r>
    </w:p>
    <w:p>
      <w:pPr>
        <w:spacing w:after="48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จัดทำโดย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[ ชื่อ – นามสกุล ผู้พัฒนา / สมาชิกในทีม ]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ครู/อาจารย์ที่ปรึกษา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[ ชื่อ – นามสกุล ]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สถานศึกษา 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[ ชื่อสถานศึกษา / สังกัด ]</w:t>
      </w:r>
    </w:p>
    <w:p>
      <w:pPr>
        <w:spacing w:after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ปีการศึกษา 2569</w:t>
      </w:r>
    </w:p>
    <w:p>
      <w:r>
        <w:br w:type="page"/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0F766E"/>
          <w:sz w:val="40"/>
          <w:szCs w:val="40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60"/>
        <w:jc w:val="center"/>
      </w:pPr>
      <w:r>
        <w:rPr>
          <w:rFonts w:ascii="TH Sarabun New" w:cs="TH Sarabun New" w:eastAsia="TH Sarabun New" w:hAnsi="TH Sarabun New"/>
          <w:i/>
          <w:iCs/>
          <w:color w:val="94A3B8"/>
          <w:sz w:val="24"/>
          <w:szCs w:val="24"/>
        </w:rPr>
        <w:t xml:space="preserve">(หากตัวเลขหน้ายังไม่ปรากฏ ให้คลิกขวาที่สารบัญ → Update Field ใน Microsoft Word)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0F766E"/>
          <w:sz w:val="36"/>
          <w:szCs w:val="36"/>
        </w:rPr>
        <w:t xml:space="preserve">1. หลักการและเหตุผล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color w:val="115E59"/>
          <w:sz w:val="32"/>
          <w:szCs w:val="32"/>
        </w:rPr>
        <w:t xml:space="preserve">1.1 ความเป็นมา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</w:rPr>
        <w:t xml:space="preserve">ในชีวิตประจำวันของคนไทยปัจจุบัน เงินของบุคคลหนึ่งคนไม่ได้อยู่ในที่เดียวอีกต่อไป แต่กระจายอยู่ในหลาย “กระเป๋าเงิน” พร้อมกัน ทั้งบัญชีธนาคารพาณิชย์ (เช่น KBank) บัญชีเงินฝากออมทรัพย์ กระเป๋าเงินอิเล็กทรอนิกส์ของธนาคาร (Make by KBank) และกระเป๋าเงินดิจิทัลของผู้ให้บริการที่ไม่ใช่ธนาคาร (TrueMoney Wallet) การชำระเงินด้วยพร้อมเพย์และสลิปโอนเงินทำให้เกิดธุรกรรมจำนวนมากในแต่ละวัน ข้อมูลเหล่านี้ถูกส่งเข้ามาทางอีเมล (e-Statement และสลิป) อย่างต่อเนื่อง แต่อยู่ในรูปแบบที่ต่างกัน กระจัดกระจาย และไม่ถูกนำมาวิเคราะห์รวมกัน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</w:rPr>
        <w:t xml:space="preserve">ขณะเดียวกัน ทักษะการวางแผนการเงินส่วนบุคคล (Financial Literacy) ยังเป็นจุดอ่อนของคนไทยจำนวนมาก โดยเฉพาะกลุ่มนักเรียน นักศึกษา และวัยเริ่มต้นทำงาน ที่มักไม่ทราบว่าเงินของตนไหลออกไปทางใดมากที่สุด ออมได้จริงเท่าไร และมีพฤติกรรมการใช้จ่ายที่ผิดปกติหรือไม่ ผู้ใช้จำนวนมากจึงตัดสินใจทางการเงินจาก “ความรู้สึก” มากกว่าจาก “ตัวเลขจริง”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</w:rPr>
        <w:t xml:space="preserve">FinFlow ถือกำเนิดขึ้นเพื่อแก้ปัญหานี้ โดยเป็นระบบที่ดึงข้อมูลธุรกรรมจากทุกกระเป๋าเงินมารวมเป็นรูปแบบเดียว (Normalize) แล้ววิเคราะห์ด้วยเอนจินสถิติที่ผู้พัฒนาเขียนสูตรขึ้นเองทุกบรรทัด เพื่อให้ผู้ใช้เห็น “ภาพการเงินทั้งหมด” ในที่เดียว พร้อมคำอธิบายที่มาของทุกตัวเลข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color w:val="115E59"/>
          <w:sz w:val="32"/>
          <w:szCs w:val="32"/>
        </w:rPr>
        <w:t xml:space="preserve">1.2 สภาพปัญหาที่พบ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ข้อมูลกระจัดกระจาย (Data Fragmentation): </w:t>
      </w:r>
      <w:r>
        <w:rPr>
          <w:rFonts w:ascii="TH Sarabun New" w:cs="TH Sarabun New" w:eastAsia="TH Sarabun New" w:hAnsi="TH Sarabun New"/>
        </w:rPr>
        <w:t xml:space="preserve">ธุรกรรมอยู่คนละแอป คนละรูปแบบไฟล์ (PDF e-Statement, รูปภาพสลิป, ข้อความในอีเมล) ทำให้ผู้ใช้ไม่สามารถเห็นยอดรวมและสัดส่วนการใช้จ่ายที่แท้จริงได้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การนับซ้ำของรายการ (Double Counting): </w:t>
      </w:r>
      <w:r>
        <w:rPr>
          <w:rFonts w:ascii="TH Sarabun New" w:cs="TH Sarabun New" w:eastAsia="TH Sarabun New" w:hAnsi="TH Sarabun New"/>
        </w:rPr>
        <w:t xml:space="preserve">ธุรกรรมเดียวกันมักปรากฏหลายแหล่งพร้อมกัน เช่น มีทั้งสลิปและรายการใน Statement หรือการโอนเงินระหว่างบัญชีตัวเองถูกนับเป็นทั้งรายจ่ายและรายรับ ทำให้ตัวเลขสรุปคลาดเคลื่อน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เครื่องมือที่มีอยู่เป็นกล่องดำ (Black Box): </w:t>
      </w:r>
      <w:r>
        <w:rPr>
          <w:rFonts w:ascii="TH Sarabun New" w:cs="TH Sarabun New" w:eastAsia="TH Sarabun New" w:hAnsi="TH Sarabun New"/>
        </w:rPr>
        <w:t xml:space="preserve">แอปการเงินทั่วไปแสดงผลลัพธ์โดยไม่อธิบายวิธีคิด ผู้ใช้ไม่ทราบว่า “คะแนนสุขภาพการเงิน” หรือ “การพยากรณ์” มาจากสูตรใด จึงเชื่อถือและนำไปใช้ตัดสินใจได้ยาก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ความกังวลด้านความเป็นส่วนตัว (Privacy): </w:t>
      </w:r>
      <w:r>
        <w:rPr>
          <w:rFonts w:ascii="TH Sarabun New" w:cs="TH Sarabun New" w:eastAsia="TH Sarabun New" w:hAnsi="TH Sarabun New"/>
        </w:rPr>
        <w:t xml:space="preserve">ข้อมูลการเงินเป็นข้อมูลอ่อนไหวสูง การอัปโหลดขึ้นบริการภายนอกหรือการเปิดเผยรหัสผ่านไฟล์ Statement สร้างความเสี่ยงต่อผู้ใช้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ขาดการพยากรณ์และเตือนล่วงหน้า: </w:t>
      </w:r>
      <w:r>
        <w:rPr>
          <w:rFonts w:ascii="TH Sarabun New" w:cs="TH Sarabun New" w:eastAsia="TH Sarabun New" w:hAnsi="TH Sarabun New"/>
        </w:rPr>
        <w:t xml:space="preserve">ผู้ใช้ส่วนใหญ่ทราบผลหลังจากใช้จ่ายไปแล้ว แต่ขาดเครื่องมือที่คาดการณ์รายจ่ายเดือนถัดไป หรือเตือนเมื่อมีรายจ่ายผิดปกติ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color w:val="115E59"/>
          <w:sz w:val="32"/>
          <w:szCs w:val="32"/>
        </w:rPr>
        <w:t xml:space="preserve">1.3 ความสำคัญและความจำเป็น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</w:rPr>
        <w:t xml:space="preserve">การมีเครื่องมือที่ช่วยรวมศูนย์ข้อมูลการเงินและวิเคราะห์อย่างโปร่งใส มีความสำคัญทั้งในระดับบุคคลและระดับสังคม กล่าวคือ ช่วยให้ผู้ใช้เข้าใจพฤติกรรมการเงินของตนเองบนพื้นฐานของข้อมูลจริง ส่งเสริมวินัยการออม ลดความเสี่ยงทางการเงิน และยกระดับความรู้ทางการเงินของประชาชน ซึ่งสอดคล้องกับยุทธศาสตร์การส่งเสริมทักษะทางการเงินของประเทศ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</w:rPr>
        <w:t xml:space="preserve">นอกจากนี้ ในเชิงวิชาการ โครงการนี้แสดงให้เห็นว่า “คณิตศาสตร์และสถิติ” สามารถนำมาประยุกต์เพื่อแก้ปัญหาจริงในชีวิตประจำวันได้อย่างเป็นรูปธรรม ตั้งแต่การถดถอยเชิงเส้น การพยากรณ์อนุกรมเวลา การตรวจจับค่าผิดปกติ ไปจนถึงทฤษฎีกราฟและทฤษฎีสารสนเทศ โดยทุกสูตรถูกพัฒนาขึ้นเองและพิสูจน์ความถูกต้องด้วยชุดทดสอบอัตโนมัติ (Unit Test) จึงตอบโจทย์เป้าหมายของการแข่งขันที่ให้น้ำหนักความลึกทางคณิตศาสตร์/สถิติเป็นสำคัญ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สรุปความจำเป็น: </w:t>
      </w:r>
      <w:r>
        <w:rPr>
          <w:rFonts w:ascii="TH Sarabun New" w:cs="TH Sarabun New" w:eastAsia="TH Sarabun New" w:hAnsi="TH Sarabun New"/>
        </w:rPr>
        <w:t xml:space="preserve">ประเทศไทยต้องการเครื่องมือการเงินส่วนบุคคลที่ (1) รวมข้อมูลจากหลายกระเป๋าได้จริง (2) อธิบายที่มาของตัวเลขได้ทุกค่า และ (3) เคารพความเป็นส่วนตัวของผู้ใช้ ซึ่ง FinFlow ออกแบบมาเพื่อตอบทั้งสามข้อนี้พร้อมกัน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0F766E"/>
          <w:sz w:val="36"/>
          <w:szCs w:val="36"/>
        </w:rPr>
        <w:t xml:space="preserve">2. วัตถุประสงค์ของนวัตกรรม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</w:rPr>
        <w:t xml:space="preserve">โครงการ FinFlow มีวัตถุประสงค์หลักดังนี้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เพื่อพัฒนาระบบที่รวบรวม (Aggregate) ข้อมูลธุรกรรมจากหลายกระเป๋าเงิน (ธนาคาร KBank, Make by KBank, TrueMoney Wallet) จากทั้ง e-Statement และสลิปโอนเงิน ให้มาอยู่ในรูปแบบมาตรฐานเดียวกันโดยอัตโนมัติ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เพื่อพัฒนาเอนจินสถิติและคณิตศาสตร์ที่ “เขียนสูตรขึ้นเองทุกบรรทัด” โดยไม่พึ่งไลบรารีสำเร็จรูป เพื่อให้สามารถอธิบายที่มาของทุกผลลัพธ์ได้อย่างโปร่งใสและตรวจสอบได้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เพื่อสร้างดัชนีชี้วัดสุขภาพการเงิน (Financial Health Score) แบบ 4 เสาหลัก ที่อ้างอิงกรอบมาตรฐานสากลและของประเทศไทย พร้อมแสดงสูตรและแหล่งอ้างอิงประกอบทุกตัวชี้วัด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เพื่อพัฒนาแบบจำลองพยากรณ์รายจ่าย (Forecast) แบบผสม (Hybrid) ที่ให้ทั้งค่าคาดการณ์ ช่วงความเชื่อมั่น และโอกาสที่จะใช้จ่ายเกินงบ พร้อมการทวนสอบความแม่นยำย้อนหลัง (Backtesting)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เพื่อพัฒนากลไกตรวจจับรายการซ้ำ (Deduplication) และจับคู่การโอนเงินระหว่างกระเป๋าตัวเอง เพื่อป้องกันการนับเงินซ้ำซ้อนและทำให้ตัวเลขสรุปถูกต้อง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เพื่อพัฒนาระบบตรวจจับรายจ่ายผิดปกติ (Anomaly Detection) และวิเคราะห์แนวโน้มรายหมวด เพื่อเตือนผู้ใช้ได้ทันท่วงที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เพื่อพัฒนาผู้ช่วยอัจฉริยะ (AI Assistant) ที่ตอบคำถามทางการเงินโดยใช้ “ตัวเลขที่คำนวณจากโค้ดจริง” เป็นฐานข้อเท็จจริง ไม่ใช่การคาดเดาของโมเดลภาษา</w:t>
      </w:r>
    </w:p>
    <w:p>
      <w:pPr>
        <w:pStyle w:val="ListParagraph"/>
        <w:numPr>
          <w:ilvl w:val="0"/>
          <w:numId w:val="3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เพื่อออกแบบระบบที่คำนึงถึงความเป็นส่วนตัวของผู้ใช้ตามหลัก PDPA และ Responsible AI โดยประมวลผลข้อมูลอ่อนไหวในเครื่องผู้ใช้และกรองข้อมูลก่อนส่งให้ AI</w:t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0F766E"/>
          <w:sz w:val="36"/>
          <w:szCs w:val="36"/>
        </w:rPr>
        <w:t xml:space="preserve">3. ประโยชน์ที่จะได้รับ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color w:val="115E59"/>
          <w:sz w:val="32"/>
          <w:szCs w:val="32"/>
        </w:rPr>
        <w:t xml:space="preserve">3.1 ประโยชน์ต่อผู้ใช้งาน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เห็นภาพการเงินทั้งหมดจากทุกกระเป๋าในที่เดียว เข้าใจว่าเงินไหลเข้า–ออกอย่างไรผ่านแผนภาพการไหลของเงิน (Sankey)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ทราบ “สุขภาพการเงิน” ของตนเองเป็นคะแนน 0–100 พร้อมข้อเสนอแนะที่นำไปปฏิบัติได้จริง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วางแผนล่วงหน้าได้จากการพยากรณ์รายจ่ายรายหมวดและการแจ้งเตือนโอกาสใช้จ่ายเกินงบ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ประหยัดเวลาในการจัดทำบัญชีรายรับรายจ่าย เพราะระบบดึงและจัดหมวดให้อัตโนมัติ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วางแผนภาษีเงินได้บุคคลธรรมดาเบื้องต้น และเห็นแนวทางใช้สิทธิลดหย่อนเพื่อประหยัดภาษี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color w:val="115E59"/>
          <w:sz w:val="32"/>
          <w:szCs w:val="32"/>
        </w:rPr>
        <w:t xml:space="preserve">3.2 ประโยชน์ต่อสังคมและการศึกษา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ส่งเสริมความรู้และวินัยทางการเงิน (Financial Literacy) ของคนไทย โดยเฉพาะเยาวชนและวัยเริ่มทำงาน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เป็นตัวอย่างรูปธรรมของการนำคณิตศาสตร์และสถิติไปประยุกต์แก้ปัญหาจริง เหมาะเป็นสื่อการเรียนรู้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เป็นต้นแบบของการพัฒนา AI อย่างมีความรับผิดชอบ (Responsible AI) ที่ให้ความสำคัญกับความเป็นส่วนตัว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color w:val="115E59"/>
          <w:sz w:val="32"/>
          <w:szCs w:val="32"/>
        </w:rPr>
        <w:t xml:space="preserve">3.3 ประโยชน์เชิงวิชาการและการต่อยอด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ได้ชุดเอนจินสถิติแบบ open และอธิบายได้ (Explainable) ที่สามารถนำไปต่อยอดหรือศึกษาได้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สถาปัตยกรรมแบบโมดูลรองรับการเพิ่มแหล่งข้อมูล (ธนาคาร/กระเป๋าเงินใหม่) ได้ง่ายในอนาคต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ผู้พัฒนาได้ฝึกทักษะการวิเคราะห์ปัญหา การออกแบบระบบ การพิสูจน์สูตรคณิตศาสตร์ และวิศวกรรมซอฟต์แวร์อย่างครบวงจร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0F766E"/>
          <w:sz w:val="36"/>
          <w:szCs w:val="36"/>
        </w:rPr>
        <w:t xml:space="preserve">4. กลุ่มเป้าหมาย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color w:val="115E59"/>
          <w:sz w:val="32"/>
          <w:szCs w:val="32"/>
        </w:rPr>
        <w:t xml:space="preserve">4.1 กลุ่มเป้าหมายหลัก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คนไทยที่มีหลายกระเป๋าเงิน: </w:t>
      </w:r>
      <w:r>
        <w:rPr>
          <w:rFonts w:ascii="TH Sarabun New" w:cs="TH Sarabun New" w:eastAsia="TH Sarabun New" w:hAnsi="TH Sarabun New"/>
        </w:rPr>
        <w:t xml:space="preserve">ผู้ใช้บัญชีธนาคารร่วมกับกระเป๋าเงินดิจิทัล (KBank, Make by KBank, TrueMoney) ที่ต้องการเห็นภาพการเงินรวมและจัดการการใช้จ่ายอย่างเป็นระบบ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นักเรียน นักศึกษา และวัยเริ่มต้นทำงาน: </w:t>
      </w:r>
      <w:r>
        <w:rPr>
          <w:rFonts w:ascii="TH Sarabun New" w:cs="TH Sarabun New" w:eastAsia="TH Sarabun New" w:hAnsi="TH Sarabun New"/>
        </w:rPr>
        <w:t xml:space="preserve">กลุ่มที่กำลังสร้างวินัยทางการเงินและต้องการเครื่องมือช่วยวางแผนการออมตั้งแต่ต้น (ระบบมีโปรไฟล์ “นักเรียน” ที่ปรับเกณฑ์คะแนนให้เหมาะสม)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ผู้มีเงินได้ที่ต้องวางแผนภาษี: </w:t>
      </w:r>
      <w:r>
        <w:rPr>
          <w:rFonts w:ascii="TH Sarabun New" w:cs="TH Sarabun New" w:eastAsia="TH Sarabun New" w:hAnsi="TH Sarabun New"/>
        </w:rPr>
        <w:t xml:space="preserve">ผู้ที่ต้องการประมาณการภาษีเงินได้บุคคลธรรมดาและวางแผนการใช้สิทธิลดหย่อนล่วงหน้า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color w:val="115E59"/>
          <w:sz w:val="32"/>
          <w:szCs w:val="32"/>
        </w:rPr>
        <w:t xml:space="preserve">4.2 กลุ่มเป้าหมายรอง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คณะกรรมการและผู้เข้าร่วมการแข่งขันนวัตกรรม AI และคณิตศาสตร์วิชาการ ครั้งที่ 11 ที่ประเมินความลึกทางคณิตศาสตร์/สถิติของผลงาน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ครู อาจารย์ และผู้สนใจด้านการศึกษา ที่ต้องการสื่อการสอนคณิตศาสตร์/สถิติประยุกต์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นักพัฒนาและผู้สนใจด้านเทคโนโลยีการเงิน (FinTech) ที่ต้องการศึกษาแนวทางการสร้างระบบวิเคราะห์การเงินที่อธิบายได้และเคารพความเป็นส่วนตัว</w:t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0F766E"/>
          <w:sz w:val="36"/>
          <w:szCs w:val="36"/>
        </w:rPr>
        <w:t xml:space="preserve">5. ความรู้ / งานวิจัย / เทคโนโลยีที่เกี่ยวข้อง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</w:rPr>
        <w:t xml:space="preserve">FinFlow บูรณาการองค์ความรู้จากหลายศาสตร์ โดยเฉพาะคณิตศาสตร์และสถิติ ผสานกับเทคโนโลยีปัญญาประดิษฐ์และวิศวกรรมซอฟต์แวร์ ดังนี้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color w:val="115E59"/>
          <w:sz w:val="32"/>
          <w:szCs w:val="32"/>
        </w:rPr>
        <w:t xml:space="preserve">5.1 องค์ความรู้ด้านคณิตศาสตร์และสถิติ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สถิติเชิงพรรณนา (Descriptive Statistics): </w:t>
      </w:r>
      <w:r>
        <w:rPr>
          <w:rFonts w:ascii="TH Sarabun New" w:cs="TH Sarabun New" w:eastAsia="TH Sarabun New" w:hAnsi="TH Sarabun New"/>
        </w:rPr>
        <w:t xml:space="preserve">ค่าเฉลี่ย ความแปรปรวน ส่วนเบี่ยงเบนมาตรฐาน สัมประสิทธิ์การแปรผัน (CV) ควอนไทล์ และพิสัยระหว่างควอไทล์ (IQR)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การถดถอยเชิงเส้น (Linear Regression): </w:t>
      </w:r>
      <w:r>
        <w:rPr>
          <w:rFonts w:ascii="TH Sarabun New" w:cs="TH Sarabun New" w:eastAsia="TH Sarabun New" w:hAnsi="TH Sarabun New"/>
        </w:rPr>
        <w:t xml:space="preserve">วิธีกำลังสองน้อยที่สุด (Ordinary Least Squares) พร้อมสัมประสิทธิ์การตัดสินใจ R² ใช้พยากรณ์แนวโน้ม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การพยากรณ์อนุกรมเวลา (Time-Series Forecasting): </w:t>
      </w:r>
      <w:r>
        <w:rPr>
          <w:rFonts w:ascii="TH Sarabun New" w:cs="TH Sarabun New" w:eastAsia="TH Sarabun New" w:hAnsi="TH Sarabun New"/>
        </w:rPr>
        <w:t xml:space="preserve">ค่าเฉลี่ยเคลื่อนที่ถ่วงน้ำหนักแบบเอกซ์โพเนนเชียล (EWMA), แนวโน้มแบบหน่วง (Damped Trend, อ้างอิงวิธี Holt), ดัชนีฤดูกาล (Seasonal Index) และช่วงพยากรณ์ (Prediction Interval)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ทฤษฎีความน่าจะเป็น: </w:t>
      </w:r>
      <w:r>
        <w:rPr>
          <w:rFonts w:ascii="TH Sarabun New" w:cs="TH Sarabun New" w:eastAsia="TH Sarabun New" w:hAnsi="TH Sarabun New"/>
        </w:rPr>
        <w:t xml:space="preserve">การประมาณค่าฟังก์ชันการแจกแจงสะสมของการแจกแจงปกติ (Normal CDF) ด้วยสูตรประมาณค่าของ Abramowitz &amp; Stegun เพื่อคำนวณโอกาสใช้จ่ายเกินงบ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การตรวจจับค่าผิดปกติ (Outlier Detection): </w:t>
      </w:r>
      <w:r>
        <w:rPr>
          <w:rFonts w:ascii="TH Sarabun New" w:cs="TH Sarabun New" w:eastAsia="TH Sarabun New" w:hAnsi="TH Sarabun New"/>
        </w:rPr>
        <w:t xml:space="preserve">ใช้ Z-score ร่วมกับวิธีรั้ว IQR (IQR Fence) โดยปรับตัวคูณเป็นแบบ far-out (k = 3) สำหรับข้อมูลที่เบ้ขวา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ทฤษฎีสารสนเทศ (Information Theory): </w:t>
      </w:r>
      <w:r>
        <w:rPr>
          <w:rFonts w:ascii="TH Sarabun New" w:cs="TH Sarabun New" w:eastAsia="TH Sarabun New" w:hAnsi="TH Sarabun New"/>
        </w:rPr>
        <w:t xml:space="preserve">เอนโทรปีของแชนนอน (Shannon Entropy) วัดความกระจายตัวของการใช้จ่ายในแต่ละหมวด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ทฤษฎีกราฟ (Graph Theory): </w:t>
      </w:r>
      <w:r>
        <w:rPr>
          <w:rFonts w:ascii="TH Sarabun New" w:cs="TH Sarabun New" w:eastAsia="TH Sarabun New" w:hAnsi="TH Sarabun New"/>
        </w:rPr>
        <w:t xml:space="preserve">การสร้างกราฟการไหลของเงินแบบ Sankey พร้อมหลักการอนุรักษ์การไหล (Flow Conservation) และการตัดวงจรให้เป็นกราฟไร้วง (DAG)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อัลกอริทึมการวัดความคล้ายของข้อความ: </w:t>
      </w:r>
      <w:r>
        <w:rPr>
          <w:rFonts w:ascii="TH Sarabun New" w:cs="TH Sarabun New" w:eastAsia="TH Sarabun New" w:hAnsi="TH Sarabun New"/>
        </w:rPr>
        <w:t xml:space="preserve">ระยะแก้ไข Levenshtein (Edit Distance) ด้วยการโปรแกรมเชิงพลวัต (Dynamic Programming) ใช้ในการกันรายการซ้ำแบบ Fuzzy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คณิตศาสตร์การคลัง: </w:t>
      </w:r>
      <w:r>
        <w:rPr>
          <w:rFonts w:ascii="TH Sarabun New" w:cs="TH Sarabun New" w:eastAsia="TH Sarabun New" w:hAnsi="TH Sarabun New"/>
        </w:rPr>
        <w:t xml:space="preserve">การคำนวณภาษีเงินได้บุคคลธรรมดาแบบขั้นบันได (Progressive Tax) ตามประมวลรัษฎากร ปีภาษี 2567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color w:val="115E59"/>
          <w:sz w:val="32"/>
          <w:szCs w:val="32"/>
        </w:rPr>
        <w:t xml:space="preserve">5.2 กรอบแนวคิด/งานวิจัยด้านสุขภาพการเงินที่อ้างอิง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กรอบ FinHealth Score ของ Financial Health Network และกรอบ Financial Well-Being ของ CFPB (สหรัฐอเมริกา)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เกณฑ์ Happy Money / 6 Step ของตลาดหลักทรัพย์แห่งประเทศไทย (SET) และแนวทางส่งเสริมความรู้ทางการเงินของธนาคารแห่งประเทศไทย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</w:rPr>
        <w:t xml:space="preserve">กฎการจัดสรรเงิน 50/30/20 (Needs / Wants / Savings) สำหรับประเมินวินัยการใช้จ่าย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color w:val="115E59"/>
          <w:sz w:val="32"/>
          <w:szCs w:val="32"/>
        </w:rPr>
        <w:t xml:space="preserve">5.3 เทคโนโลยีที่นำมาใช้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ภาษาและสถาปัตยกรรม: </w:t>
      </w:r>
      <w:r>
        <w:rPr>
          <w:rFonts w:ascii="TH Sarabun New" w:cs="TH Sarabun New" w:eastAsia="TH Sarabun New" w:hAnsi="TH Sarabun New"/>
        </w:rPr>
        <w:t xml:space="preserve">TypeScript แบบ Monorepo (npm workspaces) แยกเป็นส่วน shared (เอนจินสถิติ), server และ client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ฝั่งหน้าบ้าน (Frontend): </w:t>
      </w:r>
      <w:r>
        <w:rPr>
          <w:rFonts w:ascii="TH Sarabun New" w:cs="TH Sarabun New" w:eastAsia="TH Sarabun New" w:hAnsi="TH Sarabun New"/>
        </w:rPr>
        <w:t xml:space="preserve">React + Vite พัฒนาเป็น Progressive Web App (PWA) ใช้กราฟด้วยไลบรารี Recharts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ฝั่งหลังบ้าน (Backend): </w:t>
      </w:r>
      <w:r>
        <w:rPr>
          <w:rFonts w:ascii="TH Sarabun New" w:cs="TH Sarabun New" w:eastAsia="TH Sarabun New" w:hAnsi="TH Sarabun New"/>
        </w:rPr>
        <w:t xml:space="preserve">Node.js + Express และฐานข้อมูล SQLite (better-sqlite3) ทำงานในเครื่องได้โดยไม่ต้องพึ่งเซิร์ฟเวอร์ภายนอก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การอ่านสลิปด้วยภาพ (OCR): </w:t>
      </w:r>
      <w:r>
        <w:rPr>
          <w:rFonts w:ascii="TH Sarabun New" w:cs="TH Sarabun New" w:eastAsia="TH Sarabun New" w:hAnsi="TH Sarabun New"/>
        </w:rPr>
        <w:t xml:space="preserve">ใช้โมเดลวิทัศน์ Llama 4 Scout ผ่าน Groq เป็นหลัก สำรองด้วย Gemini และ Tesseract พร้อมขั้นตอนปรับภาพ (sharp) เพื่อลบลายน้ำและขยายความคมชัด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ผู้ช่วย AI ด้านข้อความ: </w:t>
      </w:r>
      <w:r>
        <w:rPr>
          <w:rFonts w:ascii="TH Sarabun New" w:cs="TH Sarabun New" w:eastAsia="TH Sarabun New" w:hAnsi="TH Sarabun New"/>
        </w:rPr>
        <w:t xml:space="preserve">โมเดลภาษา (LLM) ผ่าน Groq และ Gemini โดยมีกลไกสำรองแบบกฎ (Rule-based) ทุกเส้นทาง ทำให้ระบบทำงานได้แม้ไม่มีคีย์ AI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การเชื่อมต่อข้อมูล: </w:t>
      </w:r>
      <w:r>
        <w:rPr>
          <w:rFonts w:ascii="TH Sarabun New" w:cs="TH Sarabun New" w:eastAsia="TH Sarabun New" w:hAnsi="TH Sarabun New"/>
        </w:rPr>
        <w:t xml:space="preserve">Gmail API (สิทธิ์อ่านอย่างเดียว gmail.readonly) สำหรับดึง e-Statement และสลิปจากอีเมล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0F766E"/>
          <w:sz w:val="36"/>
          <w:szCs w:val="36"/>
        </w:rPr>
        <w:t xml:space="preserve">6. กรอบแนวคิดของนวัตกรรม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</w:rPr>
        <w:t xml:space="preserve">FinFlow ออกแบบบนแนวคิด “ท่อส่งข้อมูลการเงิน” (Financial Data Pipeline) ที่แปลงข้อมูลดิบจากหลายแหล่งให้กลายเป็นข้อมูลเชิงลึกที่อธิบายได้ ผ่าน 5 ขั้นตอนหลัก ดังแผนภาพ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15E59"/>
                <w:sz w:val="30"/>
                <w:szCs w:val="30"/>
              </w:rPr>
              <w:t xml:space="preserve">1) แหล่งข้อมูล (Data Sources)</w:t>
            </w:r>
          </w:p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Gmail (e-Statement + สลิป) · อัปโหลด PDF/รูปภาพ · บันทึกด้วยตนเอง</w:t>
            </w:r>
          </w:p>
        </w:tc>
      </w:tr>
    </w:tbl>
    <w:p>
      <w:pPr>
        <w:spacing w:after="30" w:before="30"/>
        <w:jc w:val="center"/>
      </w:pPr>
      <w:r>
        <w:rPr>
          <w:rFonts w:ascii="TH Sarabun New" w:cs="TH Sarabun New" w:eastAsia="TH Sarabun New" w:hAnsi="TH Sarabun New"/>
          <w:color w:val="0F766E"/>
          <w:sz w:val="30"/>
          <w:szCs w:val="30"/>
        </w:rPr>
        <w:t xml:space="preserve">▼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15E59"/>
                <w:sz w:val="30"/>
                <w:szCs w:val="30"/>
              </w:rPr>
              <w:t xml:space="preserve">2) การสกัดและแปลงรูปแบบ (Extract &amp; Normalize)</w:t>
            </w:r>
          </w:p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Parser แต่ละธนาคาร + OCR อ่านสลิป → แปลงทุกอย่างเป็นโครงสร้างมาตรฐาน Transaction เดียวกัน</w:t>
            </w:r>
          </w:p>
        </w:tc>
      </w:tr>
    </w:tbl>
    <w:p>
      <w:pPr>
        <w:spacing w:after="30" w:before="30"/>
        <w:jc w:val="center"/>
      </w:pPr>
      <w:r>
        <w:rPr>
          <w:rFonts w:ascii="TH Sarabun New" w:cs="TH Sarabun New" w:eastAsia="TH Sarabun New" w:hAnsi="TH Sarabun New"/>
          <w:color w:val="0F766E"/>
          <w:sz w:val="30"/>
          <w:szCs w:val="30"/>
        </w:rPr>
        <w:t xml:space="preserve">▼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15E59"/>
                <w:sz w:val="30"/>
                <w:szCs w:val="30"/>
              </w:rPr>
              <w:t xml:space="preserve">3) การประมวลผลข้อมูล (Processing Pipeline)</w:t>
            </w:r>
          </w:p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จัดหมวดอัตโนมัติ → กันรายการซ้ำ (Dedup) → จับคู่การโอนข้ามกระเป๋า → กระทบยอดจากยอดคงเหลือ</w:t>
            </w:r>
          </w:p>
        </w:tc>
      </w:tr>
    </w:tbl>
    <w:p>
      <w:pPr>
        <w:spacing w:after="30" w:before="30"/>
        <w:jc w:val="center"/>
      </w:pPr>
      <w:r>
        <w:rPr>
          <w:rFonts w:ascii="TH Sarabun New" w:cs="TH Sarabun New" w:eastAsia="TH Sarabun New" w:hAnsi="TH Sarabun New"/>
          <w:color w:val="0F766E"/>
          <w:sz w:val="30"/>
          <w:szCs w:val="30"/>
        </w:rPr>
        <w:t xml:space="preserve">▼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15E59"/>
                <w:sz w:val="30"/>
                <w:szCs w:val="30"/>
              </w:rPr>
              <w:t xml:space="preserve">4) เอนจินวิเคราะห์ (Statistics Engine)</w:t>
            </w:r>
          </w:p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คะแนนสุขภาพการเงิน · พยากรณ์ · ตรวจจับผิดปกติ · แนวโน้มหมวด · เอนโทรปี · Sankey · ภาษี</w:t>
            </w:r>
          </w:p>
        </w:tc>
      </w:tr>
    </w:tbl>
    <w:p>
      <w:pPr>
        <w:spacing w:after="30" w:before="30"/>
        <w:jc w:val="center"/>
      </w:pPr>
      <w:r>
        <w:rPr>
          <w:rFonts w:ascii="TH Sarabun New" w:cs="TH Sarabun New" w:eastAsia="TH Sarabun New" w:hAnsi="TH Sarabun New"/>
          <w:color w:val="0F766E"/>
          <w:sz w:val="30"/>
          <w:szCs w:val="30"/>
        </w:rPr>
        <w:t xml:space="preserve">▼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CCFBF1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3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15E59"/>
                <w:sz w:val="30"/>
                <w:szCs w:val="30"/>
              </w:rPr>
              <w:t xml:space="preserve">5) การนำเสนอและผู้ช่วย AI (Presentation &amp; AI)</w:t>
            </w:r>
          </w:p>
          <w:p>
            <w:pPr>
              <w:spacing w:after="0" w:line="270"/>
              <w:jc w:val="center"/>
            </w:pPr>
            <w:r>
              <w:rPr>
                <w:rFonts w:ascii="TH Sarabun New" w:cs="TH Sarabun New" w:eastAsia="TH Sarabun New" w:hAnsi="TH Sarabun New"/>
                <w:sz w:val="26"/>
                <w:szCs w:val="26"/>
              </w:rPr>
              <w:t xml:space="preserve">แดชบอร์ด + กราฟ + แผง “วิธีคิด/สูตร/อ้างอิง” · ผู้ช่วย AI ที่ใช้ตัวเลขจากโค้ดจริง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color w:val="115E59"/>
          <w:sz w:val="32"/>
          <w:szCs w:val="32"/>
        </w:rPr>
        <w:t xml:space="preserve">6.1 หลักการออกแบบสำคัญ (Design Principles)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เขียนสูตรเองทุกบรรทัด (Hand-written math): </w:t>
      </w:r>
      <w:r>
        <w:rPr>
          <w:rFonts w:ascii="TH Sarabun New" w:cs="TH Sarabun New" w:eastAsia="TH Sarabun New" w:hAnsi="TH Sarabun New"/>
        </w:rPr>
        <w:t xml:space="preserve">ไม่พึ่งไลบรารีสถิติสำเร็จรูป เพื่อให้อธิบายที่มาได้ทุกค่า ตอบคำถามกรรมการได้ทันที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คำนวณได้ทั้งสองฝั่ง (Isomorphic): </w:t>
      </w:r>
      <w:r>
        <w:rPr>
          <w:rFonts w:ascii="TH Sarabun New" w:cs="TH Sarabun New" w:eastAsia="TH Sarabun New" w:hAnsi="TH Sarabun New"/>
        </w:rPr>
        <w:t xml:space="preserve">เอนจินสถิติชุดเดียวกันทำงานได้ทั้งบนเบราว์เซอร์และเซิร์ฟเวอร์ จึงจำลองสถานการณ์ (What-if) และวางแผนภาษีได้สดในเครื่องผู้ใช้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ตรวจสอบความถูกต้องได้ (Auditable): </w:t>
      </w:r>
      <w:r>
        <w:rPr>
          <w:rFonts w:ascii="TH Sarabun New" w:cs="TH Sarabun New" w:eastAsia="TH Sarabun New" w:hAnsi="TH Sarabun New"/>
        </w:rPr>
        <w:t xml:space="preserve">กราฟ Sankey มีการตรวจสมดุลการไหล และการพยากรณ์มีการทวนสอบย้อนหลัง (Backtest) ด้วยค่า MAPE และ Skill Score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โปร่งใสและอธิบายได้ (Explainable): </w:t>
      </w:r>
      <w:r>
        <w:rPr>
          <w:rFonts w:ascii="TH Sarabun New" w:cs="TH Sarabun New" w:eastAsia="TH Sarabun New" w:hAnsi="TH Sarabun New"/>
        </w:rPr>
        <w:t xml:space="preserve">ทุกตัวเลขสามารถกดดูสูตรและแหล่งอ้างอิงได้ และผู้ช่วย AI แนบ “ตัวเลขที่ใช้ตอบ” ที่คำนวณจากโค้ด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เป็นส่วนตัวก่อน (Privacy-first): </w:t>
      </w:r>
      <w:r>
        <w:rPr>
          <w:rFonts w:ascii="TH Sarabun New" w:cs="TH Sarabun New" w:eastAsia="TH Sarabun New" w:hAnsi="TH Sarabun New"/>
        </w:rPr>
        <w:t xml:space="preserve">รหัสผ่านไฟล์ Statement เก็บในเบราว์เซอร์เท่านั้น ปลดล็อก/ประมวลผลในเครื่อง และกรองข้อมูลอ่อนไหวก่อนส่งให้ AI</w:t>
      </w:r>
    </w:p>
    <w:p>
      <w:pPr>
        <w:pStyle w:val="ListParagraph"/>
        <w:numPr>
          <w:ilvl w:val="0"/>
          <w:numId w:val="2"/>
        </w:numPr>
        <w:spacing w:after="60" w:line="29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ใช้งานได้ทันที (Demo-first): </w:t>
      </w:r>
      <w:r>
        <w:rPr>
          <w:rFonts w:ascii="TH Sarabun New" w:cs="TH Sarabun New" w:eastAsia="TH Sarabun New" w:hAnsi="TH Sarabun New"/>
        </w:rPr>
        <w:t xml:space="preserve">เปิดใช้ได้โดยไม่ต้องตั้งค่าหรือล็อกอิน ด้วยข้อมูลตัวอย่าง 6 เดือน ทำให้สาธิตได้ทันที</w:t>
      </w:r>
    </w:p>
    <w:p>
      <w:pPr>
        <w:pStyle w:val="Heading2"/>
        <w:spacing w:after="100" w:before="160"/>
      </w:pPr>
      <w:r>
        <w:rPr>
          <w:rFonts w:ascii="TH Sarabun New" w:cs="TH Sarabun New" w:eastAsia="TH Sarabun New" w:hAnsi="TH Sarabun New"/>
          <w:b/>
          <w:bCs/>
          <w:color w:val="115E59"/>
          <w:sz w:val="32"/>
          <w:szCs w:val="32"/>
        </w:rPr>
        <w:t xml:space="preserve">6.2 ขอบเขตฟีเจอร์หลัก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</w:rPr>
        <w:t xml:space="preserve">ระบบประกอบด้วยหน้าใช้งานหลัก ได้แก่ ภาพรวม (Dashboard), รายการธุรกรรม, เส้นทางเงิน (Sankey), ไทม์ไลน์, คาดการณ์, รายจ่ายผิดปกติ, งบประมาณ, ภาษี, ผู้ช่วย AI และการเชื่อมต่อข้อมูล โดยทุกหน้ารองรับการเลือกช่วงเวลา การแยกข้อมูลจริง/เดโม และโหมดสว่าง/มืด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0F766E"/>
          <w:sz w:val="36"/>
          <w:szCs w:val="36"/>
        </w:rPr>
        <w:t xml:space="preserve">7. บุคคล / หน่วยงานที่เกี่ยวข้อง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</w:rPr>
        <w:t xml:space="preserve">บุคคลและหน่วยงานที่เกี่ยวข้องกับการพัฒนาและนำเสนอนวัตกรรม FinFlow มีดังนี้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</w:rPr>
              <w:t xml:space="preserve">บุคคล / หน่วยงาน</w:t>
            </w:r>
          </w:p>
        </w:tc>
        <w:tc>
          <w:tcPr>
            <w:tcW w:type="dxa" w:w="5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</w:rPr>
              <w:t xml:space="preserve">บทบาทและความเกี่ยวข้อง</w:t>
            </w:r>
          </w:p>
        </w:tc>
      </w:tr>
      <w:tr>
        <w:tc>
          <w:tcPr>
            <w:tcW w:type="dxa" w:w="3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ผู้พัฒนา / ทีมผู้จัดทำ</w:t>
            </w:r>
          </w:p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[ ระบุชื่อ ]</w:t>
            </w:r>
          </w:p>
        </w:tc>
        <w:tc>
          <w:tcPr>
            <w:tcW w:type="dxa" w:w="5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ออกแบบแนวคิด พัฒนาเอนจินคณิตศาสตร์/สถิติ เขียนโปรแกรมทั้งระบบ ทดสอบ และจัดทำเอกสารนำเสนอ</w:t>
            </w:r>
          </w:p>
        </w:tc>
      </w:tr>
      <w:tr>
        <w:tc>
          <w:tcPr>
            <w:tcW w:type="dxa" w:w="3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ครู/อาจารย์ที่ปรึกษา</w:t>
            </w:r>
          </w:p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[ ระบุชื่อ ]</w:t>
            </w:r>
          </w:p>
        </w:tc>
        <w:tc>
          <w:tcPr>
            <w:tcW w:type="dxa" w:w="5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ให้คำปรึกษา ตรวจสอบความถูกต้องเชิงวิชาการ แนะนำการนำเสนอ และสนับสนุนการเข้าร่วมการแข่งขัน</w:t>
            </w:r>
          </w:p>
        </w:tc>
      </w:tr>
      <w:tr>
        <w:tc>
          <w:tcPr>
            <w:tcW w:type="dxa" w:w="3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สถานศึกษา / ต้นสังกัด</w:t>
            </w:r>
          </w:p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[ ระบุชื่อ ]</w:t>
            </w:r>
          </w:p>
        </w:tc>
        <w:tc>
          <w:tcPr>
            <w:tcW w:type="dxa" w:w="5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สนับสนุนทรัพยากร สถานที่ และส่งผลงานเข้าร่วมการแข่งขัน</w:t>
            </w:r>
          </w:p>
        </w:tc>
      </w:tr>
      <w:tr>
        <w:tc>
          <w:tcPr>
            <w:tcW w:type="dxa" w:w="3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ผู้จัดการแข่งขัน</w:t>
            </w:r>
          </w:p>
        </w:tc>
        <w:tc>
          <w:tcPr>
            <w:tcW w:type="dxa" w:w="5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คณะกรรมการจัดการแข่งขันนวัตกรรม AI และคณิตศาสตร์วิชาการ ครั้งที่ 11 ผู้กำหนดกติกา ประเมินผล และจัดเวทีนำเสนอ</w:t>
            </w:r>
          </w:p>
        </w:tc>
      </w:tr>
      <w:tr>
        <w:tc>
          <w:tcPr>
            <w:tcW w:type="dxa" w:w="3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ผู้ให้บริการเทคโนโลยี</w:t>
            </w:r>
          </w:p>
        </w:tc>
        <w:tc>
          <w:tcPr>
            <w:tcW w:type="dxa" w:w="5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Google (Gmail API, Gemini), Groq (LLM และโมเดลวิทัศน์ Llama 4) — ใช้เป็นบริการ AI/ข้อมูล โดยมีกลไกสำรองในกรณีไม่มีคีย์</w:t>
            </w:r>
          </w:p>
        </w:tc>
      </w:tr>
      <w:tr>
        <w:tc>
          <w:tcPr>
            <w:tcW w:type="dxa" w:w="3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สถาบันการเงินที่เป็นแหล่งข้อมูล</w:t>
            </w:r>
          </w:p>
        </w:tc>
        <w:tc>
          <w:tcPr>
            <w:tcW w:type="dxa" w:w="5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ธนาคารกสิกรไทย (KBank, Make by KBank) และ TrueMoney — เป็นแหล่งรูปแบบ e-Statement/สลิปที่ระบบรองรับ (FinFlow เพียงอ่านข้อมูลของผู้ใช้เอง)</w:t>
            </w:r>
          </w:p>
        </w:tc>
      </w:tr>
      <w:tr>
        <w:tc>
          <w:tcPr>
            <w:tcW w:type="dxa" w:w="3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ผู้ทดสอบระบบ</w:t>
            </w:r>
          </w:p>
        </w:tc>
        <w:tc>
          <w:tcPr>
            <w:tcW w:type="dxa" w:w="5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ผู้พัฒนาและผู้ใช้ตัวอย่าง ทดสอบด้วยข้อมูลจริงและข้อมูลเดโม เพื่อตรวจสอบความถูกต้องของการอ่านสลิปและการคำนวณ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หมายเหตุ: </w:t>
      </w:r>
      <w:r>
        <w:rPr>
          <w:rFonts w:ascii="TH Sarabun New" w:cs="TH Sarabun New" w:eastAsia="TH Sarabun New" w:hAnsi="TH Sarabun New"/>
        </w:rPr>
        <w:t xml:space="preserve">ช่องที่มีเครื่องหมาย [ ... ] ผู้จัดทำสามารถเติมชื่อจริงให้ครบถ้วนก่อนส่งรูปเล่ม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0F766E"/>
          <w:sz w:val="36"/>
          <w:szCs w:val="36"/>
        </w:rPr>
        <w:t xml:space="preserve">8. ระยะเวลาในการดำเนินงาน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</w:rPr>
        <w:t xml:space="preserve">ระยะเวลาดำเนินงานรวมประมาณ 6 เดือน (มีนาคม – สิงหาคม 2569) แบ่งเป็น 8 ระยะ ดังตาราง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26"/>
        <w:gridCol w:w="2200"/>
        <w:gridCol w:w="2600"/>
      </w:tblGrid>
      <w:tr>
        <w:trPr>
          <w:tblHeader/>
        </w:trP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</w:rPr>
              <w:t xml:space="preserve">ที่</w:t>
            </w:r>
          </w:p>
        </w:tc>
        <w:tc>
          <w:tcPr>
            <w:tcW w:type="dxa" w:w="36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</w:rPr>
              <w:t xml:space="preserve">กิจกรรม</w:t>
            </w:r>
          </w:p>
        </w:tc>
        <w:tc>
          <w:tcPr>
            <w:tcW w:type="dxa" w:w="2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</w:rPr>
              <w:t xml:space="preserve">ช่วงเวลา</w:t>
            </w:r>
          </w:p>
        </w:tc>
        <w:tc>
          <w:tcPr>
            <w:tcW w:type="dxa" w:w="2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</w:rPr>
              <w:t xml:space="preserve">ผลลัพธ์ที่ได้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1</w:t>
            </w:r>
          </w:p>
        </w:tc>
        <w:tc>
          <w:tcPr>
            <w:tcW w:type="dxa" w:w="36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ศึกษาปัญหา สำรวจความต้องการ และกำหนดแนวคิด</w:t>
            </w:r>
          </w:p>
        </w:tc>
        <w:tc>
          <w:tcPr>
            <w:tcW w:type="dxa" w:w="2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มี.ค. 2569</w:t>
            </w:r>
          </w:p>
        </w:tc>
        <w:tc>
          <w:tcPr>
            <w:tcW w:type="dxa" w:w="2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โจทย์และขอบเขตของนวัตกรรม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2</w:t>
            </w:r>
          </w:p>
        </w:tc>
        <w:tc>
          <w:tcPr>
            <w:tcW w:type="dxa" w:w="36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ออกแบบสถาปัตยกรรมระบบและเอนจินคณิตศาสตร์/สถิติ</w:t>
            </w:r>
          </w:p>
        </w:tc>
        <w:tc>
          <w:tcPr>
            <w:tcW w:type="dxa" w:w="2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เม.ย. 2569</w:t>
            </w:r>
          </w:p>
        </w:tc>
        <w:tc>
          <w:tcPr>
            <w:tcW w:type="dxa" w:w="2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แบบสถาปัตยกรรม + รายการสูตร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3</w:t>
            </w:r>
          </w:p>
        </w:tc>
        <w:tc>
          <w:tcPr>
            <w:tcW w:type="dxa" w:w="36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พัฒนาส่วนนำเข้าข้อมูล (Parser/OCR/Gmail) และการประมวลผล</w:t>
            </w:r>
          </w:p>
        </w:tc>
        <w:tc>
          <w:tcPr>
            <w:tcW w:type="dxa" w:w="2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เม.ย. – พ.ค. 2569</w:t>
            </w:r>
          </w:p>
        </w:tc>
        <w:tc>
          <w:tcPr>
            <w:tcW w:type="dxa" w:w="2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ระบบรวมและจัดหมวดธุรกรรม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4</w:t>
            </w:r>
          </w:p>
        </w:tc>
        <w:tc>
          <w:tcPr>
            <w:tcW w:type="dxa" w:w="36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พัฒนาเอนจินวิเคราะห์และหน้าจอใช้งานทั้งหมด</w:t>
            </w:r>
          </w:p>
        </w:tc>
        <w:tc>
          <w:tcPr>
            <w:tcW w:type="dxa" w:w="2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พ.ค. – มิ.ย. 2569</w:t>
            </w:r>
          </w:p>
        </w:tc>
        <w:tc>
          <w:tcPr>
            <w:tcW w:type="dxa" w:w="2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ฟีเจอร์ครบตามขอบเขต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5</w:t>
            </w:r>
          </w:p>
        </w:tc>
        <w:tc>
          <w:tcPr>
            <w:tcW w:type="dxa" w:w="36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ทดสอบระบบ เขียนชุดทดสอบอัตโนมัติ และทดสอบข้อมูลจริง</w:t>
            </w:r>
          </w:p>
        </w:tc>
        <w:tc>
          <w:tcPr>
            <w:tcW w:type="dxa" w:w="2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มิ.ย. 2569</w:t>
            </w:r>
          </w:p>
        </w:tc>
        <w:tc>
          <w:tcPr>
            <w:tcW w:type="dxa" w:w="2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ผลทดสอบและการแก้ไขข้อบกพร่อง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6</w:t>
            </w:r>
          </w:p>
        </w:tc>
        <w:tc>
          <w:tcPr>
            <w:tcW w:type="dxa" w:w="36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จัดทำรูปเล่มและเอกสารวิธีคิดทางคณิตศาสตร์</w:t>
            </w:r>
          </w:p>
        </w:tc>
        <w:tc>
          <w:tcPr>
            <w:tcW w:type="dxa" w:w="2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ปลาย มิ.ย. – 10 ก.ค. 2569</w:t>
            </w:r>
          </w:p>
        </w:tc>
        <w:tc>
          <w:tcPr>
            <w:tcW w:type="dxa" w:w="2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รูปเล่มนำเสนอ (กำหนดส่ง 10 ก.ค. 2569)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7</w:t>
            </w:r>
          </w:p>
        </w:tc>
        <w:tc>
          <w:tcPr>
            <w:tcW w:type="dxa" w:w="36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เตรียมการนำเสนอและรอผลการคัดเลือก</w:t>
            </w:r>
          </w:p>
        </w:tc>
        <w:tc>
          <w:tcPr>
            <w:tcW w:type="dxa" w:w="2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ก.ค. – ส.ค. 2569</w:t>
            </w:r>
          </w:p>
        </w:tc>
        <w:tc>
          <w:tcPr>
            <w:tcW w:type="dxa" w:w="2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สื่อนำเสนอ (ประกาศผลคัดเลือก 5 ส.ค. 2569)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8</w:t>
            </w:r>
          </w:p>
        </w:tc>
        <w:tc>
          <w:tcPr>
            <w:tcW w:type="dxa" w:w="36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นำเสนอบนเวทีและประกาศผล</w:t>
            </w:r>
          </w:p>
        </w:tc>
        <w:tc>
          <w:tcPr>
            <w:tcW w:type="dxa" w:w="22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20 – 26 ส.ค. 2569</w:t>
            </w:r>
          </w:p>
        </w:tc>
        <w:tc>
          <w:tcPr>
            <w:tcW w:type="dxa" w:w="2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นำเสนอ (Pitching 20 ส.ค.) / ผลรอบสุดท้าย 26 ส.ค. 2569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กำหนดการสำคัญของการแข่งขัน: </w:t>
      </w:r>
      <w:r>
        <w:rPr>
          <w:rFonts w:ascii="TH Sarabun New" w:cs="TH Sarabun New" w:eastAsia="TH Sarabun New" w:hAnsi="TH Sarabun New"/>
        </w:rPr>
        <w:t xml:space="preserve">ส่งรูปเล่ม 10 กรกฎาคม 2569 · ประกาศผลคัดเลือก 5 สิงหาคม 2569 · นำเสนอบนเวที (5 นาที + ถาม-ตอบ 5 นาที) 20 สิงหาคม 2569 · ประกาศผลรอบสุดท้าย 26 สิงหาคม 2569</w:t>
      </w:r>
    </w:p>
    <w:p>
      <w:pPr>
        <w:pStyle w:val="Heading1"/>
        <w:spacing w:after="160" w:before="240"/>
      </w:pPr>
      <w:r>
        <w:rPr>
          <w:rFonts w:ascii="TH Sarabun New" w:cs="TH Sarabun New" w:eastAsia="TH Sarabun New" w:hAnsi="TH Sarabun New"/>
          <w:b/>
          <w:bCs/>
          <w:color w:val="0F766E"/>
          <w:sz w:val="36"/>
          <w:szCs w:val="36"/>
        </w:rPr>
        <w:t xml:space="preserve">9. งบประมาณ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</w:rPr>
        <w:t xml:space="preserve">เนื่องจาก FinFlow ออกแบบให้ทำงานได้ในเครื่องผู้ใช้ ใช้ฐานข้อมูล SQLite ภายในเครื่อง และใช้บริการ AI ในระดับโควตาฟรีเป็นหลัก ต้นทุนการดำเนินงานจริงจึงต่ำมาก งบประมาณส่วนใหญ่จึงเป็นค่าใช้จ่ายเพื่อการนำเสนอและการเข้าร่วมการแข่งขัน โดยประมาณการดังตาราง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26"/>
        <w:gridCol w:w="1800"/>
        <w:gridCol w:w="2800"/>
      </w:tblGrid>
      <w:tr>
        <w:trPr>
          <w:tblHeader/>
        </w:trP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</w:rPr>
              <w:t xml:space="preserve">ที่</w:t>
            </w:r>
          </w:p>
        </w:tc>
        <w:tc>
          <w:tcPr>
            <w:tcW w:type="dxa" w:w="3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</w:rPr>
              <w:t xml:space="preserve">รายการ</w:t>
            </w:r>
          </w:p>
        </w:tc>
        <w:tc>
          <w:tcPr>
            <w:tcW w:type="dxa" w:w="1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</w:rPr>
              <w:t xml:space="preserve">จำนวนเงิน (บาท)</w:t>
            </w:r>
          </w:p>
        </w:tc>
        <w:tc>
          <w:tcPr>
            <w:tcW w:type="dxa" w:w="2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0F766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</w:rPr>
              <w:t xml:space="preserve">หมายเหตุ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1</w:t>
            </w:r>
          </w:p>
        </w:tc>
        <w:tc>
          <w:tcPr>
            <w:tcW w:type="dxa" w:w="3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ค่าบริการ AI / LLM API (Groq, Gemini) สำหรับทดสอบและสาธิต</w:t>
            </w:r>
          </w:p>
        </w:tc>
        <w:tc>
          <w:tcPr>
            <w:tcW w:type="dxa" w:w="1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1,000</w:t>
            </w:r>
          </w:p>
        </w:tc>
        <w:tc>
          <w:tcPr>
            <w:tcW w:type="dxa" w:w="2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ใช้โควตาฟรีเป็นหลัก เผื่อกรณีเกินโควตา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2</w:t>
            </w:r>
          </w:p>
        </w:tc>
        <w:tc>
          <w:tcPr>
            <w:tcW w:type="dxa" w:w="3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ค่าจดทะเบียนโดเมนและบริการโฮสติ้ง (กรณี deploy สาธิต)</w:t>
            </w:r>
          </w:p>
        </w:tc>
        <w:tc>
          <w:tcPr>
            <w:tcW w:type="dxa" w:w="1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1,200</w:t>
            </w:r>
          </w:p>
        </w:tc>
        <w:tc>
          <w:tcPr>
            <w:tcW w:type="dxa" w:w="2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ระยะเวลา 1 ปี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3</w:t>
            </w:r>
          </w:p>
        </w:tc>
        <w:tc>
          <w:tcPr>
            <w:tcW w:type="dxa" w:w="3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ค่าจัดทำรูปเล่ม เข้าเล่ม และพิมพ์เอกสารประกอบ</w:t>
            </w:r>
          </w:p>
        </w:tc>
        <w:tc>
          <w:tcPr>
            <w:tcW w:type="dxa" w:w="1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800</w:t>
            </w:r>
          </w:p>
        </w:tc>
        <w:tc>
          <w:tcPr>
            <w:tcW w:type="dxa" w:w="2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ตามจำนวนที่กำหนดส่ง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4</w:t>
            </w:r>
          </w:p>
        </w:tc>
        <w:tc>
          <w:tcPr>
            <w:tcW w:type="dxa" w:w="3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ค่าวัสดุอุปกรณ์และเครื่องเขียนในการจัดทำผลงาน</w:t>
            </w:r>
          </w:p>
        </w:tc>
        <w:tc>
          <w:tcPr>
            <w:tcW w:type="dxa" w:w="1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500</w:t>
            </w:r>
          </w:p>
        </w:tc>
        <w:tc>
          <w:tcPr>
            <w:tcW w:type="dxa" w:w="2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5</w:t>
            </w:r>
          </w:p>
        </w:tc>
        <w:tc>
          <w:tcPr>
            <w:tcW w:type="dxa" w:w="3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ค่าเดินทางและที่พักสำหรับการนำเสนอบนเวที</w:t>
            </w:r>
          </w:p>
        </w:tc>
        <w:tc>
          <w:tcPr>
            <w:tcW w:type="dxa" w:w="1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3,000</w:t>
            </w:r>
          </w:p>
        </w:tc>
        <w:tc>
          <w:tcPr>
            <w:tcW w:type="dxa" w:w="2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ขึ้นกับสถานที่จัดงาน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6</w:t>
            </w:r>
          </w:p>
        </w:tc>
        <w:tc>
          <w:tcPr>
            <w:tcW w:type="dxa" w:w="3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ค่าอุปกรณ์คอมพิวเตอร์และอินเทอร์เน็ตในการพัฒนา</w:t>
            </w:r>
          </w:p>
        </w:tc>
        <w:tc>
          <w:tcPr>
            <w:tcW w:type="dxa" w:w="1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—</w:t>
            </w:r>
          </w:p>
        </w:tc>
        <w:tc>
          <w:tcPr>
            <w:tcW w:type="dxa" w:w="2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ใช้ทรัพยากรเดิม (in-kind) ไม่มีค่าใช้จ่ายเพิ่ม</w:t>
            </w:r>
          </w:p>
        </w:tc>
      </w:tr>
      <w:tr>
        <w:tc>
          <w:tcPr>
            <w:tcW w:type="dxa" w:w="6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7</w:t>
            </w:r>
          </w:p>
        </w:tc>
        <w:tc>
          <w:tcPr>
            <w:tcW w:type="dxa" w:w="38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ค่าสำรองจ่ายฉุกเฉิน (ประมาณ 10%)</w:t>
            </w:r>
          </w:p>
        </w:tc>
        <w:tc>
          <w:tcPr>
            <w:tcW w:type="dxa" w:w="1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650</w:t>
            </w:r>
          </w:p>
        </w:tc>
        <w:tc>
          <w:tcPr>
            <w:tcW w:type="dxa" w:w="2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เผื่อค่าใช้จ่ายที่ไม่คาดคิด</w:t>
            </w:r>
          </w:p>
        </w:tc>
      </w:tr>
      <w:tr>
        <w:tc>
          <w:tcPr>
            <w:tcW w:type="dxa" w:w="4426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CCFB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รวมงบประมาณโดยประมาณ</w:t>
            </w:r>
          </w:p>
        </w:tc>
        <w:tc>
          <w:tcPr>
            <w:tcW w:type="dxa" w:w="1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CCFB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7,150</w:t>
            </w:r>
          </w:p>
        </w:tc>
        <w:tc>
          <w:tcPr>
            <w:tcW w:type="dxa" w:w="2800"/>
            <w:tcBorders>
              <w:top w:val="single" w:color="B6C2CF" w:sz="4"/>
              <w:left w:val="single" w:color="B6C2CF" w:sz="4"/>
              <w:bottom w:val="single" w:color="B6C2CF" w:sz="4"/>
              <w:right w:val="single" w:color="B6C2CF" w:sz="4"/>
            </w:tcBorders>
            <w:shd w:fill="CCFB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</w:rPr>
              <w:t xml:space="preserve">(โดยประมาณ)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b/>
          <w:bCs/>
        </w:rPr>
        <w:t xml:space="preserve">หมายเหตุ: </w:t>
      </w:r>
      <w:r>
        <w:rPr>
          <w:rFonts w:ascii="TH Sarabun New" w:cs="TH Sarabun New" w:eastAsia="TH Sarabun New" w:hAnsi="TH Sarabun New"/>
        </w:rPr>
        <w:t xml:space="preserve">ตัวเลขข้างต้นเป็นการประมาณการ ผู้จัดทำสามารถปรับให้สอดคล้องกับเงื่อนไขจริงและระเบียบการเบิกจ่ายของสถานศึกษา/การแข่งขันได้ ทั้งนี้ ต้นทุนการดำเนินงานของระบบ (Operating Cost) ในการใช้งานจริงเข้าใกล้ศูนย์ เพราะไม่ต้องพึ่งเซิร์ฟเวอร์ภายนอกและใช้บริการ AI ในระดับฟรี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jc w:val="center"/>
    </w:pPr>
    <w:r>
      <w:rPr>
        <w:rFonts w:ascii="TH Sarabun New" w:cs="TH Sarabun New" w:eastAsia="TH Sarabun New" w:hAnsi="TH Sarabun New"/>
        <w:color w:val="94A3B8"/>
        <w:sz w:val="22"/>
        <w:szCs w:val="22"/>
      </w:rPr>
      <w:t xml:space="preserve">FinFlow — การแข่งขันนวัตกรรม AI และคณิตศาสตร์วิชาการ ครั้งที่ 11   |   หน้า </w:t>
    </w:r>
    <w:r>
      <w:rPr>
        <w:rFonts w:ascii="TH Sarabun New" w:cs="TH Sarabun New" w:eastAsia="TH Sarabun New" w:hAnsi="TH Sarabun New"/>
        <w:color w:val="94A3B8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1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40"/>
      <w:outlineLvl w:val="0"/>
    </w:pPr>
    <w:rPr>
      <w:rFonts w:ascii="TH Sarabun New" w:cs="TH Sarabun New" w:eastAsia="TH Sarabun New" w:hAnsi="TH Sarabun New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160"/>
      <w:outlineLvl w:val="1"/>
    </w:pPr>
    <w:rPr>
      <w:rFonts w:ascii="TH Sarabun New" w:cs="TH Sarabun New" w:eastAsia="TH Sarabun New" w:hAnsi="TH Sarabun New"/>
      <w:b/>
      <w:bCs/>
      <w:color w:val="115E59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80" w:before="120"/>
      <w:outlineLvl w:val="2"/>
    </w:pPr>
    <w:rPr>
      <w:rFonts w:ascii="TH Sarabun New" w:cs="TH Sarabun New" w:eastAsia="TH Sarabun New" w:hAnsi="TH Sarabun New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FinFlow — รูปเล่มนำเสนอผลงานนวัตกรรม</dc:title>
  <dc:creator>FinFlow</dc:creator>
  <cp:lastModifiedBy>Un-named</cp:lastModifiedBy>
  <cp:revision>1</cp:revision>
  <dcterms:created xsi:type="dcterms:W3CDTF">2026-06-30T15:42:36.720Z</dcterms:created>
  <dcterms:modified xsi:type="dcterms:W3CDTF">2026-06-30T15:42:36.721Z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