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3A" w:rsidRDefault="00736F3A" w:rsidP="00736F3A">
      <w:pPr>
        <w:jc w:val="center"/>
        <w:rPr>
          <w:b/>
          <w:sz w:val="28"/>
        </w:rPr>
      </w:pPr>
      <w:r w:rsidRPr="00736F3A">
        <w:rPr>
          <w:b/>
          <w:noProof/>
          <w:sz w:val="28"/>
        </w:rPr>
        <w:drawing>
          <wp:inline distT="0" distB="0" distL="0" distR="0">
            <wp:extent cx="2286000" cy="296511"/>
            <wp:effectExtent l="0" t="0" r="0" b="8890"/>
            <wp:docPr id="1" name="Picture 1" descr="G:\Public Policy and Law Center\-- EVENTS --\Education Reform Conference\2016 Education Summit\Partner Logos\C@R_Logo_Horizontal_No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ublic Policy and Law Center\-- EVENTS --\Education Reform Conference\2016 Education Summit\Partner Logos\C@R_Logo_Horizontal_NoTa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09" cy="30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2D4" w:rsidRPr="00736F3A" w:rsidRDefault="00E66B2B" w:rsidP="00E66B2B">
      <w:pPr>
        <w:jc w:val="center"/>
        <w:rPr>
          <w:rFonts w:ascii="Montserrat SemiBold" w:hAnsi="Montserrat SemiBold"/>
          <w:b/>
          <w:sz w:val="28"/>
        </w:rPr>
      </w:pPr>
      <w:r w:rsidRPr="00736F3A">
        <w:rPr>
          <w:rFonts w:ascii="Montserrat SemiBold" w:hAnsi="Montserrat SemiBold"/>
          <w:b/>
          <w:sz w:val="28"/>
        </w:rPr>
        <w:t>2018 School Rankings Updates</w:t>
      </w:r>
    </w:p>
    <w:p w:rsidR="00E66B2B" w:rsidRDefault="00E66B2B" w:rsidP="00E66B2B">
      <w:pPr>
        <w:rPr>
          <w:rFonts w:ascii="Montserrat ExtraLight" w:hAnsi="Montserrat ExtraLight"/>
          <w:sz w:val="20"/>
        </w:rPr>
      </w:pPr>
      <w:r w:rsidRPr="00736F3A">
        <w:rPr>
          <w:rFonts w:ascii="Montserrat ExtraLight" w:hAnsi="Montserrat ExtraLight"/>
          <w:sz w:val="20"/>
        </w:rPr>
        <w:t>This year, CHILDREN AT RISK tweaked its Annual School</w:t>
      </w:r>
      <w:r w:rsidR="00B348E9">
        <w:rPr>
          <w:rFonts w:ascii="Montserrat ExtraLight" w:hAnsi="Montserrat ExtraLight"/>
          <w:sz w:val="20"/>
        </w:rPr>
        <w:t xml:space="preserve"> Rankings methodology to clearly communicate to schools the exact metrics they need to reach in order to </w:t>
      </w:r>
      <w:r w:rsidR="0092471A">
        <w:rPr>
          <w:rFonts w:ascii="Montserrat ExtraLight" w:hAnsi="Montserrat ExtraLight"/>
          <w:sz w:val="20"/>
        </w:rPr>
        <w:t>achieve</w:t>
      </w:r>
      <w:r w:rsidR="00B348E9">
        <w:rPr>
          <w:rFonts w:ascii="Montserrat ExtraLight" w:hAnsi="Montserrat ExtraLight"/>
          <w:sz w:val="20"/>
        </w:rPr>
        <w:t xml:space="preserve"> a certain grade in the CHILDREN AT RISK rankings. </w:t>
      </w:r>
      <w:r w:rsidRPr="00736F3A">
        <w:rPr>
          <w:rFonts w:ascii="Montserrat ExtraLight" w:hAnsi="Montserrat ExtraLight"/>
          <w:sz w:val="20"/>
        </w:rPr>
        <w:t>Below are the major changes to the CHILDREN AT RISK methodology:</w:t>
      </w:r>
    </w:p>
    <w:tbl>
      <w:tblPr>
        <w:tblStyle w:val="TableGrid"/>
        <w:tblpPr w:leftFromText="180" w:rightFromText="180" w:vertAnchor="text" w:horzAnchor="margin" w:tblpY="49"/>
        <w:tblW w:w="10795" w:type="dxa"/>
        <w:tblLook w:val="04A0" w:firstRow="1" w:lastRow="0" w:firstColumn="1" w:lastColumn="0" w:noHBand="0" w:noVBand="1"/>
      </w:tblPr>
      <w:tblGrid>
        <w:gridCol w:w="1708"/>
        <w:gridCol w:w="4543"/>
        <w:gridCol w:w="4544"/>
      </w:tblGrid>
      <w:tr w:rsidR="00DA6B8B" w:rsidRPr="00DA6B8B" w:rsidTr="002D5F8F">
        <w:tc>
          <w:tcPr>
            <w:tcW w:w="1708" w:type="dxa"/>
            <w:vAlign w:val="center"/>
          </w:tcPr>
          <w:p w:rsidR="00DA6B8B" w:rsidRPr="00DA6B8B" w:rsidRDefault="00DA6B8B" w:rsidP="00DA6B8B">
            <w:pPr>
              <w:jc w:val="center"/>
              <w:rPr>
                <w:rFonts w:ascii="Montserrat SemiBold" w:hAnsi="Montserrat SemiBold"/>
                <w:sz w:val="24"/>
              </w:rPr>
            </w:pPr>
          </w:p>
        </w:tc>
        <w:tc>
          <w:tcPr>
            <w:tcW w:w="4543" w:type="dxa"/>
            <w:vAlign w:val="center"/>
          </w:tcPr>
          <w:p w:rsidR="00DA6B8B" w:rsidRPr="00DA6B8B" w:rsidRDefault="00DA6B8B" w:rsidP="00DA6B8B">
            <w:pPr>
              <w:jc w:val="center"/>
              <w:rPr>
                <w:rFonts w:ascii="Montserrat SemiBold" w:hAnsi="Montserrat SemiBold"/>
                <w:sz w:val="24"/>
              </w:rPr>
            </w:pPr>
            <w:r w:rsidRPr="00DA6B8B">
              <w:rPr>
                <w:rFonts w:ascii="Montserrat SemiBold" w:hAnsi="Montserrat SemiBold"/>
                <w:sz w:val="24"/>
              </w:rPr>
              <w:t>2017 Rankings</w:t>
            </w:r>
          </w:p>
        </w:tc>
        <w:tc>
          <w:tcPr>
            <w:tcW w:w="4544" w:type="dxa"/>
            <w:vAlign w:val="center"/>
          </w:tcPr>
          <w:p w:rsidR="00DA6B8B" w:rsidRPr="00DA6B8B" w:rsidRDefault="00DA6B8B" w:rsidP="00DA6B8B">
            <w:pPr>
              <w:jc w:val="center"/>
              <w:rPr>
                <w:rFonts w:ascii="Montserrat SemiBold" w:hAnsi="Montserrat SemiBold"/>
                <w:sz w:val="24"/>
              </w:rPr>
            </w:pPr>
            <w:r w:rsidRPr="00DA6B8B">
              <w:rPr>
                <w:rFonts w:ascii="Montserrat SemiBold" w:hAnsi="Montserrat SemiBold"/>
                <w:sz w:val="24"/>
              </w:rPr>
              <w:t>2018 Rankings</w:t>
            </w:r>
          </w:p>
        </w:tc>
      </w:tr>
      <w:tr w:rsidR="00DA6B8B" w:rsidTr="002D5F8F">
        <w:trPr>
          <w:trHeight w:val="1185"/>
        </w:trPr>
        <w:tc>
          <w:tcPr>
            <w:tcW w:w="1708" w:type="dxa"/>
            <w:vAlign w:val="center"/>
          </w:tcPr>
          <w:p w:rsidR="00DA6B8B" w:rsidRPr="00DA6B8B" w:rsidRDefault="00DA6B8B" w:rsidP="00DA6B8B">
            <w:pPr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Overall</w:t>
            </w:r>
          </w:p>
        </w:tc>
        <w:tc>
          <w:tcPr>
            <w:tcW w:w="4543" w:type="dxa"/>
          </w:tcPr>
          <w:p w:rsidR="00DA6B8B" w:rsidRDefault="00DA6B8B" w:rsidP="0092471A">
            <w:pPr>
              <w:rPr>
                <w:rFonts w:ascii="Montserrat ExtraLight" w:hAnsi="Montserrat ExtraLight"/>
                <w:sz w:val="20"/>
              </w:rPr>
            </w:pPr>
            <w:r>
              <w:rPr>
                <w:rFonts w:ascii="Montserrat ExtraLight" w:hAnsi="Montserrat ExtraLight"/>
                <w:sz w:val="20"/>
              </w:rPr>
              <w:t xml:space="preserve">Used </w:t>
            </w:r>
            <w:r w:rsidRPr="002D5F8F">
              <w:rPr>
                <w:rFonts w:ascii="Montserrat" w:hAnsi="Montserrat"/>
                <w:sz w:val="20"/>
              </w:rPr>
              <w:t>percentiles/curve</w:t>
            </w:r>
            <w:r w:rsidR="0092471A">
              <w:rPr>
                <w:rFonts w:ascii="Montserrat ExtraLight" w:hAnsi="Montserrat ExtraLight"/>
                <w:sz w:val="20"/>
              </w:rPr>
              <w:t xml:space="preserve">; every </w:t>
            </w:r>
            <w:r>
              <w:rPr>
                <w:rFonts w:ascii="Montserrat ExtraLight" w:hAnsi="Montserrat ExtraLight"/>
                <w:sz w:val="20"/>
              </w:rPr>
              <w:t>year there were a set number of schools in each A-F level</w:t>
            </w:r>
            <w:r w:rsidR="002D5F8F">
              <w:rPr>
                <w:rFonts w:ascii="Montserrat ExtraLight" w:hAnsi="Montserrat ExtraLight"/>
                <w:sz w:val="20"/>
              </w:rPr>
              <w:t xml:space="preserve">; indices were weighted using a </w:t>
            </w:r>
            <w:r w:rsidR="002D5F8F" w:rsidRPr="002D5F8F">
              <w:rPr>
                <w:rFonts w:ascii="Montserrat" w:hAnsi="Montserrat"/>
                <w:sz w:val="20"/>
              </w:rPr>
              <w:t>60/20/20</w:t>
            </w:r>
            <w:r w:rsidR="002D5F8F">
              <w:rPr>
                <w:rFonts w:ascii="Montserrat ExtraLight" w:hAnsi="Montserrat ExtraLight"/>
                <w:sz w:val="20"/>
              </w:rPr>
              <w:t xml:space="preserve"> scale (30/20/20/30 for HS)</w:t>
            </w:r>
          </w:p>
        </w:tc>
        <w:tc>
          <w:tcPr>
            <w:tcW w:w="4544" w:type="dxa"/>
          </w:tcPr>
          <w:p w:rsidR="00DA6B8B" w:rsidRDefault="00DA6B8B" w:rsidP="00DA6B8B">
            <w:pPr>
              <w:rPr>
                <w:rFonts w:ascii="Montserrat ExtraLight" w:hAnsi="Montserrat ExtraLight"/>
                <w:sz w:val="20"/>
              </w:rPr>
            </w:pPr>
            <w:r>
              <w:rPr>
                <w:rFonts w:ascii="Montserrat ExtraLight" w:hAnsi="Montserrat ExtraLight"/>
                <w:sz w:val="20"/>
              </w:rPr>
              <w:t xml:space="preserve">Using </w:t>
            </w:r>
            <w:r w:rsidRPr="002D5F8F">
              <w:rPr>
                <w:rFonts w:ascii="Montserrat" w:hAnsi="Montserrat"/>
                <w:sz w:val="20"/>
              </w:rPr>
              <w:t>absolute cutoffs</w:t>
            </w:r>
            <w:r>
              <w:rPr>
                <w:rFonts w:ascii="Montserrat ExtraLight" w:hAnsi="Montserrat ExtraLight"/>
                <w:sz w:val="20"/>
              </w:rPr>
              <w:t xml:space="preserve"> meaning there will be a varying number of A-F schools each year</w:t>
            </w:r>
            <w:r w:rsidR="002D5F8F">
              <w:rPr>
                <w:rFonts w:ascii="Montserrat ExtraLight" w:hAnsi="Montserrat ExtraLight"/>
                <w:sz w:val="20"/>
              </w:rPr>
              <w:t xml:space="preserve">; indices are now weighted using a </w:t>
            </w:r>
            <w:r w:rsidR="002D5F8F" w:rsidRPr="002D5F8F">
              <w:rPr>
                <w:rFonts w:ascii="Montserrat" w:hAnsi="Montserrat"/>
                <w:sz w:val="20"/>
              </w:rPr>
              <w:t>33/33/33</w:t>
            </w:r>
            <w:r w:rsidR="002D5F8F">
              <w:rPr>
                <w:rFonts w:ascii="Montserrat ExtraLight" w:hAnsi="Montserrat ExtraLight"/>
                <w:sz w:val="20"/>
              </w:rPr>
              <w:t xml:space="preserve"> scale (25/25/25/25 for HS)</w:t>
            </w:r>
          </w:p>
        </w:tc>
      </w:tr>
      <w:tr w:rsidR="00DA6B8B" w:rsidTr="002D5F8F">
        <w:trPr>
          <w:trHeight w:val="1185"/>
        </w:trPr>
        <w:tc>
          <w:tcPr>
            <w:tcW w:w="1708" w:type="dxa"/>
            <w:vAlign w:val="center"/>
          </w:tcPr>
          <w:p w:rsidR="00DA6B8B" w:rsidRPr="00DA6B8B" w:rsidRDefault="00DA6B8B" w:rsidP="00DA6B8B">
            <w:pPr>
              <w:rPr>
                <w:rFonts w:ascii="Montserrat SemiBold" w:hAnsi="Montserrat SemiBold"/>
              </w:rPr>
            </w:pPr>
            <w:r w:rsidRPr="00DA6B8B">
              <w:rPr>
                <w:rFonts w:ascii="Montserrat SemiBold" w:hAnsi="Montserrat SemiBold"/>
              </w:rPr>
              <w:t>Student Achievement</w:t>
            </w:r>
          </w:p>
        </w:tc>
        <w:tc>
          <w:tcPr>
            <w:tcW w:w="4543" w:type="dxa"/>
          </w:tcPr>
          <w:p w:rsidR="00DA6B8B" w:rsidRPr="00DA6B8B" w:rsidRDefault="00DA6B8B" w:rsidP="00DA6B8B">
            <w:pPr>
              <w:rPr>
                <w:rFonts w:ascii="Montserrat ExtraLight" w:hAnsi="Montserrat ExtraLight"/>
                <w:sz w:val="20"/>
              </w:rPr>
            </w:pPr>
            <w:r>
              <w:rPr>
                <w:rFonts w:ascii="Montserrat ExtraLight" w:hAnsi="Montserrat ExtraLight"/>
                <w:sz w:val="20"/>
              </w:rPr>
              <w:t xml:space="preserve">Used </w:t>
            </w:r>
            <w:r w:rsidRPr="00DA6B8B">
              <w:rPr>
                <w:rFonts w:ascii="Montserrat" w:hAnsi="Montserrat"/>
                <w:sz w:val="20"/>
              </w:rPr>
              <w:t>Masters Grade Level</w:t>
            </w:r>
            <w:r w:rsidRPr="00DA6B8B">
              <w:rPr>
                <w:rFonts w:ascii="Montserrat ExtraLight" w:hAnsi="Montserrat ExtraLight"/>
                <w:sz w:val="20"/>
              </w:rPr>
              <w:t xml:space="preserve"> (formerly Level III-Advanced) for STAAR Math and Reading Grades 3-8, English </w:t>
            </w:r>
            <w:r>
              <w:rPr>
                <w:rFonts w:ascii="Montserrat ExtraLight" w:hAnsi="Montserrat ExtraLight"/>
                <w:sz w:val="20"/>
              </w:rPr>
              <w:t>I and II EOC, and Algebra I EOC</w:t>
            </w:r>
          </w:p>
        </w:tc>
        <w:tc>
          <w:tcPr>
            <w:tcW w:w="4544" w:type="dxa"/>
          </w:tcPr>
          <w:p w:rsidR="00DA6B8B" w:rsidRPr="00DA6B8B" w:rsidRDefault="00DA6B8B" w:rsidP="00DA6B8B">
            <w:pPr>
              <w:rPr>
                <w:rFonts w:ascii="Montserrat ExtraLight" w:hAnsi="Montserrat ExtraLight"/>
                <w:sz w:val="20"/>
              </w:rPr>
            </w:pPr>
            <w:r>
              <w:rPr>
                <w:rFonts w:ascii="Montserrat ExtraLight" w:hAnsi="Montserrat ExtraLight"/>
                <w:sz w:val="20"/>
              </w:rPr>
              <w:t xml:space="preserve">Using </w:t>
            </w:r>
            <w:r w:rsidRPr="00DA6B8B">
              <w:rPr>
                <w:rFonts w:ascii="Montserrat" w:hAnsi="Montserrat"/>
                <w:sz w:val="20"/>
              </w:rPr>
              <w:t>Meets Grade Level</w:t>
            </w:r>
            <w:r w:rsidRPr="00DA6B8B">
              <w:rPr>
                <w:rFonts w:ascii="Montserrat ExtraLight" w:hAnsi="Montserrat ExtraLight"/>
                <w:sz w:val="20"/>
              </w:rPr>
              <w:t xml:space="preserve"> (formerly Level </w:t>
            </w:r>
            <w:r>
              <w:rPr>
                <w:rFonts w:ascii="Montserrat ExtraLight" w:hAnsi="Montserrat ExtraLight"/>
                <w:sz w:val="20"/>
              </w:rPr>
              <w:t>II-Final Recommended</w:t>
            </w:r>
            <w:r w:rsidRPr="00DA6B8B">
              <w:rPr>
                <w:rFonts w:ascii="Montserrat ExtraLight" w:hAnsi="Montserrat ExtraLight"/>
                <w:sz w:val="20"/>
              </w:rPr>
              <w:t xml:space="preserve">) for STAAR Math and Reading Grades 3-8, English </w:t>
            </w:r>
            <w:r>
              <w:rPr>
                <w:rFonts w:ascii="Montserrat ExtraLight" w:hAnsi="Montserrat ExtraLight"/>
                <w:sz w:val="20"/>
              </w:rPr>
              <w:t>I and II EOC, and Algebra I EOC</w:t>
            </w:r>
          </w:p>
        </w:tc>
      </w:tr>
      <w:tr w:rsidR="00DA6B8B" w:rsidTr="002D5F8F">
        <w:trPr>
          <w:trHeight w:val="1185"/>
        </w:trPr>
        <w:tc>
          <w:tcPr>
            <w:tcW w:w="1708" w:type="dxa"/>
            <w:vAlign w:val="center"/>
          </w:tcPr>
          <w:p w:rsidR="00DA6B8B" w:rsidRPr="00DA6B8B" w:rsidRDefault="00DA6B8B" w:rsidP="00DA6B8B">
            <w:pPr>
              <w:rPr>
                <w:rFonts w:ascii="Montserrat SemiBold" w:hAnsi="Montserrat SemiBold"/>
              </w:rPr>
            </w:pPr>
            <w:r w:rsidRPr="00DA6B8B">
              <w:rPr>
                <w:rFonts w:ascii="Montserrat SemiBold" w:hAnsi="Montserrat SemiBold"/>
              </w:rPr>
              <w:t>Campus Performance</w:t>
            </w:r>
          </w:p>
        </w:tc>
        <w:tc>
          <w:tcPr>
            <w:tcW w:w="4543" w:type="dxa"/>
          </w:tcPr>
          <w:p w:rsidR="00DA6B8B" w:rsidRPr="00DA6B8B" w:rsidRDefault="00DA6B8B" w:rsidP="00DA6B8B">
            <w:pPr>
              <w:rPr>
                <w:rFonts w:ascii="Montserrat ExtraLight" w:hAnsi="Montserrat ExtraLight"/>
                <w:sz w:val="20"/>
              </w:rPr>
            </w:pPr>
            <w:r>
              <w:rPr>
                <w:rFonts w:ascii="Montserrat ExtraLight" w:hAnsi="Montserrat ExtraLight"/>
                <w:sz w:val="20"/>
              </w:rPr>
              <w:t xml:space="preserve">Used </w:t>
            </w:r>
            <w:r w:rsidRPr="00DA6B8B">
              <w:rPr>
                <w:rFonts w:ascii="Montserrat" w:hAnsi="Montserrat"/>
                <w:sz w:val="20"/>
              </w:rPr>
              <w:t>Masters Grade Level</w:t>
            </w:r>
            <w:r>
              <w:rPr>
                <w:rFonts w:ascii="Montserrat ExtraLight" w:hAnsi="Montserrat ExtraLight"/>
                <w:sz w:val="20"/>
              </w:rPr>
              <w:t xml:space="preserve"> in relation to % economically disadvantaged to calculate a regression</w:t>
            </w:r>
          </w:p>
        </w:tc>
        <w:tc>
          <w:tcPr>
            <w:tcW w:w="4544" w:type="dxa"/>
          </w:tcPr>
          <w:p w:rsidR="00DA6B8B" w:rsidRPr="00DA6B8B" w:rsidRDefault="00DA6B8B" w:rsidP="00DA6B8B">
            <w:pPr>
              <w:rPr>
                <w:rFonts w:ascii="Montserrat ExtraLight" w:hAnsi="Montserrat ExtraLight"/>
                <w:sz w:val="20"/>
              </w:rPr>
            </w:pPr>
            <w:r>
              <w:rPr>
                <w:rFonts w:ascii="Montserrat ExtraLight" w:hAnsi="Montserrat ExtraLight"/>
                <w:sz w:val="20"/>
              </w:rPr>
              <w:t xml:space="preserve">Using </w:t>
            </w:r>
            <w:r w:rsidRPr="00DA6B8B">
              <w:rPr>
                <w:rFonts w:ascii="Montserrat" w:hAnsi="Montserrat"/>
                <w:sz w:val="20"/>
              </w:rPr>
              <w:t>Meets Grade Level</w:t>
            </w:r>
            <w:r>
              <w:rPr>
                <w:rFonts w:ascii="Montserrat ExtraLight" w:hAnsi="Montserrat ExtraLight"/>
                <w:sz w:val="20"/>
              </w:rPr>
              <w:t xml:space="preserve"> in relation to % economically disadvantaged to calculate a regression</w:t>
            </w:r>
          </w:p>
        </w:tc>
      </w:tr>
      <w:tr w:rsidR="0092471A" w:rsidTr="002D5F8F">
        <w:trPr>
          <w:trHeight w:val="1185"/>
        </w:trPr>
        <w:tc>
          <w:tcPr>
            <w:tcW w:w="1708" w:type="dxa"/>
            <w:vAlign w:val="center"/>
          </w:tcPr>
          <w:p w:rsidR="0092471A" w:rsidRPr="00DA6B8B" w:rsidRDefault="0092471A" w:rsidP="0092471A">
            <w:pPr>
              <w:rPr>
                <w:rFonts w:ascii="Montserrat SemiBold" w:hAnsi="Montserrat SemiBold"/>
              </w:rPr>
            </w:pPr>
            <w:r w:rsidRPr="00DA6B8B">
              <w:rPr>
                <w:rFonts w:ascii="Montserrat SemiBold" w:hAnsi="Montserrat SemiBold"/>
              </w:rPr>
              <w:t>Growth</w:t>
            </w:r>
          </w:p>
        </w:tc>
        <w:tc>
          <w:tcPr>
            <w:tcW w:w="4543" w:type="dxa"/>
          </w:tcPr>
          <w:p w:rsidR="0092471A" w:rsidRPr="00DA6B8B" w:rsidRDefault="0092471A" w:rsidP="0092471A">
            <w:pPr>
              <w:rPr>
                <w:rFonts w:ascii="Montserrat ExtraLight" w:hAnsi="Montserrat ExtraLight"/>
                <w:sz w:val="20"/>
              </w:rPr>
            </w:pPr>
            <w:r>
              <w:rPr>
                <w:rFonts w:ascii="Montserrat ExtraLight" w:hAnsi="Montserrat ExtraLight"/>
                <w:sz w:val="20"/>
              </w:rPr>
              <w:t>No changes</w:t>
            </w:r>
          </w:p>
        </w:tc>
        <w:tc>
          <w:tcPr>
            <w:tcW w:w="4544" w:type="dxa"/>
          </w:tcPr>
          <w:p w:rsidR="0092471A" w:rsidRPr="00DA6B8B" w:rsidRDefault="0092471A" w:rsidP="0092471A">
            <w:pPr>
              <w:rPr>
                <w:rFonts w:ascii="Montserrat ExtraLight" w:hAnsi="Montserrat ExtraLight"/>
                <w:sz w:val="20"/>
              </w:rPr>
            </w:pPr>
            <w:r>
              <w:rPr>
                <w:rFonts w:ascii="Montserrat ExtraLight" w:hAnsi="Montserrat ExtraLight"/>
                <w:sz w:val="20"/>
              </w:rPr>
              <w:t>No changes</w:t>
            </w:r>
          </w:p>
        </w:tc>
      </w:tr>
      <w:tr w:rsidR="0092471A" w:rsidTr="002D5F8F">
        <w:trPr>
          <w:trHeight w:val="1185"/>
        </w:trPr>
        <w:tc>
          <w:tcPr>
            <w:tcW w:w="1708" w:type="dxa"/>
            <w:vAlign w:val="center"/>
          </w:tcPr>
          <w:p w:rsidR="0092471A" w:rsidRPr="00DA6B8B" w:rsidRDefault="0092471A" w:rsidP="0092471A">
            <w:pPr>
              <w:rPr>
                <w:rFonts w:ascii="Montserrat SemiBold" w:hAnsi="Montserrat SemiBold"/>
              </w:rPr>
            </w:pPr>
            <w:r w:rsidRPr="00DA6B8B">
              <w:rPr>
                <w:rFonts w:ascii="Montserrat SemiBold" w:hAnsi="Montserrat SemiBold"/>
              </w:rPr>
              <w:t>College Readiness</w:t>
            </w:r>
          </w:p>
        </w:tc>
        <w:tc>
          <w:tcPr>
            <w:tcW w:w="4543" w:type="dxa"/>
          </w:tcPr>
          <w:p w:rsidR="0092471A" w:rsidRPr="00DA6B8B" w:rsidRDefault="0092471A" w:rsidP="0092471A">
            <w:pPr>
              <w:rPr>
                <w:rFonts w:ascii="Montserrat ExtraLight" w:hAnsi="Montserrat ExtraLight"/>
                <w:sz w:val="20"/>
              </w:rPr>
            </w:pPr>
            <w:r>
              <w:rPr>
                <w:rFonts w:ascii="Montserrat ExtraLight" w:hAnsi="Montserrat ExtraLight"/>
                <w:sz w:val="20"/>
              </w:rPr>
              <w:t>No changes</w:t>
            </w:r>
          </w:p>
        </w:tc>
        <w:tc>
          <w:tcPr>
            <w:tcW w:w="4544" w:type="dxa"/>
          </w:tcPr>
          <w:p w:rsidR="0092471A" w:rsidRPr="00DA6B8B" w:rsidRDefault="0092471A" w:rsidP="0092471A">
            <w:pPr>
              <w:rPr>
                <w:rFonts w:ascii="Montserrat ExtraLight" w:hAnsi="Montserrat ExtraLight"/>
                <w:sz w:val="20"/>
              </w:rPr>
            </w:pPr>
            <w:r>
              <w:rPr>
                <w:rFonts w:ascii="Montserrat ExtraLight" w:hAnsi="Montserrat ExtraLight"/>
                <w:sz w:val="20"/>
              </w:rPr>
              <w:t>No changes</w:t>
            </w:r>
          </w:p>
        </w:tc>
      </w:tr>
    </w:tbl>
    <w:p w:rsidR="002D5F8F" w:rsidRDefault="002D5F8F" w:rsidP="00193C0A">
      <w:pPr>
        <w:rPr>
          <w:rFonts w:ascii="Montserrat ExtraLight" w:hAnsi="Montserrat ExtraLight"/>
          <w:sz w:val="20"/>
        </w:rPr>
      </w:pPr>
    </w:p>
    <w:p w:rsidR="00193C0A" w:rsidRPr="00736F3A" w:rsidRDefault="00E66B2B" w:rsidP="00193C0A">
      <w:pPr>
        <w:rPr>
          <w:rFonts w:ascii="Montserrat ExtraLight" w:hAnsi="Montserrat ExtraLight"/>
          <w:sz w:val="20"/>
        </w:rPr>
      </w:pPr>
      <w:r w:rsidRPr="00736F3A">
        <w:rPr>
          <w:rFonts w:ascii="Montserrat ExtraLight" w:hAnsi="Montserrat ExtraLight"/>
          <w:sz w:val="20"/>
        </w:rPr>
        <w:t>The above changes result in the following grade distribution for</w:t>
      </w:r>
      <w:r w:rsidR="002348CD">
        <w:rPr>
          <w:rFonts w:ascii="Montserrat ExtraLight" w:hAnsi="Montserrat ExtraLight"/>
          <w:sz w:val="20"/>
        </w:rPr>
        <w:t xml:space="preserve"> all schools across Texas:</w:t>
      </w:r>
    </w:p>
    <w:tbl>
      <w:tblPr>
        <w:tblW w:w="10130" w:type="dxa"/>
        <w:jc w:val="center"/>
        <w:tblLook w:val="04A0" w:firstRow="1" w:lastRow="0" w:firstColumn="1" w:lastColumn="0" w:noHBand="0" w:noVBand="1"/>
      </w:tblPr>
      <w:tblGrid>
        <w:gridCol w:w="402"/>
        <w:gridCol w:w="1063"/>
        <w:gridCol w:w="870"/>
        <w:gridCol w:w="1242"/>
        <w:gridCol w:w="1062"/>
        <w:gridCol w:w="809"/>
        <w:gridCol w:w="1242"/>
        <w:gridCol w:w="1136"/>
        <w:gridCol w:w="1062"/>
        <w:gridCol w:w="1242"/>
      </w:tblGrid>
      <w:tr w:rsidR="00DA6B8B" w:rsidRPr="00DA6B8B" w:rsidTr="00DA6B8B">
        <w:trPr>
          <w:trHeight w:val="420"/>
          <w:jc w:val="center"/>
        </w:trPr>
        <w:tc>
          <w:tcPr>
            <w:tcW w:w="4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333F4F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FFFFFF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FFFFFF"/>
                <w:sz w:val="20"/>
                <w:szCs w:val="24"/>
              </w:rPr>
              <w:t> </w:t>
            </w:r>
          </w:p>
        </w:tc>
        <w:tc>
          <w:tcPr>
            <w:tcW w:w="106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E2EFDA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2017</w:t>
            </w:r>
          </w:p>
        </w:tc>
        <w:tc>
          <w:tcPr>
            <w:tcW w:w="8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E2EFDA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2018</w:t>
            </w:r>
          </w:p>
        </w:tc>
        <w:tc>
          <w:tcPr>
            <w:tcW w:w="12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E2EFDA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Difference</w:t>
            </w:r>
          </w:p>
        </w:tc>
        <w:tc>
          <w:tcPr>
            <w:tcW w:w="10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FFF2CC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2017</w:t>
            </w:r>
          </w:p>
        </w:tc>
        <w:tc>
          <w:tcPr>
            <w:tcW w:w="80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FFF2CC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2018</w:t>
            </w:r>
          </w:p>
        </w:tc>
        <w:tc>
          <w:tcPr>
            <w:tcW w:w="12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FFF2CC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Difference</w:t>
            </w:r>
          </w:p>
        </w:tc>
        <w:tc>
          <w:tcPr>
            <w:tcW w:w="11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D6DCE4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2017</w:t>
            </w:r>
          </w:p>
        </w:tc>
        <w:tc>
          <w:tcPr>
            <w:tcW w:w="10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D6DCE4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2018</w:t>
            </w:r>
          </w:p>
        </w:tc>
        <w:tc>
          <w:tcPr>
            <w:tcW w:w="12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D6DCE4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Difference</w:t>
            </w:r>
          </w:p>
        </w:tc>
      </w:tr>
      <w:tr w:rsidR="00DA6B8B" w:rsidRPr="00DA6B8B" w:rsidTr="00DA6B8B">
        <w:trPr>
          <w:trHeight w:val="420"/>
          <w:jc w:val="center"/>
        </w:trPr>
        <w:tc>
          <w:tcPr>
            <w:tcW w:w="402" w:type="dxa"/>
            <w:tcBorders>
              <w:top w:val="single" w:sz="4" w:space="0" w:color="808080" w:themeColor="background1" w:themeShade="80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333F4F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FFFFFF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FFFFFF"/>
                <w:sz w:val="20"/>
                <w:szCs w:val="24"/>
              </w:rPr>
              <w:t> </w:t>
            </w:r>
          </w:p>
        </w:tc>
        <w:tc>
          <w:tcPr>
            <w:tcW w:w="3175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E2EFDA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Elementary</w:t>
            </w:r>
          </w:p>
        </w:tc>
        <w:tc>
          <w:tcPr>
            <w:tcW w:w="3113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2CC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Middle</w:t>
            </w:r>
          </w:p>
        </w:tc>
        <w:tc>
          <w:tcPr>
            <w:tcW w:w="344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High</w:t>
            </w:r>
          </w:p>
        </w:tc>
      </w:tr>
      <w:tr w:rsidR="00DA6B8B" w:rsidRPr="00DA6B8B" w:rsidTr="00DA6B8B">
        <w:trPr>
          <w:trHeight w:val="439"/>
          <w:jc w:val="center"/>
        </w:trPr>
        <w:tc>
          <w:tcPr>
            <w:tcW w:w="402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A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25%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10%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-15%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25%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11%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-14%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25%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12%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-13%</w:t>
            </w:r>
          </w:p>
        </w:tc>
      </w:tr>
      <w:tr w:rsidR="00DA6B8B" w:rsidRPr="00DA6B8B" w:rsidTr="00DA6B8B">
        <w:trPr>
          <w:trHeight w:val="439"/>
          <w:jc w:val="center"/>
        </w:trPr>
        <w:tc>
          <w:tcPr>
            <w:tcW w:w="402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B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20%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27%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7%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20%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28%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8%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27%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7%</w:t>
            </w:r>
          </w:p>
        </w:tc>
      </w:tr>
      <w:tr w:rsidR="00DA6B8B" w:rsidRPr="00DA6B8B" w:rsidTr="00DA6B8B">
        <w:trPr>
          <w:trHeight w:val="439"/>
          <w:jc w:val="center"/>
        </w:trPr>
        <w:tc>
          <w:tcPr>
            <w:tcW w:w="402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20%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27%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7%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20%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30%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10%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29%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9%</w:t>
            </w:r>
          </w:p>
        </w:tc>
      </w:tr>
      <w:tr w:rsidR="00DA6B8B" w:rsidRPr="00DA6B8B" w:rsidTr="00DA6B8B">
        <w:trPr>
          <w:trHeight w:val="439"/>
          <w:jc w:val="center"/>
        </w:trPr>
        <w:tc>
          <w:tcPr>
            <w:tcW w:w="402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20%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25%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5%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20%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22%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20%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22%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2%</w:t>
            </w:r>
          </w:p>
        </w:tc>
      </w:tr>
      <w:tr w:rsidR="00DA6B8B" w:rsidRPr="00DA6B8B" w:rsidTr="00DA6B8B">
        <w:trPr>
          <w:trHeight w:val="439"/>
          <w:jc w:val="center"/>
        </w:trPr>
        <w:tc>
          <w:tcPr>
            <w:tcW w:w="402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F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15%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11%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-4%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15%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8%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-7%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15%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10%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2F2F2"/>
            <w:noWrap/>
            <w:vAlign w:val="center"/>
            <w:hideMark/>
          </w:tcPr>
          <w:p w:rsidR="00DA6B8B" w:rsidRPr="00DA6B8B" w:rsidRDefault="00DA6B8B" w:rsidP="00DA6B8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</w:pPr>
            <w:r w:rsidRPr="00DA6B8B">
              <w:rPr>
                <w:rFonts w:ascii="Montserrat" w:eastAsia="Times New Roman" w:hAnsi="Montserrat" w:cs="Calibri"/>
                <w:color w:val="000000"/>
                <w:sz w:val="20"/>
                <w:szCs w:val="24"/>
              </w:rPr>
              <w:t>-5%</w:t>
            </w:r>
          </w:p>
        </w:tc>
      </w:tr>
    </w:tbl>
    <w:p w:rsidR="00B348E9" w:rsidRDefault="00B348E9" w:rsidP="00E66B2B">
      <w:pPr>
        <w:rPr>
          <w:rFonts w:ascii="Montserrat ExtraLight" w:hAnsi="Montserrat ExtraLight"/>
        </w:rPr>
      </w:pPr>
    </w:p>
    <w:p w:rsidR="002972CF" w:rsidRPr="002972CF" w:rsidRDefault="002972CF" w:rsidP="002972CF">
      <w:pPr>
        <w:jc w:val="center"/>
        <w:rPr>
          <w:rFonts w:ascii="Montserrat ExtraLight" w:hAnsi="Montserrat ExtraLight"/>
          <w:sz w:val="20"/>
        </w:rPr>
      </w:pPr>
      <w:bookmarkStart w:id="0" w:name="_GoBack"/>
      <w:bookmarkEnd w:id="0"/>
      <w:r w:rsidRPr="002972CF">
        <w:rPr>
          <w:rFonts w:ascii="Montserrat ExtraLight" w:hAnsi="Montserrat ExtraLight"/>
          <w:sz w:val="20"/>
        </w:rPr>
        <w:t xml:space="preserve">For questions, please contact </w:t>
      </w:r>
      <w:hyperlink r:id="rId6" w:history="1">
        <w:r w:rsidRPr="002972CF">
          <w:rPr>
            <w:rStyle w:val="Hyperlink"/>
            <w:rFonts w:ascii="Montserrat ExtraLight" w:hAnsi="Montserrat ExtraLight"/>
            <w:sz w:val="20"/>
          </w:rPr>
          <w:t>ctreacy@childrenatrisk.org</w:t>
        </w:r>
      </w:hyperlink>
    </w:p>
    <w:sectPr w:rsidR="002972CF" w:rsidRPr="002972CF" w:rsidSect="002D5F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ExtraLigh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549F9"/>
    <w:multiLevelType w:val="hybridMultilevel"/>
    <w:tmpl w:val="3880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A5590"/>
    <w:multiLevelType w:val="hybridMultilevel"/>
    <w:tmpl w:val="80FA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A4720"/>
    <w:multiLevelType w:val="hybridMultilevel"/>
    <w:tmpl w:val="A790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51"/>
    <w:rsid w:val="000D42D4"/>
    <w:rsid w:val="00193C0A"/>
    <w:rsid w:val="002348CD"/>
    <w:rsid w:val="002972CF"/>
    <w:rsid w:val="002D5F8F"/>
    <w:rsid w:val="00736F3A"/>
    <w:rsid w:val="008555F3"/>
    <w:rsid w:val="0092471A"/>
    <w:rsid w:val="00B348E9"/>
    <w:rsid w:val="00CC5751"/>
    <w:rsid w:val="00DA6B8B"/>
    <w:rsid w:val="00DF2711"/>
    <w:rsid w:val="00E6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77D52-AD98-471F-B36E-5447C666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751"/>
    <w:pPr>
      <w:ind w:left="720"/>
      <w:contextualSpacing/>
    </w:pPr>
  </w:style>
  <w:style w:type="table" w:styleId="TableGrid">
    <w:name w:val="Table Grid"/>
    <w:basedOn w:val="TableNormal"/>
    <w:uiPriority w:val="39"/>
    <w:rsid w:val="0019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7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treacy@childrenatrisk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Treacy</dc:creator>
  <cp:keywords/>
  <dc:description/>
  <cp:lastModifiedBy>Claire Treacy</cp:lastModifiedBy>
  <cp:revision>11</cp:revision>
  <dcterms:created xsi:type="dcterms:W3CDTF">2018-04-12T20:47:00Z</dcterms:created>
  <dcterms:modified xsi:type="dcterms:W3CDTF">2018-04-19T19:56:00Z</dcterms:modified>
</cp:coreProperties>
</file>