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S4 Table. Associations of three temperature variables with nestling mass, assessed in separate models stratified by relative nestling size, for wild barn swallows in Boulder County, CO.**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standard error, degrees of freedom, t-value,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5"/>
          </w:tcPr>
          <w:p>
            <w:pPr>
              <w:spacing w:before="0" w:after="60"/>
              <w:keepNext/>
              <w:jc w:val="center"/>
            </w:pPr>
            <w:r>
              <w:rPr>
                <w:rFonts w:ascii="Calibri" w:hAnsi="Calibri"/>
                <w:sz w:val="20"/>
              </w:rPr>
              <w:t xml:space="default">Small size models (n = 31)</w:t>
            </w:r>
          </w:p>
        </w:tc>
        <w:tc>
          <w:tcPr>
            <w:tcBorders>
              <w:top w:val="single" w:sz="16" w:space="0" w:color="D3D3D3"/>
              <w:bottom w:val="single" w:sz="16" w:space="0" w:color="D3D3D3"/>
              <w:end w:val="single" w:space="0" w:color="D3D3D3"/>
            </w:tcBorders>
            <w:gridSpan w:val="5"/>
          </w:tcPr>
          <w:p>
            <w:pPr>
              <w:spacing w:before="0" w:after="60"/>
              <w:keepNext/>
              <w:jc w:val="center"/>
            </w:pPr>
            <w:r>
              <w:rPr>
                <w:rFonts w:ascii="Calibri" w:hAnsi="Calibri"/>
                <w:sz w:val="20"/>
              </w:rPr>
              <w:t xml:space="default">Other size models (n = 72)</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(0.36,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 (0.27, 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(0.43, 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(0.4, 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(-2.5, -0.41)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 (-1.55,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 (-2.48,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 (-1.47,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(-2.55, -0.78)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(-1.86,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(-2.98, -0.92)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(-2.15, -0.89)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gridSpan w:val="11"/>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is the explanatory variable of interest, nestling mass is the outcome of interest, and nest ID was included as a random intercept. Adjusted models include hatch date and number of nestlings in the nest. Continuous predictors are z-score standardized.</w:t>
            </w:r>
          </w:p>
        </w:tc>
      </w:tr>
      <w:tr>
        <w:trPr>
          <w:cantSplit/>
        </w:trPr>
        <w:tc>
          <w:tcPr>
            <w:gridSpan w:val="11"/>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Small size model: Marginal R-squared = 0.34, Conditional R-squared = 0.91; Other size model: Marginal R-squared = 0.33, Conditional R-squared = 0.85</w:t>
            </w:r>
          </w:p>
        </w:tc>
      </w:tr>
      <w:tr>
        <w:trPr>
          <w:cantSplit/>
        </w:trPr>
        <w:tc>
          <w:tcPr>
            <w:gridSpan w:val="11"/>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Small size model: Marginal R-squared = 0.37, Conditional R-squared = 0.92; Other size model: Marginal R-squared = 0.32, Conditional R-squared = 0.84</w:t>
            </w:r>
          </w:p>
        </w:tc>
      </w:tr>
      <w:tr>
        <w:trPr>
          <w:cantSplit/>
        </w:trPr>
        <w:tc>
          <w:tcPr>
            <w:gridSpan w:val="11"/>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Small size model: Marginal R-squared = 0.47, Conditional R-squared = 0.91; Other size model: Marginal R-squared = 0.49, Conditional R-squared = 0.84</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2026-02-27T23:39:28Z</dcterms:created>
  <dcterms:modified xsi:type="dcterms:W3CDTF">2026-02-27T23:39:28Z</dcterms:modified>
</cp:coreProperties>
</file>

<file path=docProps/custom.xml><?xml version="1.0" encoding="utf-8"?>
<Properties xmlns="http://schemas.openxmlformats.org/officeDocument/2006/custom-properties" xmlns:vt="http://schemas.openxmlformats.org/officeDocument/2006/docPropsVTypes"/>
</file>