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559F" w14:textId="77777777" w:rsidR="00636003" w:rsidRDefault="00636003" w:rsidP="00636003">
      <w:pPr>
        <w:pStyle w:val="IntenseQuote"/>
        <w:rPr>
          <w:rFonts w:ascii="Times New Roman" w:hAnsi="Times New Roman" w:cs="Times New Roman"/>
          <w:sz w:val="52"/>
          <w:szCs w:val="52"/>
          <w:u w:val="single"/>
        </w:rPr>
      </w:pPr>
      <w:r w:rsidRPr="002377DB">
        <w:rPr>
          <w:rFonts w:ascii="Times New Roman" w:hAnsi="Times New Roman" w:cs="Times New Roman"/>
          <w:sz w:val="52"/>
          <w:szCs w:val="52"/>
          <w:u w:val="single"/>
        </w:rPr>
        <w:t xml:space="preserve">experiment number: </w:t>
      </w:r>
      <w:r>
        <w:rPr>
          <w:rFonts w:ascii="Times New Roman" w:hAnsi="Times New Roman" w:cs="Times New Roman"/>
          <w:sz w:val="52"/>
          <w:szCs w:val="52"/>
          <w:u w:val="single"/>
        </w:rPr>
        <w:t>4</w:t>
      </w:r>
    </w:p>
    <w:p w14:paraId="2588ABF9" w14:textId="77777777" w:rsidR="00636003" w:rsidRDefault="00636003" w:rsidP="00636003">
      <w:pPr>
        <w:pStyle w:val="NormalWeb"/>
        <w:spacing w:before="0" w:beforeAutospacing="0" w:after="0" w:afterAutospacing="0"/>
        <w:textAlignment w:val="baseline"/>
        <w:rPr>
          <w:sz w:val="28"/>
          <w:szCs w:val="28"/>
          <w:lang w:val="en-US"/>
        </w:rPr>
      </w:pPr>
      <w:r w:rsidRPr="00795C37">
        <w:rPr>
          <w:sz w:val="28"/>
          <w:szCs w:val="28"/>
        </w:rPr>
        <w:t xml:space="preserve">TITLE: </w:t>
      </w:r>
      <w:r w:rsidRPr="00795C37">
        <w:rPr>
          <w:sz w:val="28"/>
          <w:szCs w:val="28"/>
          <w:lang w:val="en-US"/>
        </w:rPr>
        <w:t>CALIBRATION OF VACUUM GAUGE </w:t>
      </w:r>
    </w:p>
    <w:p w14:paraId="073A4900" w14:textId="77777777" w:rsidR="00636003" w:rsidRPr="00795C37" w:rsidRDefault="00636003" w:rsidP="00636003">
      <w:pPr>
        <w:pStyle w:val="NormalWeb"/>
        <w:spacing w:before="0" w:beforeAutospacing="0" w:after="0" w:afterAutospacing="0"/>
        <w:textAlignment w:val="baseline"/>
        <w:rPr>
          <w:sz w:val="28"/>
          <w:szCs w:val="28"/>
          <w:lang w:val="en-US"/>
        </w:rPr>
      </w:pPr>
    </w:p>
    <w:p w14:paraId="620F3ACC" w14:textId="77777777" w:rsidR="00636003" w:rsidRDefault="00636003" w:rsidP="00636003">
      <w:pPr>
        <w:pStyle w:val="NormalWeb"/>
        <w:spacing w:before="0" w:beforeAutospacing="0" w:after="0" w:afterAutospacing="0"/>
        <w:textAlignment w:val="baseline"/>
        <w:rPr>
          <w:sz w:val="22"/>
          <w:szCs w:val="22"/>
          <w:u w:val="single"/>
          <w:lang w:val="en-US"/>
        </w:rPr>
      </w:pPr>
      <w:r w:rsidRPr="00795C37">
        <w:rPr>
          <w:sz w:val="22"/>
          <w:szCs w:val="22"/>
          <w:u w:val="single"/>
          <w:lang w:val="en-US"/>
        </w:rPr>
        <w:t xml:space="preserve">WORKING PRINCIPLE: </w:t>
      </w:r>
    </w:p>
    <w:p w14:paraId="7D4F8DFB" w14:textId="77777777" w:rsidR="00636003" w:rsidRPr="00795C37" w:rsidRDefault="00636003" w:rsidP="00636003">
      <w:pPr>
        <w:pStyle w:val="NormalWeb"/>
        <w:spacing w:before="0" w:beforeAutospacing="0" w:after="0" w:afterAutospacing="0"/>
        <w:textAlignment w:val="baseline"/>
        <w:rPr>
          <w:sz w:val="22"/>
          <w:szCs w:val="22"/>
          <w:u w:val="single"/>
          <w:lang w:val="en-US"/>
        </w:rPr>
      </w:pPr>
    </w:p>
    <w:p w14:paraId="7006C945" w14:textId="77777777" w:rsidR="00636003" w:rsidRDefault="00636003" w:rsidP="00636003">
      <w:pPr>
        <w:pStyle w:val="NormalWeb"/>
        <w:spacing w:before="0" w:beforeAutospacing="0" w:after="0" w:afterAutospacing="0"/>
        <w:textAlignment w:val="baseline"/>
        <w:rPr>
          <w:sz w:val="22"/>
          <w:szCs w:val="22"/>
          <w:lang w:val="en-US"/>
        </w:rPr>
      </w:pPr>
      <w:r w:rsidRPr="000A15B9">
        <w:rPr>
          <w:sz w:val="22"/>
          <w:szCs w:val="22"/>
          <w:lang w:val="en-US"/>
        </w:rPr>
        <w:t>A bourdon gauge works on the principle of the following </w:t>
      </w:r>
    </w:p>
    <w:p w14:paraId="4F645C45" w14:textId="77777777" w:rsidR="00636003" w:rsidRPr="000A15B9" w:rsidRDefault="00636003" w:rsidP="00636003">
      <w:pPr>
        <w:pStyle w:val="NormalWeb"/>
        <w:spacing w:before="0" w:beforeAutospacing="0" w:after="0" w:afterAutospacing="0"/>
        <w:textAlignment w:val="baseline"/>
        <w:rPr>
          <w:sz w:val="22"/>
          <w:szCs w:val="22"/>
          <w:lang w:val="en-US"/>
        </w:rPr>
      </w:pPr>
    </w:p>
    <w:p w14:paraId="583494D0" w14:textId="67EC0036" w:rsidR="00636003" w:rsidRDefault="00636003" w:rsidP="00636003">
      <w:pPr>
        <w:pStyle w:val="NormalWeb"/>
        <w:numPr>
          <w:ilvl w:val="0"/>
          <w:numId w:val="1"/>
        </w:numPr>
        <w:spacing w:before="0" w:beforeAutospacing="0" w:after="0" w:afterAutospacing="0"/>
        <w:ind w:left="360"/>
        <w:textAlignment w:val="baseline"/>
        <w:rPr>
          <w:sz w:val="22"/>
          <w:szCs w:val="22"/>
          <w:lang w:val="en-US"/>
        </w:rPr>
      </w:pPr>
      <w:r w:rsidRPr="00795C37">
        <w:rPr>
          <w:sz w:val="22"/>
          <w:szCs w:val="22"/>
          <w:u w:val="single"/>
          <w:lang w:val="en-US"/>
        </w:rPr>
        <w:t>BERNOULLI’S THEOREM:</w:t>
      </w:r>
      <w:r w:rsidRPr="000A15B9">
        <w:rPr>
          <w:sz w:val="22"/>
          <w:szCs w:val="22"/>
          <w:lang w:val="en-US"/>
        </w:rPr>
        <w:t> </w:t>
      </w:r>
      <w:r>
        <w:rPr>
          <w:sz w:val="22"/>
          <w:szCs w:val="22"/>
          <w:lang w:val="en-US"/>
        </w:rPr>
        <w:t>T</w:t>
      </w:r>
      <w:r w:rsidRPr="000A15B9">
        <w:rPr>
          <w:sz w:val="22"/>
          <w:szCs w:val="22"/>
          <w:lang w:val="en-US"/>
        </w:rPr>
        <w:t>he theorem states that for an inviscid flow of a </w:t>
      </w:r>
      <w:proofErr w:type="spellStart"/>
      <w:r w:rsidRPr="000A15B9">
        <w:rPr>
          <w:sz w:val="22"/>
          <w:szCs w:val="22"/>
          <w:lang w:val="en-US"/>
        </w:rPr>
        <w:t>non conducting</w:t>
      </w:r>
      <w:proofErr w:type="spellEnd"/>
      <w:r w:rsidRPr="000A15B9">
        <w:rPr>
          <w:sz w:val="22"/>
          <w:szCs w:val="22"/>
          <w:lang w:val="en-US"/>
        </w:rPr>
        <w:t> fluid, an increase in the speed of fluid occurs simultaneously with a decrease in the pressure or a decrease in the fluid potential energy. </w:t>
      </w:r>
    </w:p>
    <w:p w14:paraId="634D15D8" w14:textId="7F4204AB" w:rsidR="00636003" w:rsidRPr="00636003" w:rsidRDefault="00636003" w:rsidP="00636003">
      <w:pPr>
        <w:ind w:left="360"/>
        <w:jc w:val="center"/>
        <w:rPr>
          <w:sz w:val="24"/>
          <w:szCs w:val="24"/>
          <w:lang w:val="en-US"/>
        </w:rPr>
      </w:pPr>
      <m:oMathPara>
        <m:oMath>
          <m:r>
            <w:rPr>
              <w:rFonts w:ascii="Cambria Math" w:hAnsi="Cambria Math"/>
              <w:sz w:val="24"/>
              <w:szCs w:val="24"/>
              <w:lang w:val="en-US"/>
            </w:rPr>
            <m:t>EQUATION :P+</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ρ</m:t>
          </m:r>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2</m:t>
              </m:r>
            </m:sup>
          </m:sSup>
          <m:r>
            <w:rPr>
              <w:rFonts w:ascii="Cambria Math" w:hAnsi="Cambria Math"/>
              <w:sz w:val="24"/>
              <w:szCs w:val="24"/>
              <w:lang w:val="en-US"/>
            </w:rPr>
            <m:t>+ρgh=Constant</m:t>
          </m:r>
        </m:oMath>
      </m:oMathPara>
    </w:p>
    <w:p w14:paraId="54774AD5" w14:textId="77777777" w:rsidR="00636003" w:rsidRPr="00F663BC" w:rsidRDefault="00636003" w:rsidP="00636003">
      <w:pPr>
        <w:pStyle w:val="NormalWeb"/>
        <w:spacing w:before="0" w:beforeAutospacing="0" w:after="0" w:afterAutospacing="0"/>
        <w:textAlignment w:val="baseline"/>
        <w:rPr>
          <w:lang w:val="en-US"/>
        </w:rPr>
      </w:pPr>
      <m:oMath>
        <m:r>
          <w:rPr>
            <w:rFonts w:ascii="Cambria Math" w:hAnsi="Cambria Math"/>
            <w:lang w:val="en-US"/>
          </w:rPr>
          <m:t>where,  ρ=density of fluid(in m/</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oMath>
      <w:r w:rsidRPr="00F663BC">
        <w:rPr>
          <w:lang w:val="en-US"/>
        </w:rPr>
        <w:t>)</w:t>
      </w:r>
    </w:p>
    <w:p w14:paraId="7F7EA5F1" w14:textId="77777777" w:rsidR="00636003" w:rsidRPr="00F663BC" w:rsidRDefault="00636003" w:rsidP="00636003">
      <w:pPr>
        <w:pStyle w:val="NormalWeb"/>
        <w:spacing w:before="0" w:beforeAutospacing="0" w:after="0" w:afterAutospacing="0"/>
        <w:textAlignment w:val="baseline"/>
        <w:rPr>
          <w:lang w:val="en-US"/>
        </w:rPr>
      </w:pPr>
      <w:r w:rsidRPr="00F663BC">
        <w:rPr>
          <w:lang w:val="en-US"/>
        </w:rPr>
        <w:tab/>
      </w:r>
      <w:r w:rsidRPr="00F663BC">
        <w:rPr>
          <w:lang w:val="en-US"/>
        </w:rPr>
        <w:tab/>
        <w:t xml:space="preserve">        </w:t>
      </w:r>
      <m:oMath>
        <m:r>
          <w:rPr>
            <w:rFonts w:ascii="Cambria Math" w:hAnsi="Cambria Math"/>
            <w:lang w:val="en-US"/>
          </w:rPr>
          <m:t xml:space="preserve">       v=velocity</m:t>
        </m:r>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e>
        </m:d>
      </m:oMath>
    </w:p>
    <w:p w14:paraId="38B10337" w14:textId="77777777" w:rsidR="00636003" w:rsidRPr="00F663BC" w:rsidRDefault="00636003" w:rsidP="00636003">
      <w:pPr>
        <w:pStyle w:val="NormalWeb"/>
        <w:spacing w:before="0" w:beforeAutospacing="0" w:after="0" w:afterAutospacing="0"/>
        <w:textAlignment w:val="baseline"/>
        <w:rPr>
          <w:lang w:val="en-US"/>
        </w:rPr>
      </w:pPr>
      <w:r w:rsidRPr="00F663BC">
        <w:rPr>
          <w:lang w:val="en-US"/>
        </w:rPr>
        <w:t xml:space="preserve">                                      </w:t>
      </w:r>
      <m:oMath>
        <m:r>
          <w:rPr>
            <w:rFonts w:ascii="Cambria Math" w:hAnsi="Cambria Math"/>
            <w:lang w:val="en-US"/>
          </w:rPr>
          <m:t>g=gravitational acceleration(</m:t>
        </m:r>
        <m:f>
          <m:fPr>
            <m:type m:val="lin"/>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m:t>
            </m:r>
          </m:den>
        </m:f>
      </m:oMath>
    </w:p>
    <w:p w14:paraId="6616FFFC" w14:textId="7F50C2BB" w:rsidR="00636003" w:rsidRDefault="00636003" w:rsidP="00636003">
      <w:pPr>
        <w:pStyle w:val="NormalWeb"/>
        <w:spacing w:before="0" w:beforeAutospacing="0" w:after="0" w:afterAutospacing="0"/>
        <w:textAlignment w:val="baseline"/>
        <w:rPr>
          <w:sz w:val="22"/>
          <w:szCs w:val="22"/>
          <w:lang w:val="en-US"/>
        </w:rPr>
      </w:pPr>
      <w:r w:rsidRPr="00F663BC">
        <w:rPr>
          <w:lang w:val="en-US"/>
        </w:rPr>
        <w:t xml:space="preserve">                                   </w:t>
      </w:r>
      <m:oMath>
        <m:r>
          <w:rPr>
            <w:rFonts w:ascii="Cambria Math" w:hAnsi="Cambria Math"/>
            <w:lang w:val="en-US"/>
          </w:rPr>
          <m:t xml:space="preserve">    h=elevation(m)</m:t>
        </m:r>
      </m:oMath>
    </w:p>
    <w:p w14:paraId="1B675FA2" w14:textId="77777777" w:rsidR="00636003" w:rsidRDefault="00636003" w:rsidP="00636003">
      <w:pPr>
        <w:pStyle w:val="NormalWeb"/>
        <w:spacing w:before="0" w:beforeAutospacing="0" w:after="0" w:afterAutospacing="0"/>
        <w:ind w:left="360"/>
        <w:textAlignment w:val="baseline"/>
        <w:rPr>
          <w:sz w:val="22"/>
          <w:szCs w:val="22"/>
          <w:lang w:val="en-US"/>
        </w:rPr>
      </w:pPr>
    </w:p>
    <w:p w14:paraId="67CC91B5" w14:textId="77777777" w:rsidR="00636003" w:rsidRDefault="00636003" w:rsidP="00636003">
      <w:pPr>
        <w:pStyle w:val="NormalWeb"/>
        <w:spacing w:before="0" w:beforeAutospacing="0" w:after="0" w:afterAutospacing="0"/>
        <w:ind w:left="360"/>
        <w:textAlignment w:val="baseline"/>
        <w:rPr>
          <w:sz w:val="22"/>
          <w:szCs w:val="22"/>
          <w:lang w:val="en-US"/>
        </w:rPr>
      </w:pPr>
    </w:p>
    <w:p w14:paraId="2DFEAE03" w14:textId="77777777" w:rsidR="00636003" w:rsidRPr="000A15B9" w:rsidRDefault="00636003" w:rsidP="00636003">
      <w:pPr>
        <w:pStyle w:val="NormalWeb"/>
        <w:spacing w:before="0" w:beforeAutospacing="0" w:after="0" w:afterAutospacing="0"/>
        <w:ind w:left="360"/>
        <w:textAlignment w:val="baseline"/>
        <w:rPr>
          <w:sz w:val="22"/>
          <w:szCs w:val="22"/>
          <w:lang w:val="en-US"/>
        </w:rPr>
      </w:pPr>
    </w:p>
    <w:p w14:paraId="1E667A17" w14:textId="77777777" w:rsidR="00636003" w:rsidRDefault="00636003" w:rsidP="00636003">
      <w:pPr>
        <w:pStyle w:val="NormalWeb"/>
        <w:numPr>
          <w:ilvl w:val="0"/>
          <w:numId w:val="1"/>
        </w:numPr>
        <w:spacing w:before="0" w:beforeAutospacing="0" w:after="0" w:afterAutospacing="0"/>
        <w:ind w:left="360"/>
        <w:textAlignment w:val="baseline"/>
        <w:rPr>
          <w:sz w:val="22"/>
          <w:szCs w:val="22"/>
          <w:lang w:val="en-US"/>
        </w:rPr>
      </w:pPr>
      <w:r w:rsidRPr="00795C37">
        <w:rPr>
          <w:sz w:val="22"/>
          <w:szCs w:val="22"/>
          <w:u w:val="single"/>
          <w:lang w:val="en-US"/>
        </w:rPr>
        <w:t>CONTINUITY EQUATION:</w:t>
      </w:r>
      <w:r w:rsidRPr="000A15B9">
        <w:rPr>
          <w:sz w:val="22"/>
          <w:szCs w:val="22"/>
          <w:lang w:val="en-US"/>
        </w:rPr>
        <w:t xml:space="preserve"> This equation describes the transport of some quantity. </w:t>
      </w:r>
      <w:r>
        <w:rPr>
          <w:sz w:val="22"/>
          <w:szCs w:val="22"/>
          <w:lang w:val="en-US"/>
        </w:rPr>
        <w:t>I</w:t>
      </w:r>
      <w:r w:rsidRPr="000A15B9">
        <w:rPr>
          <w:sz w:val="22"/>
          <w:szCs w:val="22"/>
          <w:lang w:val="en-US"/>
        </w:rPr>
        <w:t>t is particularly simple and powerful when applied to a conserved quantity but it can be generalized to apply to any extensive property. </w:t>
      </w:r>
    </w:p>
    <w:p w14:paraId="16B18806" w14:textId="0DA7810E" w:rsidR="00636003" w:rsidRDefault="00636003" w:rsidP="00636003">
      <w:pPr>
        <w:pStyle w:val="NormalWeb"/>
        <w:spacing w:before="0" w:beforeAutospacing="0" w:after="0" w:afterAutospacing="0"/>
        <w:ind w:left="720"/>
        <w:textAlignment w:val="baseline"/>
        <w:rPr>
          <w:sz w:val="22"/>
          <w:szCs w:val="22"/>
          <w:lang w:val="en-US"/>
        </w:rPr>
      </w:pPr>
      <m:oMathPara>
        <m:oMath>
          <m:r>
            <w:rPr>
              <w:rFonts w:ascii="Cambria Math" w:hAnsi="Cambria Math"/>
              <w:sz w:val="22"/>
              <w:szCs w:val="22"/>
              <w:lang w:val="en-US"/>
            </w:rPr>
            <m:t xml:space="preserve">Equation for an incompressible fluid and steady flow: </m:t>
          </m:r>
          <m:r>
            <m:rPr>
              <m:sty m:val="p"/>
            </m:rPr>
            <w:rPr>
              <w:rFonts w:ascii="Cambria Math" w:hAnsi="Cambria Math"/>
              <w:sz w:val="22"/>
              <w:szCs w:val="22"/>
              <w:lang w:val="en-US"/>
            </w:rPr>
            <w:br/>
          </m:r>
        </m:oMath>
        <m:oMath>
          <m:r>
            <w:rPr>
              <w:rFonts w:ascii="Cambria Math" w:hAnsi="Cambria Math"/>
              <w:sz w:val="22"/>
              <w:szCs w:val="22"/>
              <w:lang w:val="en-US"/>
            </w:rPr>
            <m:t>AV=CONSTANT</m:t>
          </m:r>
          <m:r>
            <m:rPr>
              <m:sty m:val="p"/>
            </m:rPr>
            <w:rPr>
              <w:rFonts w:ascii="Cambria Math" w:hAnsi="Cambria Math"/>
              <w:sz w:val="22"/>
              <w:szCs w:val="22"/>
              <w:lang w:val="en-US"/>
            </w:rPr>
            <w:br/>
          </m:r>
        </m:oMath>
        <m:oMath>
          <m:r>
            <w:rPr>
              <w:rFonts w:ascii="Cambria Math" w:hAnsi="Cambria Math"/>
              <w:sz w:val="22"/>
              <w:szCs w:val="22"/>
              <w:lang w:val="en-US"/>
            </w:rPr>
            <m:t>A=Area of Cross-section</m:t>
          </m:r>
          <m:r>
            <m:rPr>
              <m:sty m:val="p"/>
            </m:rPr>
            <w:rPr>
              <w:rFonts w:ascii="Cambria Math" w:hAnsi="Cambria Math"/>
              <w:sz w:val="22"/>
              <w:szCs w:val="22"/>
              <w:lang w:val="en-US"/>
            </w:rPr>
            <w:br/>
          </m:r>
        </m:oMath>
        <m:oMath>
          <m:r>
            <w:rPr>
              <w:rFonts w:ascii="Cambria Math" w:hAnsi="Cambria Math"/>
              <w:sz w:val="22"/>
              <w:szCs w:val="22"/>
              <w:lang w:val="en-US"/>
            </w:rPr>
            <m:t>V=Velocity of fluid across cross section</m:t>
          </m:r>
        </m:oMath>
      </m:oMathPara>
    </w:p>
    <w:p w14:paraId="5C668564" w14:textId="77777777" w:rsidR="00636003" w:rsidRDefault="00636003" w:rsidP="00636003">
      <w:pPr>
        <w:pStyle w:val="NormalWeb"/>
        <w:spacing w:before="0" w:beforeAutospacing="0" w:after="0" w:afterAutospacing="0"/>
        <w:ind w:left="360"/>
        <w:textAlignment w:val="baseline"/>
        <w:rPr>
          <w:sz w:val="22"/>
          <w:szCs w:val="22"/>
          <w:lang w:val="en-US"/>
        </w:rPr>
      </w:pPr>
    </w:p>
    <w:p w14:paraId="641840A4" w14:textId="1C5D0009" w:rsidR="00636003" w:rsidRDefault="00636003" w:rsidP="00636003">
      <w:pPr>
        <w:pStyle w:val="NormalWeb"/>
        <w:spacing w:before="0" w:beforeAutospacing="0" w:after="0" w:afterAutospacing="0"/>
        <w:ind w:left="360"/>
        <w:textAlignment w:val="baseline"/>
        <w:rPr>
          <w:sz w:val="22"/>
          <w:szCs w:val="22"/>
          <w:u w:val="single"/>
          <w:lang w:val="en-US"/>
        </w:rPr>
      </w:pPr>
    </w:p>
    <w:p w14:paraId="709EC199" w14:textId="77777777" w:rsidR="00636003" w:rsidRDefault="00636003" w:rsidP="00636003">
      <w:pPr>
        <w:pStyle w:val="NormalWeb"/>
        <w:spacing w:before="0" w:beforeAutospacing="0" w:after="0" w:afterAutospacing="0"/>
        <w:textAlignment w:val="baseline"/>
        <w:rPr>
          <w:sz w:val="22"/>
          <w:szCs w:val="22"/>
          <w:lang w:val="en-US"/>
        </w:rPr>
      </w:pPr>
      <w:r w:rsidRPr="00795C37">
        <w:rPr>
          <w:sz w:val="22"/>
          <w:szCs w:val="22"/>
          <w:u w:val="single"/>
          <w:lang w:val="en-US"/>
        </w:rPr>
        <w:t>DESCRIPTION:</w:t>
      </w:r>
      <w:r w:rsidRPr="000A15B9">
        <w:rPr>
          <w:sz w:val="22"/>
          <w:szCs w:val="22"/>
          <w:lang w:val="en-US"/>
        </w:rPr>
        <w:t> </w:t>
      </w:r>
    </w:p>
    <w:p w14:paraId="1575F834" w14:textId="77777777" w:rsidR="00636003" w:rsidRPr="000A15B9" w:rsidRDefault="00636003" w:rsidP="00636003">
      <w:pPr>
        <w:pStyle w:val="NormalWeb"/>
        <w:spacing w:before="0" w:beforeAutospacing="0" w:after="0" w:afterAutospacing="0"/>
        <w:textAlignment w:val="baseline"/>
        <w:rPr>
          <w:sz w:val="22"/>
          <w:szCs w:val="22"/>
          <w:lang w:val="en-US"/>
        </w:rPr>
      </w:pPr>
      <w:r>
        <w:rPr>
          <w:sz w:val="22"/>
          <w:szCs w:val="22"/>
          <w:lang w:val="en-US"/>
        </w:rPr>
        <w:t>A</w:t>
      </w:r>
      <w:r w:rsidRPr="000A15B9">
        <w:rPr>
          <w:sz w:val="22"/>
          <w:szCs w:val="22"/>
          <w:lang w:val="en-US"/>
        </w:rPr>
        <w:t>s the fluid pressure enters bourdon tube, it tries to be reformed and cause of a free tip available, this action causes the trip to travel in free space and tube unwinds, the simultaneous actions of sending and tension due to internal pressure make a non-linear movement of free tip. This travel is amplified for the measurement of internal pressure. </w:t>
      </w:r>
    </w:p>
    <w:p w14:paraId="69BFB2D6" w14:textId="77777777" w:rsidR="00636003" w:rsidRPr="000A15B9" w:rsidRDefault="00636003" w:rsidP="00636003">
      <w:pPr>
        <w:pStyle w:val="NormalWeb"/>
        <w:spacing w:before="0" w:beforeAutospacing="0" w:after="0" w:afterAutospacing="0"/>
        <w:textAlignment w:val="baseline"/>
        <w:rPr>
          <w:sz w:val="22"/>
          <w:szCs w:val="22"/>
          <w:lang w:val="en-US"/>
        </w:rPr>
      </w:pPr>
      <w:r>
        <w:rPr>
          <w:sz w:val="22"/>
          <w:szCs w:val="22"/>
          <w:lang w:val="en-US"/>
        </w:rPr>
        <w:t>A</w:t>
      </w:r>
      <w:r w:rsidRPr="000A15B9">
        <w:rPr>
          <w:sz w:val="22"/>
          <w:szCs w:val="22"/>
          <w:lang w:val="en-US"/>
        </w:rPr>
        <w:t xml:space="preserve"> lot of compound stresses originate in the tube as soon as the pressure is applied. </w:t>
      </w:r>
      <w:r>
        <w:rPr>
          <w:sz w:val="22"/>
          <w:szCs w:val="22"/>
          <w:lang w:val="en-US"/>
        </w:rPr>
        <w:t>T</w:t>
      </w:r>
      <w:r w:rsidRPr="000A15B9">
        <w:rPr>
          <w:sz w:val="22"/>
          <w:szCs w:val="22"/>
          <w:lang w:val="en-US"/>
        </w:rPr>
        <w:t>his makes the travel of tip to be non-linear in nature. If the tip travel is small, the stresses can be considered to produce a linear motion that is parallel to the axis of link. Small linear tip movement is matched with rotational pointer movement. This is multiplication which can be adjusted by adjusting the length of the lever. But the same amount of tip </w:t>
      </w:r>
      <w:proofErr w:type="gramStart"/>
      <w:r w:rsidRPr="000A15B9">
        <w:rPr>
          <w:sz w:val="22"/>
          <w:szCs w:val="22"/>
          <w:lang w:val="en-US"/>
        </w:rPr>
        <w:t>travel</w:t>
      </w:r>
      <w:proofErr w:type="gramEnd"/>
      <w:r w:rsidRPr="000A15B9">
        <w:rPr>
          <w:sz w:val="22"/>
          <w:szCs w:val="22"/>
          <w:lang w:val="en-US"/>
        </w:rPr>
        <w:t> a shorter level gives larger rotation. </w:t>
      </w:r>
    </w:p>
    <w:p w14:paraId="7A3CB4AC" w14:textId="77777777" w:rsidR="00636003" w:rsidRDefault="00636003" w:rsidP="00636003">
      <w:pPr>
        <w:pStyle w:val="NormalWeb"/>
        <w:spacing w:before="0" w:beforeAutospacing="0" w:after="0" w:afterAutospacing="0"/>
        <w:textAlignment w:val="baseline"/>
        <w:rPr>
          <w:sz w:val="22"/>
          <w:szCs w:val="22"/>
          <w:lang w:val="en-US"/>
        </w:rPr>
      </w:pPr>
      <w:r w:rsidRPr="000A15B9">
        <w:rPr>
          <w:sz w:val="22"/>
          <w:szCs w:val="22"/>
          <w:lang w:val="en-US"/>
        </w:rPr>
        <w:t>Like all elastic elements a bourdon tube also has some hysteresis in a given pressure cycle. By proper choice of material and its heat treatment this may be kept within 0.1% and 0.5% of the maximum pressure cycle. Sensitivity of tip movement of a bourdon tube a teammate without restraint can be as high as 0.01% of full range pressure reducing to 0.1% with restraint as central point. </w:t>
      </w:r>
    </w:p>
    <w:p w14:paraId="05EC3122" w14:textId="77777777" w:rsidR="00636003" w:rsidRDefault="00636003" w:rsidP="00636003">
      <w:pPr>
        <w:pStyle w:val="NormalWeb"/>
        <w:spacing w:before="0" w:beforeAutospacing="0" w:after="0" w:afterAutospacing="0"/>
        <w:textAlignment w:val="baseline"/>
        <w:rPr>
          <w:sz w:val="22"/>
          <w:szCs w:val="22"/>
          <w:lang w:val="en-US"/>
        </w:rPr>
      </w:pPr>
    </w:p>
    <w:p w14:paraId="5125A890" w14:textId="77777777" w:rsidR="00636003" w:rsidRPr="000A15B9" w:rsidRDefault="00636003" w:rsidP="00636003">
      <w:pPr>
        <w:pStyle w:val="NormalWeb"/>
        <w:spacing w:before="0" w:beforeAutospacing="0" w:after="0" w:afterAutospacing="0"/>
        <w:textAlignment w:val="baseline"/>
        <w:rPr>
          <w:sz w:val="22"/>
          <w:szCs w:val="22"/>
          <w:lang w:val="en-US"/>
        </w:rPr>
      </w:pPr>
    </w:p>
    <w:p w14:paraId="2CC07388" w14:textId="77777777" w:rsidR="00636003" w:rsidRPr="00795C37" w:rsidRDefault="00636003" w:rsidP="00636003">
      <w:pPr>
        <w:pStyle w:val="NormalWeb"/>
        <w:spacing w:before="0" w:beforeAutospacing="0" w:after="0" w:afterAutospacing="0"/>
        <w:textAlignment w:val="baseline"/>
        <w:rPr>
          <w:sz w:val="22"/>
          <w:szCs w:val="22"/>
          <w:u w:val="single"/>
          <w:lang w:val="en-US"/>
        </w:rPr>
      </w:pPr>
      <w:r w:rsidRPr="00795C37">
        <w:rPr>
          <w:sz w:val="22"/>
          <w:szCs w:val="22"/>
          <w:u w:val="single"/>
          <w:lang w:val="en-US"/>
        </w:rPr>
        <w:t>PRECAUTION: </w:t>
      </w:r>
    </w:p>
    <w:p w14:paraId="6E1CEC5D" w14:textId="77777777" w:rsidR="00636003" w:rsidRPr="000A15B9" w:rsidRDefault="00636003" w:rsidP="00636003">
      <w:pPr>
        <w:pStyle w:val="NormalWeb"/>
        <w:numPr>
          <w:ilvl w:val="0"/>
          <w:numId w:val="2"/>
        </w:numPr>
        <w:spacing w:before="0" w:beforeAutospacing="0" w:after="0" w:afterAutospacing="0"/>
        <w:ind w:left="360"/>
        <w:textAlignment w:val="baseline"/>
        <w:rPr>
          <w:sz w:val="22"/>
          <w:szCs w:val="22"/>
          <w:lang w:val="en-US"/>
        </w:rPr>
      </w:pPr>
      <w:r w:rsidRPr="000A15B9">
        <w:rPr>
          <w:sz w:val="22"/>
          <w:szCs w:val="22"/>
          <w:lang w:val="en-US"/>
        </w:rPr>
        <w:t>Open the nozzle with full safety otherwise there might be a possibility that sudden opening may cause water to mix with mercury. </w:t>
      </w:r>
    </w:p>
    <w:p w14:paraId="66A4A252" w14:textId="77777777" w:rsidR="00636003" w:rsidRPr="00F663BC" w:rsidRDefault="00636003" w:rsidP="00636003">
      <w:pPr>
        <w:pStyle w:val="NormalWeb"/>
        <w:numPr>
          <w:ilvl w:val="0"/>
          <w:numId w:val="3"/>
        </w:numPr>
        <w:spacing w:before="0" w:beforeAutospacing="0" w:after="0" w:afterAutospacing="0"/>
        <w:ind w:left="360"/>
        <w:textAlignment w:val="baseline"/>
        <w:rPr>
          <w:lang w:val="en-US"/>
        </w:rPr>
      </w:pPr>
      <w:r w:rsidRPr="00F663BC">
        <w:rPr>
          <w:sz w:val="22"/>
          <w:szCs w:val="22"/>
          <w:lang w:val="en-US"/>
        </w:rPr>
        <w:t>While observing the mercury level in the U-tube manometer, due clear must be taken to reduce any type of error. </w:t>
      </w:r>
    </w:p>
    <w:p w14:paraId="54F40B6A" w14:textId="77777777" w:rsidR="00636003" w:rsidRPr="00795C37" w:rsidRDefault="00636003" w:rsidP="00636003">
      <w:pPr>
        <w:pStyle w:val="Subtitle"/>
        <w:rPr>
          <w:rFonts w:ascii="Times New Roman" w:hAnsi="Times New Roman" w:cs="Times New Roman"/>
          <w:sz w:val="32"/>
          <w:szCs w:val="32"/>
          <w:u w:val="single"/>
          <w:lang w:val="en-US"/>
        </w:rPr>
      </w:pPr>
      <w:r w:rsidRPr="00795C37">
        <w:rPr>
          <w:rFonts w:ascii="Times New Roman" w:hAnsi="Times New Roman" w:cs="Times New Roman"/>
          <w:sz w:val="32"/>
          <w:szCs w:val="32"/>
          <w:u w:val="single"/>
          <w:lang w:val="en-US"/>
        </w:rPr>
        <w:lastRenderedPageBreak/>
        <w:t>CALIBRATION OF VACUUM GAUGE</w:t>
      </w:r>
    </w:p>
    <w:tbl>
      <w:tblPr>
        <w:tblStyle w:val="TableGrid"/>
        <w:tblW w:w="8313" w:type="dxa"/>
        <w:tblInd w:w="360" w:type="dxa"/>
        <w:tblLook w:val="04A0" w:firstRow="1" w:lastRow="0" w:firstColumn="1" w:lastColumn="0" w:noHBand="0" w:noVBand="1"/>
      </w:tblPr>
      <w:tblGrid>
        <w:gridCol w:w="2099"/>
        <w:gridCol w:w="2061"/>
        <w:gridCol w:w="2103"/>
        <w:gridCol w:w="2050"/>
      </w:tblGrid>
      <w:tr w:rsidR="00636003" w14:paraId="7F6E15D6" w14:textId="77777777" w:rsidTr="00EF635B">
        <w:trPr>
          <w:trHeight w:val="852"/>
        </w:trPr>
        <w:tc>
          <w:tcPr>
            <w:tcW w:w="2099" w:type="dxa"/>
          </w:tcPr>
          <w:p w14:paraId="3166C35E"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MAKE OF GAUGE</w:t>
            </w:r>
          </w:p>
        </w:tc>
        <w:tc>
          <w:tcPr>
            <w:tcW w:w="2061" w:type="dxa"/>
          </w:tcPr>
          <w:p w14:paraId="4E61A92A"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BOURDON</w:t>
            </w:r>
          </w:p>
        </w:tc>
        <w:tc>
          <w:tcPr>
            <w:tcW w:w="2103" w:type="dxa"/>
          </w:tcPr>
          <w:p w14:paraId="13A39D0F"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DATE OF EXPERIMENT</w:t>
            </w:r>
          </w:p>
        </w:tc>
        <w:tc>
          <w:tcPr>
            <w:tcW w:w="2050" w:type="dxa"/>
          </w:tcPr>
          <w:p w14:paraId="06CCF20A"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30/06/2021</w:t>
            </w:r>
          </w:p>
        </w:tc>
      </w:tr>
      <w:tr w:rsidR="00636003" w14:paraId="2D426E35" w14:textId="77777777" w:rsidTr="00EF635B">
        <w:trPr>
          <w:trHeight w:val="417"/>
        </w:trPr>
        <w:tc>
          <w:tcPr>
            <w:tcW w:w="2099" w:type="dxa"/>
          </w:tcPr>
          <w:p w14:paraId="3D48B964"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RANGE</w:t>
            </w:r>
          </w:p>
        </w:tc>
        <w:tc>
          <w:tcPr>
            <w:tcW w:w="2061" w:type="dxa"/>
          </w:tcPr>
          <w:p w14:paraId="29FCF48A"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0-76 cm of Hg</w:t>
            </w:r>
          </w:p>
        </w:tc>
        <w:tc>
          <w:tcPr>
            <w:tcW w:w="2103" w:type="dxa"/>
          </w:tcPr>
          <w:p w14:paraId="683E2959"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PAPER CODE</w:t>
            </w:r>
          </w:p>
        </w:tc>
        <w:tc>
          <w:tcPr>
            <w:tcW w:w="2050" w:type="dxa"/>
          </w:tcPr>
          <w:p w14:paraId="33C525A8"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MES 481</w:t>
            </w:r>
          </w:p>
        </w:tc>
      </w:tr>
      <w:tr w:rsidR="00636003" w14:paraId="30F6FB86" w14:textId="77777777" w:rsidTr="00EF635B">
        <w:trPr>
          <w:trHeight w:val="836"/>
        </w:trPr>
        <w:tc>
          <w:tcPr>
            <w:tcW w:w="2099" w:type="dxa"/>
          </w:tcPr>
          <w:p w14:paraId="688AA85D"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BAROMETER READING</w:t>
            </w:r>
          </w:p>
        </w:tc>
        <w:tc>
          <w:tcPr>
            <w:tcW w:w="2061" w:type="dxa"/>
          </w:tcPr>
          <w:p w14:paraId="2A69F212"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76 cm of Hg</w:t>
            </w:r>
          </w:p>
        </w:tc>
        <w:tc>
          <w:tcPr>
            <w:tcW w:w="2103" w:type="dxa"/>
          </w:tcPr>
          <w:p w14:paraId="3D7860CD" w14:textId="77777777" w:rsidR="00636003" w:rsidRDefault="00636003" w:rsidP="00EF635B">
            <w:pPr>
              <w:pStyle w:val="NormalWeb"/>
              <w:spacing w:before="0" w:beforeAutospacing="0" w:after="0" w:afterAutospacing="0"/>
              <w:textAlignment w:val="baseline"/>
              <w:rPr>
                <w:sz w:val="22"/>
                <w:szCs w:val="22"/>
                <w:lang w:val="en-US"/>
              </w:rPr>
            </w:pPr>
            <w:r>
              <w:rPr>
                <w:sz w:val="22"/>
                <w:szCs w:val="22"/>
                <w:lang w:val="en-US"/>
              </w:rPr>
              <w:t>ROLL NUMBER</w:t>
            </w:r>
          </w:p>
        </w:tc>
        <w:tc>
          <w:tcPr>
            <w:tcW w:w="2050" w:type="dxa"/>
          </w:tcPr>
          <w:p w14:paraId="4E265E28" w14:textId="25B35F72" w:rsidR="00636003" w:rsidRDefault="00636003" w:rsidP="00EF635B">
            <w:pPr>
              <w:pStyle w:val="NormalWeb"/>
              <w:spacing w:before="0" w:beforeAutospacing="0" w:after="0" w:afterAutospacing="0"/>
              <w:textAlignment w:val="baseline"/>
              <w:rPr>
                <w:sz w:val="22"/>
                <w:szCs w:val="22"/>
                <w:lang w:val="en-US"/>
              </w:rPr>
            </w:pPr>
          </w:p>
        </w:tc>
      </w:tr>
    </w:tbl>
    <w:p w14:paraId="0E1C191A" w14:textId="77777777" w:rsidR="00636003" w:rsidRPr="000A15B9" w:rsidRDefault="00636003" w:rsidP="00636003">
      <w:pPr>
        <w:pStyle w:val="NormalWeb"/>
        <w:spacing w:before="0" w:beforeAutospacing="0" w:after="0" w:afterAutospacing="0"/>
        <w:ind w:left="360"/>
        <w:textAlignment w:val="baseline"/>
        <w:rPr>
          <w:sz w:val="22"/>
          <w:szCs w:val="22"/>
          <w:lang w:val="en-US"/>
        </w:rPr>
      </w:pPr>
    </w:p>
    <w:p w14:paraId="66FBB09E" w14:textId="77777777" w:rsidR="00636003" w:rsidRPr="000A15B9" w:rsidRDefault="00636003" w:rsidP="00636003">
      <w:pPr>
        <w:pStyle w:val="NormalWeb"/>
        <w:spacing w:before="0" w:beforeAutospacing="0" w:after="0" w:afterAutospacing="0"/>
        <w:textAlignment w:val="baseline"/>
        <w:rPr>
          <w:sz w:val="22"/>
          <w:szCs w:val="22"/>
          <w:lang w:val="en-US"/>
        </w:rPr>
      </w:pPr>
    </w:p>
    <w:p w14:paraId="60B383C0" w14:textId="77777777" w:rsidR="00636003" w:rsidRPr="00795C37" w:rsidRDefault="00636003" w:rsidP="00636003">
      <w:pPr>
        <w:pStyle w:val="Subtitle"/>
        <w:rPr>
          <w:rFonts w:ascii="Times New Roman" w:hAnsi="Times New Roman" w:cs="Times New Roman"/>
          <w:sz w:val="32"/>
          <w:szCs w:val="32"/>
          <w:u w:val="single"/>
        </w:rPr>
      </w:pPr>
      <w:r w:rsidRPr="00795C37">
        <w:rPr>
          <w:rFonts w:ascii="Times New Roman" w:hAnsi="Times New Roman" w:cs="Times New Roman"/>
          <w:sz w:val="32"/>
          <w:szCs w:val="32"/>
          <w:u w:val="single"/>
        </w:rPr>
        <w:t>OBSERVATION</w:t>
      </w:r>
    </w:p>
    <w:tbl>
      <w:tblPr>
        <w:tblStyle w:val="TableGrid"/>
        <w:tblW w:w="9484" w:type="dxa"/>
        <w:tblLook w:val="04A0" w:firstRow="1" w:lastRow="0" w:firstColumn="1" w:lastColumn="0" w:noHBand="0" w:noVBand="1"/>
      </w:tblPr>
      <w:tblGrid>
        <w:gridCol w:w="561"/>
        <w:gridCol w:w="912"/>
        <w:gridCol w:w="1046"/>
        <w:gridCol w:w="1655"/>
        <w:gridCol w:w="1486"/>
        <w:gridCol w:w="1339"/>
        <w:gridCol w:w="1486"/>
        <w:gridCol w:w="999"/>
      </w:tblGrid>
      <w:tr w:rsidR="00636003" w14:paraId="723DC9DA" w14:textId="77777777" w:rsidTr="00EF635B">
        <w:trPr>
          <w:trHeight w:val="377"/>
        </w:trPr>
        <w:tc>
          <w:tcPr>
            <w:tcW w:w="561" w:type="dxa"/>
            <w:vMerge w:val="restart"/>
          </w:tcPr>
          <w:p w14:paraId="61D23B3C"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SL NO</w:t>
            </w:r>
          </w:p>
        </w:tc>
        <w:tc>
          <w:tcPr>
            <w:tcW w:w="5099" w:type="dxa"/>
            <w:gridSpan w:val="4"/>
          </w:tcPr>
          <w:p w14:paraId="5937488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MANOMETER</w:t>
            </w:r>
          </w:p>
        </w:tc>
        <w:tc>
          <w:tcPr>
            <w:tcW w:w="2825" w:type="dxa"/>
            <w:gridSpan w:val="2"/>
          </w:tcPr>
          <w:p w14:paraId="38E589A7"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BOURDON GAUGE</w:t>
            </w:r>
          </w:p>
        </w:tc>
        <w:tc>
          <w:tcPr>
            <w:tcW w:w="999" w:type="dxa"/>
            <w:vMerge w:val="restart"/>
          </w:tcPr>
          <w:p w14:paraId="58DEB11F"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 ERROR</w:t>
            </w:r>
          </w:p>
        </w:tc>
      </w:tr>
      <w:tr w:rsidR="00636003" w14:paraId="1656771D" w14:textId="77777777" w:rsidTr="00EF635B">
        <w:trPr>
          <w:trHeight w:val="49"/>
        </w:trPr>
        <w:tc>
          <w:tcPr>
            <w:tcW w:w="561" w:type="dxa"/>
            <w:vMerge/>
          </w:tcPr>
          <w:p w14:paraId="477596FF" w14:textId="77777777" w:rsidR="00636003" w:rsidRPr="00253BCE" w:rsidRDefault="00636003" w:rsidP="00EF635B">
            <w:pPr>
              <w:pStyle w:val="NormalWeb"/>
              <w:spacing w:before="0" w:beforeAutospacing="0" w:after="0" w:afterAutospacing="0"/>
              <w:textAlignment w:val="baseline"/>
              <w:rPr>
                <w:sz w:val="20"/>
                <w:szCs w:val="20"/>
                <w:lang w:val="en-US"/>
              </w:rPr>
            </w:pPr>
          </w:p>
        </w:tc>
        <w:tc>
          <w:tcPr>
            <w:tcW w:w="912" w:type="dxa"/>
          </w:tcPr>
          <w:p w14:paraId="052E969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LEFT (cm of Hg)</w:t>
            </w:r>
          </w:p>
        </w:tc>
        <w:tc>
          <w:tcPr>
            <w:tcW w:w="1046" w:type="dxa"/>
          </w:tcPr>
          <w:p w14:paraId="67532206"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RIGHT (cm of Hg)</w:t>
            </w:r>
          </w:p>
        </w:tc>
        <w:tc>
          <w:tcPr>
            <w:tcW w:w="1655" w:type="dxa"/>
          </w:tcPr>
          <w:p w14:paraId="7B4D28DA"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DIFFERENCE (cm of Hg)</w:t>
            </w:r>
          </w:p>
        </w:tc>
        <w:tc>
          <w:tcPr>
            <w:tcW w:w="1485" w:type="dxa"/>
          </w:tcPr>
          <w:p w14:paraId="5A2529E1"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ABSOLUTE (cm of Hg)</w:t>
            </w:r>
          </w:p>
        </w:tc>
        <w:tc>
          <w:tcPr>
            <w:tcW w:w="1339" w:type="dxa"/>
          </w:tcPr>
          <w:p w14:paraId="5EC49226"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READING (cm of Hg)</w:t>
            </w:r>
          </w:p>
        </w:tc>
        <w:tc>
          <w:tcPr>
            <w:tcW w:w="1485" w:type="dxa"/>
          </w:tcPr>
          <w:p w14:paraId="3627ADD9"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ABSOLUTE (cm of Hg)</w:t>
            </w:r>
          </w:p>
        </w:tc>
        <w:tc>
          <w:tcPr>
            <w:tcW w:w="999" w:type="dxa"/>
            <w:vMerge/>
          </w:tcPr>
          <w:p w14:paraId="2B4522D8" w14:textId="77777777" w:rsidR="00636003" w:rsidRPr="00253BCE" w:rsidRDefault="00636003" w:rsidP="00EF635B">
            <w:pPr>
              <w:pStyle w:val="NormalWeb"/>
              <w:spacing w:before="0" w:beforeAutospacing="0" w:after="0" w:afterAutospacing="0"/>
              <w:textAlignment w:val="baseline"/>
              <w:rPr>
                <w:sz w:val="20"/>
                <w:szCs w:val="20"/>
                <w:lang w:val="en-US"/>
              </w:rPr>
            </w:pPr>
          </w:p>
        </w:tc>
      </w:tr>
      <w:tr w:rsidR="00636003" w14:paraId="1CC99076" w14:textId="77777777" w:rsidTr="00EF635B">
        <w:trPr>
          <w:trHeight w:val="46"/>
        </w:trPr>
        <w:tc>
          <w:tcPr>
            <w:tcW w:w="561" w:type="dxa"/>
          </w:tcPr>
          <w:p w14:paraId="0E24415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w:t>
            </w:r>
          </w:p>
        </w:tc>
        <w:tc>
          <w:tcPr>
            <w:tcW w:w="912" w:type="dxa"/>
          </w:tcPr>
          <w:p w14:paraId="1FEA9998"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72.16</w:t>
            </w:r>
          </w:p>
        </w:tc>
        <w:tc>
          <w:tcPr>
            <w:tcW w:w="1046" w:type="dxa"/>
          </w:tcPr>
          <w:p w14:paraId="0613158B"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81</w:t>
            </w:r>
          </w:p>
        </w:tc>
        <w:tc>
          <w:tcPr>
            <w:tcW w:w="1655" w:type="dxa"/>
          </w:tcPr>
          <w:p w14:paraId="252E2740"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8.4</w:t>
            </w:r>
          </w:p>
        </w:tc>
        <w:tc>
          <w:tcPr>
            <w:tcW w:w="1485" w:type="dxa"/>
          </w:tcPr>
          <w:p w14:paraId="76A48D1A"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67.6</w:t>
            </w:r>
          </w:p>
        </w:tc>
        <w:tc>
          <w:tcPr>
            <w:tcW w:w="1339" w:type="dxa"/>
          </w:tcPr>
          <w:p w14:paraId="21C609E5"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10</w:t>
            </w:r>
          </w:p>
        </w:tc>
        <w:tc>
          <w:tcPr>
            <w:tcW w:w="1485" w:type="dxa"/>
          </w:tcPr>
          <w:p w14:paraId="45765BF3"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66</w:t>
            </w:r>
          </w:p>
        </w:tc>
        <w:tc>
          <w:tcPr>
            <w:tcW w:w="999" w:type="dxa"/>
          </w:tcPr>
          <w:p w14:paraId="68B2573C"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2.366</w:t>
            </w:r>
          </w:p>
        </w:tc>
      </w:tr>
      <w:tr w:rsidR="00636003" w14:paraId="459C9B81" w14:textId="77777777" w:rsidTr="00EF635B">
        <w:trPr>
          <w:trHeight w:val="46"/>
        </w:trPr>
        <w:tc>
          <w:tcPr>
            <w:tcW w:w="561" w:type="dxa"/>
          </w:tcPr>
          <w:p w14:paraId="7BB7B569"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w:t>
            </w:r>
          </w:p>
        </w:tc>
        <w:tc>
          <w:tcPr>
            <w:tcW w:w="912" w:type="dxa"/>
          </w:tcPr>
          <w:p w14:paraId="51B78656"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71</w:t>
            </w:r>
          </w:p>
        </w:tc>
        <w:tc>
          <w:tcPr>
            <w:tcW w:w="1046" w:type="dxa"/>
          </w:tcPr>
          <w:p w14:paraId="08A98190"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82</w:t>
            </w:r>
          </w:p>
        </w:tc>
        <w:tc>
          <w:tcPr>
            <w:tcW w:w="1655" w:type="dxa"/>
          </w:tcPr>
          <w:p w14:paraId="69DC2F80"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11</w:t>
            </w:r>
          </w:p>
        </w:tc>
        <w:tc>
          <w:tcPr>
            <w:tcW w:w="1485" w:type="dxa"/>
          </w:tcPr>
          <w:p w14:paraId="3F173890"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65</w:t>
            </w:r>
          </w:p>
        </w:tc>
        <w:tc>
          <w:tcPr>
            <w:tcW w:w="1339" w:type="dxa"/>
          </w:tcPr>
          <w:p w14:paraId="78E1B7D6"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12</w:t>
            </w:r>
          </w:p>
        </w:tc>
        <w:tc>
          <w:tcPr>
            <w:tcW w:w="1485" w:type="dxa"/>
          </w:tcPr>
          <w:p w14:paraId="0656908B"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64</w:t>
            </w:r>
          </w:p>
        </w:tc>
        <w:tc>
          <w:tcPr>
            <w:tcW w:w="999" w:type="dxa"/>
          </w:tcPr>
          <w:p w14:paraId="41F3EB74"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1.53</w:t>
            </w:r>
          </w:p>
        </w:tc>
      </w:tr>
      <w:tr w:rsidR="00636003" w14:paraId="6AA6A08F" w14:textId="77777777" w:rsidTr="00EF635B">
        <w:trPr>
          <w:trHeight w:val="46"/>
        </w:trPr>
        <w:tc>
          <w:tcPr>
            <w:tcW w:w="561" w:type="dxa"/>
          </w:tcPr>
          <w:p w14:paraId="24067FF4"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3</w:t>
            </w:r>
          </w:p>
        </w:tc>
        <w:tc>
          <w:tcPr>
            <w:tcW w:w="912" w:type="dxa"/>
          </w:tcPr>
          <w:p w14:paraId="2867702F"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70</w:t>
            </w:r>
          </w:p>
        </w:tc>
        <w:tc>
          <w:tcPr>
            <w:tcW w:w="1046" w:type="dxa"/>
          </w:tcPr>
          <w:p w14:paraId="23478BED"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82.6</w:t>
            </w:r>
          </w:p>
        </w:tc>
        <w:tc>
          <w:tcPr>
            <w:tcW w:w="1655" w:type="dxa"/>
          </w:tcPr>
          <w:p w14:paraId="0ACFB634"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12.6</w:t>
            </w:r>
          </w:p>
        </w:tc>
        <w:tc>
          <w:tcPr>
            <w:tcW w:w="1485" w:type="dxa"/>
          </w:tcPr>
          <w:p w14:paraId="5D8D97B8"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63.4</w:t>
            </w:r>
          </w:p>
        </w:tc>
        <w:tc>
          <w:tcPr>
            <w:tcW w:w="1339" w:type="dxa"/>
          </w:tcPr>
          <w:p w14:paraId="1C025BD7"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14</w:t>
            </w:r>
          </w:p>
        </w:tc>
        <w:tc>
          <w:tcPr>
            <w:tcW w:w="1485" w:type="dxa"/>
          </w:tcPr>
          <w:p w14:paraId="218A1376"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62</w:t>
            </w:r>
          </w:p>
        </w:tc>
        <w:tc>
          <w:tcPr>
            <w:tcW w:w="999" w:type="dxa"/>
          </w:tcPr>
          <w:p w14:paraId="49194CDD"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2.21</w:t>
            </w:r>
          </w:p>
        </w:tc>
      </w:tr>
      <w:tr w:rsidR="00636003" w14:paraId="7F4E3F37" w14:textId="77777777" w:rsidTr="00EF635B">
        <w:trPr>
          <w:trHeight w:val="46"/>
        </w:trPr>
        <w:tc>
          <w:tcPr>
            <w:tcW w:w="561" w:type="dxa"/>
          </w:tcPr>
          <w:p w14:paraId="156A8BD5"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4</w:t>
            </w:r>
          </w:p>
        </w:tc>
        <w:tc>
          <w:tcPr>
            <w:tcW w:w="912" w:type="dxa"/>
          </w:tcPr>
          <w:p w14:paraId="338323DA"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69</w:t>
            </w:r>
          </w:p>
        </w:tc>
        <w:tc>
          <w:tcPr>
            <w:tcW w:w="1046" w:type="dxa"/>
          </w:tcPr>
          <w:p w14:paraId="490321E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83.8</w:t>
            </w:r>
          </w:p>
        </w:tc>
        <w:tc>
          <w:tcPr>
            <w:tcW w:w="1655" w:type="dxa"/>
          </w:tcPr>
          <w:p w14:paraId="1837C414"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14.8</w:t>
            </w:r>
          </w:p>
        </w:tc>
        <w:tc>
          <w:tcPr>
            <w:tcW w:w="1485" w:type="dxa"/>
          </w:tcPr>
          <w:p w14:paraId="2E69F91A"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61.2</w:t>
            </w:r>
          </w:p>
        </w:tc>
        <w:tc>
          <w:tcPr>
            <w:tcW w:w="1339" w:type="dxa"/>
          </w:tcPr>
          <w:p w14:paraId="32861903"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16</w:t>
            </w:r>
          </w:p>
        </w:tc>
        <w:tc>
          <w:tcPr>
            <w:tcW w:w="1485" w:type="dxa"/>
          </w:tcPr>
          <w:p w14:paraId="5D7A5544"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60</w:t>
            </w:r>
          </w:p>
        </w:tc>
        <w:tc>
          <w:tcPr>
            <w:tcW w:w="999" w:type="dxa"/>
          </w:tcPr>
          <w:p w14:paraId="3925EEFD"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1.96</w:t>
            </w:r>
          </w:p>
        </w:tc>
      </w:tr>
      <w:tr w:rsidR="00636003" w14:paraId="653A4226" w14:textId="77777777" w:rsidTr="00EF635B">
        <w:trPr>
          <w:trHeight w:val="46"/>
        </w:trPr>
        <w:tc>
          <w:tcPr>
            <w:tcW w:w="561" w:type="dxa"/>
          </w:tcPr>
          <w:p w14:paraId="77DC22FA"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w:t>
            </w:r>
          </w:p>
        </w:tc>
        <w:tc>
          <w:tcPr>
            <w:tcW w:w="912" w:type="dxa"/>
          </w:tcPr>
          <w:p w14:paraId="5336D6B7"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68</w:t>
            </w:r>
          </w:p>
        </w:tc>
        <w:tc>
          <w:tcPr>
            <w:tcW w:w="1046" w:type="dxa"/>
          </w:tcPr>
          <w:p w14:paraId="79D81B18"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84.4</w:t>
            </w:r>
          </w:p>
        </w:tc>
        <w:tc>
          <w:tcPr>
            <w:tcW w:w="1655" w:type="dxa"/>
          </w:tcPr>
          <w:p w14:paraId="72946825"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16.4</w:t>
            </w:r>
          </w:p>
        </w:tc>
        <w:tc>
          <w:tcPr>
            <w:tcW w:w="1485" w:type="dxa"/>
          </w:tcPr>
          <w:p w14:paraId="426C3A2B"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59.6</w:t>
            </w:r>
          </w:p>
        </w:tc>
        <w:tc>
          <w:tcPr>
            <w:tcW w:w="1339" w:type="dxa"/>
          </w:tcPr>
          <w:p w14:paraId="4D005EA9"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18</w:t>
            </w:r>
          </w:p>
        </w:tc>
        <w:tc>
          <w:tcPr>
            <w:tcW w:w="1485" w:type="dxa"/>
          </w:tcPr>
          <w:p w14:paraId="223C4779"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58</w:t>
            </w:r>
          </w:p>
        </w:tc>
        <w:tc>
          <w:tcPr>
            <w:tcW w:w="999" w:type="dxa"/>
          </w:tcPr>
          <w:p w14:paraId="7D8EAAC5"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2.68</w:t>
            </w:r>
          </w:p>
        </w:tc>
      </w:tr>
      <w:tr w:rsidR="00636003" w14:paraId="31AF1D02" w14:textId="77777777" w:rsidTr="00EF635B">
        <w:trPr>
          <w:trHeight w:val="46"/>
        </w:trPr>
        <w:tc>
          <w:tcPr>
            <w:tcW w:w="561" w:type="dxa"/>
          </w:tcPr>
          <w:p w14:paraId="07088BF1"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w:t>
            </w:r>
          </w:p>
        </w:tc>
        <w:tc>
          <w:tcPr>
            <w:tcW w:w="912" w:type="dxa"/>
          </w:tcPr>
          <w:p w14:paraId="6DED51BF"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66</w:t>
            </w:r>
          </w:p>
        </w:tc>
        <w:tc>
          <w:tcPr>
            <w:tcW w:w="1046" w:type="dxa"/>
          </w:tcPr>
          <w:p w14:paraId="44660B3E"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85.3</w:t>
            </w:r>
          </w:p>
        </w:tc>
        <w:tc>
          <w:tcPr>
            <w:tcW w:w="1655" w:type="dxa"/>
          </w:tcPr>
          <w:p w14:paraId="19CA10EF"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19.3</w:t>
            </w:r>
          </w:p>
        </w:tc>
        <w:tc>
          <w:tcPr>
            <w:tcW w:w="1485" w:type="dxa"/>
          </w:tcPr>
          <w:p w14:paraId="77F85845"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56.7</w:t>
            </w:r>
          </w:p>
        </w:tc>
        <w:tc>
          <w:tcPr>
            <w:tcW w:w="1339" w:type="dxa"/>
          </w:tcPr>
          <w:p w14:paraId="0D5F38CB"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20</w:t>
            </w:r>
          </w:p>
        </w:tc>
        <w:tc>
          <w:tcPr>
            <w:tcW w:w="1485" w:type="dxa"/>
          </w:tcPr>
          <w:p w14:paraId="1912829D"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56</w:t>
            </w:r>
          </w:p>
        </w:tc>
        <w:tc>
          <w:tcPr>
            <w:tcW w:w="999" w:type="dxa"/>
          </w:tcPr>
          <w:p w14:paraId="762983B8"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1.23</w:t>
            </w:r>
          </w:p>
        </w:tc>
      </w:tr>
      <w:tr w:rsidR="00636003" w14:paraId="2E18E79D" w14:textId="77777777" w:rsidTr="00EF635B">
        <w:trPr>
          <w:trHeight w:val="46"/>
        </w:trPr>
        <w:tc>
          <w:tcPr>
            <w:tcW w:w="561" w:type="dxa"/>
          </w:tcPr>
          <w:p w14:paraId="25F8B69C"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7</w:t>
            </w:r>
          </w:p>
        </w:tc>
        <w:tc>
          <w:tcPr>
            <w:tcW w:w="912" w:type="dxa"/>
          </w:tcPr>
          <w:p w14:paraId="51825331"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65.3</w:t>
            </w:r>
          </w:p>
        </w:tc>
        <w:tc>
          <w:tcPr>
            <w:tcW w:w="1046" w:type="dxa"/>
          </w:tcPr>
          <w:p w14:paraId="0FBE547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86.6</w:t>
            </w:r>
          </w:p>
        </w:tc>
        <w:tc>
          <w:tcPr>
            <w:tcW w:w="1655" w:type="dxa"/>
          </w:tcPr>
          <w:p w14:paraId="13BA647F"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21.3</w:t>
            </w:r>
          </w:p>
        </w:tc>
        <w:tc>
          <w:tcPr>
            <w:tcW w:w="1485" w:type="dxa"/>
          </w:tcPr>
          <w:p w14:paraId="70AE0FC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54.7</w:t>
            </w:r>
          </w:p>
        </w:tc>
        <w:tc>
          <w:tcPr>
            <w:tcW w:w="1339" w:type="dxa"/>
          </w:tcPr>
          <w:p w14:paraId="609F8B7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22</w:t>
            </w:r>
          </w:p>
        </w:tc>
        <w:tc>
          <w:tcPr>
            <w:tcW w:w="1485" w:type="dxa"/>
          </w:tcPr>
          <w:p w14:paraId="63B58BEC"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54</w:t>
            </w:r>
          </w:p>
        </w:tc>
        <w:tc>
          <w:tcPr>
            <w:tcW w:w="999" w:type="dxa"/>
          </w:tcPr>
          <w:p w14:paraId="46C5D212" w14:textId="77777777" w:rsidR="00636003" w:rsidRPr="00253BCE" w:rsidRDefault="00636003" w:rsidP="00EF635B">
            <w:pPr>
              <w:pStyle w:val="NormalWeb"/>
              <w:spacing w:before="0" w:beforeAutospacing="0" w:after="0" w:afterAutospacing="0"/>
              <w:textAlignment w:val="baseline"/>
              <w:rPr>
                <w:sz w:val="20"/>
                <w:szCs w:val="20"/>
                <w:lang w:val="en-US"/>
              </w:rPr>
            </w:pPr>
            <w:r w:rsidRPr="00253BCE">
              <w:rPr>
                <w:sz w:val="20"/>
                <w:szCs w:val="20"/>
                <w:lang w:val="en-US"/>
              </w:rPr>
              <w:t>1.28</w:t>
            </w:r>
          </w:p>
        </w:tc>
      </w:tr>
    </w:tbl>
    <w:p w14:paraId="0C7A3B2B" w14:textId="77777777" w:rsidR="00636003" w:rsidRDefault="00636003" w:rsidP="00636003">
      <w:pPr>
        <w:rPr>
          <w:lang w:val="en-US"/>
        </w:rPr>
      </w:pPr>
    </w:p>
    <w:p w14:paraId="483C9EE3" w14:textId="77777777" w:rsidR="00636003" w:rsidRDefault="00636003" w:rsidP="00636003">
      <w:pPr>
        <w:pStyle w:val="Subtitle"/>
        <w:ind w:left="2880" w:firstLine="720"/>
        <w:jc w:val="left"/>
        <w:rPr>
          <w:rFonts w:ascii="Times New Roman" w:hAnsi="Times New Roman" w:cs="Times New Roman"/>
          <w:sz w:val="32"/>
          <w:szCs w:val="32"/>
          <w:u w:val="single"/>
          <w:lang w:val="en-US"/>
        </w:rPr>
      </w:pPr>
      <w:r w:rsidRPr="00795C37">
        <w:rPr>
          <w:rFonts w:ascii="Times New Roman" w:hAnsi="Times New Roman" w:cs="Times New Roman"/>
          <w:sz w:val="32"/>
          <w:szCs w:val="32"/>
          <w:u w:val="single"/>
          <w:lang w:val="en-US"/>
        </w:rPr>
        <w:t>CALCULATION</w:t>
      </w:r>
    </w:p>
    <w:p w14:paraId="58A84221" w14:textId="77777777" w:rsidR="00636003" w:rsidRPr="00253BCE" w:rsidRDefault="00636003" w:rsidP="00636003">
      <w:pPr>
        <w:rPr>
          <w:lang w:val="en-US"/>
        </w:rPr>
      </w:pPr>
      <m:oMathPara>
        <m:oMath>
          <m:r>
            <w:rPr>
              <w:rFonts w:ascii="Cambria Math" w:hAnsi="Cambria Math"/>
              <w:lang w:val="en-US"/>
            </w:rPr>
            <m:t xml:space="preserve">% ERROR= </m:t>
          </m:r>
          <m:f>
            <m:fPr>
              <m:ctrlPr>
                <w:rPr>
                  <w:rFonts w:ascii="Cambria Math" w:hAnsi="Cambria Math"/>
                  <w:i/>
                  <w:lang w:val="en-US"/>
                </w:rPr>
              </m:ctrlPr>
            </m:fPr>
            <m:num>
              <m:r>
                <w:rPr>
                  <w:rFonts w:ascii="Cambria Math" w:hAnsi="Cambria Math"/>
                  <w:lang w:val="en-US"/>
                </w:rPr>
                <m:t>ABSOLUTE M.R-ABSOLUTE B.R</m:t>
              </m:r>
            </m:num>
            <m:den>
              <m:r>
                <w:rPr>
                  <w:rFonts w:ascii="Cambria Math" w:hAnsi="Cambria Math"/>
                  <w:lang w:val="en-US"/>
                </w:rPr>
                <m:t>ABSOLUTE M.R</m:t>
              </m:r>
            </m:den>
          </m:f>
          <m:r>
            <w:rPr>
              <w:rFonts w:ascii="Cambria Math" w:hAnsi="Cambria Math"/>
              <w:lang w:val="en-US"/>
            </w:rPr>
            <m:t>×100%</m:t>
          </m:r>
        </m:oMath>
      </m:oMathPara>
    </w:p>
    <w:p w14:paraId="49FDD9C2" w14:textId="77777777" w:rsidR="00636003" w:rsidRDefault="00636003" w:rsidP="00636003">
      <w:pPr>
        <w:jc w:val="center"/>
      </w:pPr>
      <m:oMathPara>
        <m:oMath>
          <m:r>
            <w:rPr>
              <w:rFonts w:ascii="Cambria Math" w:hAnsi="Cambria Math"/>
              <w:lang w:val="en-US"/>
            </w:rPr>
            <m:t xml:space="preserve">READING 1: </m:t>
          </m:r>
          <m:f>
            <m:fPr>
              <m:ctrlPr>
                <w:rPr>
                  <w:rFonts w:ascii="Cambria Math" w:hAnsi="Cambria Math"/>
                  <w:i/>
                  <w:lang w:val="en-US"/>
                </w:rPr>
              </m:ctrlPr>
            </m:fPr>
            <m:num>
              <m:r>
                <w:rPr>
                  <w:rFonts w:ascii="Cambria Math" w:hAnsi="Cambria Math"/>
                  <w:lang w:val="en-US"/>
                </w:rPr>
                <m:t>67.6-66</m:t>
              </m:r>
            </m:num>
            <m:den>
              <m:r>
                <w:rPr>
                  <w:rFonts w:ascii="Cambria Math" w:hAnsi="Cambria Math"/>
                  <w:lang w:val="en-US"/>
                </w:rPr>
                <m:t>67.6</m:t>
              </m:r>
            </m:den>
          </m:f>
          <m:r>
            <w:rPr>
              <w:rFonts w:ascii="Cambria Math" w:hAnsi="Cambria Math"/>
              <w:lang w:val="en-US"/>
            </w:rPr>
            <m:t>×100%=2.37%</m:t>
          </m:r>
          <m:r>
            <m:rPr>
              <m:sty m:val="p"/>
            </m:rPr>
            <w:rPr>
              <w:rFonts w:ascii="Cambria Math" w:hAnsi="Cambria Math"/>
              <w:lang w:val="en-US"/>
            </w:rPr>
            <w:br/>
          </m:r>
        </m:oMath>
        <m:oMath>
          <m:r>
            <w:rPr>
              <w:rFonts w:ascii="Cambria Math" w:hAnsi="Cambria Math"/>
              <w:lang w:val="en-US"/>
            </w:rPr>
            <m:t xml:space="preserve">READING 2: </m:t>
          </m:r>
          <m:f>
            <m:fPr>
              <m:ctrlPr>
                <w:rPr>
                  <w:rFonts w:ascii="Cambria Math" w:hAnsi="Cambria Math"/>
                  <w:i/>
                  <w:lang w:val="en-US"/>
                </w:rPr>
              </m:ctrlPr>
            </m:fPr>
            <m:num>
              <m:r>
                <w:rPr>
                  <w:rFonts w:ascii="Cambria Math" w:hAnsi="Cambria Math"/>
                  <w:lang w:val="en-US"/>
                </w:rPr>
                <m:t>65-64</m:t>
              </m:r>
            </m:num>
            <m:den>
              <m:r>
                <w:rPr>
                  <w:rFonts w:ascii="Cambria Math" w:hAnsi="Cambria Math"/>
                  <w:lang w:val="en-US"/>
                </w:rPr>
                <m:t>65</m:t>
              </m:r>
            </m:den>
          </m:f>
          <m:r>
            <w:rPr>
              <w:rFonts w:ascii="Cambria Math" w:hAnsi="Cambria Math"/>
              <w:lang w:val="en-US"/>
            </w:rPr>
            <m:t>×100%=1.53%</m:t>
          </m:r>
          <m:r>
            <m:rPr>
              <m:sty m:val="p"/>
            </m:rPr>
            <w:rPr>
              <w:rFonts w:ascii="Cambria Math" w:hAnsi="Cambria Math"/>
              <w:lang w:val="en-US"/>
            </w:rPr>
            <w:br/>
          </m:r>
        </m:oMath>
        <m:oMath>
          <m:r>
            <w:rPr>
              <w:rFonts w:ascii="Cambria Math" w:hAnsi="Cambria Math"/>
              <w:lang w:val="en-US"/>
            </w:rPr>
            <m:t xml:space="preserve">READING 3: </m:t>
          </m:r>
          <m:f>
            <m:fPr>
              <m:ctrlPr>
                <w:rPr>
                  <w:rFonts w:ascii="Cambria Math" w:hAnsi="Cambria Math"/>
                  <w:i/>
                  <w:lang w:val="en-US"/>
                </w:rPr>
              </m:ctrlPr>
            </m:fPr>
            <m:num>
              <m:r>
                <w:rPr>
                  <w:rFonts w:ascii="Cambria Math" w:hAnsi="Cambria Math"/>
                  <w:lang w:val="en-US"/>
                </w:rPr>
                <m:t>63.4-62</m:t>
              </m:r>
            </m:num>
            <m:den>
              <m:r>
                <w:rPr>
                  <w:rFonts w:ascii="Cambria Math" w:hAnsi="Cambria Math"/>
                  <w:lang w:val="en-US"/>
                </w:rPr>
                <m:t>63.4</m:t>
              </m:r>
            </m:den>
          </m:f>
          <m:r>
            <w:rPr>
              <w:rFonts w:ascii="Cambria Math" w:hAnsi="Cambria Math"/>
              <w:lang w:val="en-US"/>
            </w:rPr>
            <m:t>×100%=2.21%</m:t>
          </m:r>
          <m:r>
            <m:rPr>
              <m:sty m:val="p"/>
            </m:rPr>
            <w:rPr>
              <w:rFonts w:ascii="Cambria Math" w:hAnsi="Cambria Math"/>
              <w:lang w:val="en-US"/>
            </w:rPr>
            <w:br/>
          </m:r>
        </m:oMath>
        <m:oMath>
          <m:r>
            <w:rPr>
              <w:rFonts w:ascii="Cambria Math" w:hAnsi="Cambria Math"/>
              <w:lang w:val="en-US"/>
            </w:rPr>
            <m:t xml:space="preserve">READING 4: </m:t>
          </m:r>
          <m:f>
            <m:fPr>
              <m:ctrlPr>
                <w:rPr>
                  <w:rFonts w:ascii="Cambria Math" w:hAnsi="Cambria Math"/>
                  <w:i/>
                  <w:lang w:val="en-US"/>
                </w:rPr>
              </m:ctrlPr>
            </m:fPr>
            <m:num>
              <m:r>
                <w:rPr>
                  <w:rFonts w:ascii="Cambria Math" w:hAnsi="Cambria Math"/>
                  <w:lang w:val="en-US"/>
                </w:rPr>
                <m:t>61.2-60</m:t>
              </m:r>
            </m:num>
            <m:den>
              <m:r>
                <w:rPr>
                  <w:rFonts w:ascii="Cambria Math" w:hAnsi="Cambria Math"/>
                  <w:lang w:val="en-US"/>
                </w:rPr>
                <m:t>61.2</m:t>
              </m:r>
            </m:den>
          </m:f>
          <m:r>
            <w:rPr>
              <w:rFonts w:ascii="Cambria Math" w:hAnsi="Cambria Math"/>
              <w:lang w:val="en-US"/>
            </w:rPr>
            <m:t>×100%=1.96%</m:t>
          </m:r>
          <m:r>
            <m:rPr>
              <m:sty m:val="p"/>
            </m:rPr>
            <w:rPr>
              <w:rFonts w:ascii="Cambria Math" w:hAnsi="Cambria Math"/>
              <w:lang w:val="en-US"/>
            </w:rPr>
            <w:br/>
          </m:r>
        </m:oMath>
        <m:oMath>
          <m:r>
            <w:rPr>
              <w:rFonts w:ascii="Cambria Math" w:hAnsi="Cambria Math"/>
              <w:lang w:val="en-US"/>
            </w:rPr>
            <m:t xml:space="preserve">READING 5: </m:t>
          </m:r>
          <m:f>
            <m:fPr>
              <m:ctrlPr>
                <w:rPr>
                  <w:rFonts w:ascii="Cambria Math" w:hAnsi="Cambria Math"/>
                  <w:i/>
                  <w:lang w:val="en-US"/>
                </w:rPr>
              </m:ctrlPr>
            </m:fPr>
            <m:num>
              <m:r>
                <w:rPr>
                  <w:rFonts w:ascii="Cambria Math" w:hAnsi="Cambria Math"/>
                  <w:lang w:val="en-US"/>
                </w:rPr>
                <m:t>59.6-58</m:t>
              </m:r>
            </m:num>
            <m:den>
              <m:r>
                <w:rPr>
                  <w:rFonts w:ascii="Cambria Math" w:hAnsi="Cambria Math"/>
                  <w:lang w:val="en-US"/>
                </w:rPr>
                <m:t>59.6</m:t>
              </m:r>
            </m:den>
          </m:f>
          <m:r>
            <w:rPr>
              <w:rFonts w:ascii="Cambria Math" w:hAnsi="Cambria Math"/>
              <w:lang w:val="en-US"/>
            </w:rPr>
            <m:t>×100%=2.68%</m:t>
          </m:r>
          <m:r>
            <m:rPr>
              <m:sty m:val="p"/>
            </m:rPr>
            <w:rPr>
              <w:rFonts w:ascii="Cambria Math" w:hAnsi="Cambria Math"/>
              <w:lang w:val="en-US"/>
            </w:rPr>
            <w:br/>
          </m:r>
        </m:oMath>
        <m:oMath>
          <m:r>
            <w:rPr>
              <w:rFonts w:ascii="Cambria Math" w:hAnsi="Cambria Math"/>
              <w:lang w:val="en-US"/>
            </w:rPr>
            <m:t xml:space="preserve">READING 6: </m:t>
          </m:r>
          <m:f>
            <m:fPr>
              <m:ctrlPr>
                <w:rPr>
                  <w:rFonts w:ascii="Cambria Math" w:hAnsi="Cambria Math"/>
                  <w:i/>
                  <w:lang w:val="en-US"/>
                </w:rPr>
              </m:ctrlPr>
            </m:fPr>
            <m:num>
              <m:r>
                <w:rPr>
                  <w:rFonts w:ascii="Cambria Math" w:hAnsi="Cambria Math"/>
                  <w:lang w:val="en-US"/>
                </w:rPr>
                <m:t>56.7-56</m:t>
              </m:r>
            </m:num>
            <m:den>
              <m:r>
                <w:rPr>
                  <w:rFonts w:ascii="Cambria Math" w:hAnsi="Cambria Math"/>
                  <w:lang w:val="en-US"/>
                </w:rPr>
                <m:t>56.7</m:t>
              </m:r>
            </m:den>
          </m:f>
          <m:r>
            <w:rPr>
              <w:rFonts w:ascii="Cambria Math" w:hAnsi="Cambria Math"/>
              <w:lang w:val="en-US"/>
            </w:rPr>
            <m:t>×100%=1.23%</m:t>
          </m:r>
          <m:r>
            <m:rPr>
              <m:sty m:val="p"/>
            </m:rPr>
            <w:rPr>
              <w:rFonts w:ascii="Cambria Math" w:hAnsi="Cambria Math"/>
              <w:lang w:val="en-US"/>
            </w:rPr>
            <w:br/>
          </m:r>
        </m:oMath>
        <m:oMath>
          <m:r>
            <w:rPr>
              <w:rFonts w:ascii="Cambria Math" w:hAnsi="Cambria Math"/>
              <w:lang w:val="en-US"/>
            </w:rPr>
            <m:t xml:space="preserve">READING 7: </m:t>
          </m:r>
          <m:f>
            <m:fPr>
              <m:ctrlPr>
                <w:rPr>
                  <w:rFonts w:ascii="Cambria Math" w:hAnsi="Cambria Math"/>
                  <w:i/>
                  <w:lang w:val="en-US"/>
                </w:rPr>
              </m:ctrlPr>
            </m:fPr>
            <m:num>
              <m:r>
                <w:rPr>
                  <w:rFonts w:ascii="Cambria Math" w:hAnsi="Cambria Math"/>
                  <w:lang w:val="en-US"/>
                </w:rPr>
                <m:t>54.7-54</m:t>
              </m:r>
            </m:num>
            <m:den>
              <m:r>
                <w:rPr>
                  <w:rFonts w:ascii="Cambria Math" w:hAnsi="Cambria Math"/>
                  <w:lang w:val="en-US"/>
                </w:rPr>
                <m:t>54.7</m:t>
              </m:r>
            </m:den>
          </m:f>
          <m:r>
            <w:rPr>
              <w:rFonts w:ascii="Cambria Math" w:hAnsi="Cambria Math"/>
              <w:lang w:val="en-US"/>
            </w:rPr>
            <m:t>×100%=1.28%</m:t>
          </m:r>
        </m:oMath>
      </m:oMathPara>
    </w:p>
    <w:p w14:paraId="77D642F5" w14:textId="77777777" w:rsidR="004C74C7" w:rsidRDefault="004C74C7"/>
    <w:sectPr w:rsidR="004C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7561C"/>
    <w:multiLevelType w:val="multilevel"/>
    <w:tmpl w:val="5D760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25D77"/>
    <w:multiLevelType w:val="multilevel"/>
    <w:tmpl w:val="E142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D669C"/>
    <w:multiLevelType w:val="multilevel"/>
    <w:tmpl w:val="5EF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07"/>
    <w:rsid w:val="004C74C7"/>
    <w:rsid w:val="005243F2"/>
    <w:rsid w:val="00636003"/>
    <w:rsid w:val="00D2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C478"/>
  <w15:chartTrackingRefBased/>
  <w15:docId w15:val="{487957CC-3386-4092-ABA4-C7FA7818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03"/>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600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3600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3600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36003"/>
    <w:rPr>
      <w:rFonts w:asciiTheme="majorHAnsi" w:eastAsiaTheme="majorEastAsia" w:hAnsiTheme="majorHAnsi" w:cstheme="majorBidi"/>
      <w:caps/>
      <w:color w:val="2F5496" w:themeColor="accent1" w:themeShade="BF"/>
      <w:sz w:val="28"/>
      <w:szCs w:val="28"/>
    </w:rPr>
  </w:style>
  <w:style w:type="paragraph" w:styleId="Subtitle">
    <w:name w:val="Subtitle"/>
    <w:basedOn w:val="Normal"/>
    <w:next w:val="Normal"/>
    <w:link w:val="SubtitleChar"/>
    <w:uiPriority w:val="11"/>
    <w:qFormat/>
    <w:rsid w:val="0063600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003"/>
    <w:rPr>
      <w:rFonts w:eastAsiaTheme="minorEastAsia"/>
      <w:color w:val="44546A" w:themeColor="text2"/>
      <w:sz w:val="28"/>
      <w:szCs w:val="28"/>
    </w:rPr>
  </w:style>
  <w:style w:type="paragraph" w:styleId="ListParagraph">
    <w:name w:val="List Paragraph"/>
    <w:basedOn w:val="Normal"/>
    <w:uiPriority w:val="34"/>
    <w:qFormat/>
    <w:rsid w:val="0063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dc:creator>
  <cp:keywords/>
  <dc:description/>
  <cp:lastModifiedBy>Susanta</cp:lastModifiedBy>
  <cp:revision>3</cp:revision>
  <dcterms:created xsi:type="dcterms:W3CDTF">2021-06-24T08:57:00Z</dcterms:created>
  <dcterms:modified xsi:type="dcterms:W3CDTF">2021-06-24T08:58:00Z</dcterms:modified>
</cp:coreProperties>
</file>