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34D0A" w14:textId="77777777" w:rsidR="00324FF9" w:rsidRPr="00324FF9" w:rsidRDefault="00324FF9" w:rsidP="00324FF9">
      <w:pPr>
        <w:spacing w:after="121" w:line="259" w:lineRule="auto"/>
        <w:ind w:left="-29" w:right="-27" w:firstLine="0"/>
        <w:jc w:val="center"/>
        <w:rPr>
          <w:b/>
          <w:sz w:val="38"/>
        </w:rPr>
      </w:pPr>
      <w:r w:rsidRPr="00324FF9">
        <w:rPr>
          <w:b/>
          <w:sz w:val="38"/>
        </w:rPr>
        <w:t>Priya Nakamura</w:t>
      </w:r>
    </w:p>
    <w:p w14:paraId="535CE74D" w14:textId="77777777" w:rsidR="00F16694" w:rsidRDefault="004C349E">
      <w:pPr>
        <w:spacing w:after="121" w:line="259" w:lineRule="auto"/>
        <w:ind w:left="-29" w:right="-27" w:firstLine="0"/>
        <w:jc w:val="left"/>
      </w:pPr>
      <w:r>
        <w:rPr>
          <w:rFonts w:ascii="Calibri" w:eastAsia="Calibri" w:hAnsi="Calibri" w:cs="Calibri"/>
          <w:noProof/>
          <w:sz w:val="22"/>
        </w:rPr>
        <mc:AlternateContent>
          <mc:Choice Requires="wpg">
            <w:drawing>
              <wp:inline distT="0" distB="0" distL="0" distR="0" wp14:anchorId="3E0C8FE8" wp14:editId="02F98270">
                <wp:extent cx="6667246" cy="18288"/>
                <wp:effectExtent l="0" t="0" r="0" b="0"/>
                <wp:docPr id="3752" name="Group 3752"/>
                <wp:cNvGraphicFramePr/>
                <a:graphic xmlns:a="http://schemas.openxmlformats.org/drawingml/2006/main">
                  <a:graphicData uri="http://schemas.microsoft.com/office/word/2010/wordprocessingGroup">
                    <wpg:wgp>
                      <wpg:cNvGrpSpPr/>
                      <wpg:grpSpPr>
                        <a:xfrm>
                          <a:off x="0" y="0"/>
                          <a:ext cx="6667246" cy="18288"/>
                          <a:chOff x="0" y="0"/>
                          <a:chExt cx="6667246" cy="18288"/>
                        </a:xfrm>
                      </wpg:grpSpPr>
                      <wps:wsp>
                        <wps:cNvPr id="4583" name="Shape 4583"/>
                        <wps:cNvSpPr/>
                        <wps:spPr>
                          <a:xfrm>
                            <a:off x="0" y="0"/>
                            <a:ext cx="6667246" cy="18288"/>
                          </a:xfrm>
                          <a:custGeom>
                            <a:avLst/>
                            <a:gdLst/>
                            <a:ahLst/>
                            <a:cxnLst/>
                            <a:rect l="0" t="0" r="0" b="0"/>
                            <a:pathLst>
                              <a:path w="6667246" h="18288">
                                <a:moveTo>
                                  <a:pt x="0" y="0"/>
                                </a:moveTo>
                                <a:lnTo>
                                  <a:pt x="6667246" y="0"/>
                                </a:lnTo>
                                <a:lnTo>
                                  <a:pt x="66672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2" style="width:524.98pt;height:1.44pt;mso-position-horizontal-relative:char;mso-position-vertical-relative:line" coordsize="66672,182">
                <v:shape id="Shape 4584" style="position:absolute;width:66672;height:182;left:0;top:0;" coordsize="6667246,18288" path="m0,0l6667246,0l6667246,18288l0,18288l0,0">
                  <v:stroke weight="0pt" endcap="flat" joinstyle="miter" miterlimit="10" on="false" color="#000000" opacity="0"/>
                  <v:fill on="true" color="#000000"/>
                </v:shape>
              </v:group>
            </w:pict>
          </mc:Fallback>
        </mc:AlternateContent>
      </w:r>
    </w:p>
    <w:p w14:paraId="2E225C00" w14:textId="77777777" w:rsidR="00F16694" w:rsidRDefault="004C349E">
      <w:pPr>
        <w:pStyle w:val="Heading1"/>
      </w:pPr>
      <w:r>
        <w:t xml:space="preserve">Profile Overview </w:t>
      </w:r>
    </w:p>
    <w:p w14:paraId="77303C78" w14:textId="695F7891" w:rsidR="00F16694" w:rsidRDefault="004C349E">
      <w:pPr>
        <w:spacing w:after="253"/>
        <w:ind w:left="-15" w:firstLine="0"/>
      </w:pPr>
      <w:r>
        <w:t xml:space="preserve">I have been covering the healthcare sector for </w:t>
      </w:r>
      <w:r w:rsidR="00324FF9">
        <w:t>9</w:t>
      </w:r>
      <w:r>
        <w:t xml:space="preserve">years, currently employed with ICICI Securities. Coverage includes </w:t>
      </w:r>
      <w:r w:rsidR="00324FF9">
        <w:t>25</w:t>
      </w:r>
      <w:r>
        <w:t xml:space="preserve"> healthcare stocks spread across different sub segments of healthcare / pharmaceutical value chain.  </w:t>
      </w:r>
    </w:p>
    <w:p w14:paraId="108CCAF2" w14:textId="77777777" w:rsidR="00F16694" w:rsidRDefault="004C349E">
      <w:pPr>
        <w:spacing w:after="121" w:line="259" w:lineRule="auto"/>
        <w:ind w:left="-29" w:right="-27" w:firstLine="0"/>
        <w:jc w:val="left"/>
      </w:pPr>
      <w:r>
        <w:rPr>
          <w:rFonts w:ascii="Calibri" w:eastAsia="Calibri" w:hAnsi="Calibri" w:cs="Calibri"/>
          <w:noProof/>
          <w:sz w:val="22"/>
        </w:rPr>
        <mc:AlternateContent>
          <mc:Choice Requires="wpg">
            <w:drawing>
              <wp:inline distT="0" distB="0" distL="0" distR="0" wp14:anchorId="390DBD48" wp14:editId="5F234EA5">
                <wp:extent cx="6667246" cy="18288"/>
                <wp:effectExtent l="0" t="0" r="0" b="0"/>
                <wp:docPr id="3753" name="Group 3753"/>
                <wp:cNvGraphicFramePr/>
                <a:graphic xmlns:a="http://schemas.openxmlformats.org/drawingml/2006/main">
                  <a:graphicData uri="http://schemas.microsoft.com/office/word/2010/wordprocessingGroup">
                    <wpg:wgp>
                      <wpg:cNvGrpSpPr/>
                      <wpg:grpSpPr>
                        <a:xfrm>
                          <a:off x="0" y="0"/>
                          <a:ext cx="6667246" cy="18288"/>
                          <a:chOff x="0" y="0"/>
                          <a:chExt cx="6667246" cy="18288"/>
                        </a:xfrm>
                      </wpg:grpSpPr>
                      <wps:wsp>
                        <wps:cNvPr id="4585" name="Shape 4585"/>
                        <wps:cNvSpPr/>
                        <wps:spPr>
                          <a:xfrm>
                            <a:off x="0" y="0"/>
                            <a:ext cx="6667246" cy="18288"/>
                          </a:xfrm>
                          <a:custGeom>
                            <a:avLst/>
                            <a:gdLst/>
                            <a:ahLst/>
                            <a:cxnLst/>
                            <a:rect l="0" t="0" r="0" b="0"/>
                            <a:pathLst>
                              <a:path w="6667246" h="18288">
                                <a:moveTo>
                                  <a:pt x="0" y="0"/>
                                </a:moveTo>
                                <a:lnTo>
                                  <a:pt x="6667246" y="0"/>
                                </a:lnTo>
                                <a:lnTo>
                                  <a:pt x="66672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3" style="width:524.98pt;height:1.44pt;mso-position-horizontal-relative:char;mso-position-vertical-relative:line" coordsize="66672,182">
                <v:shape id="Shape 4586" style="position:absolute;width:66672;height:182;left:0;top:0;" coordsize="6667246,18288" path="m0,0l6667246,0l6667246,18288l0,18288l0,0">
                  <v:stroke weight="0pt" endcap="flat" joinstyle="miter" miterlimit="10" on="false" color="#000000" opacity="0"/>
                  <v:fill on="true" color="#000000"/>
                </v:shape>
              </v:group>
            </w:pict>
          </mc:Fallback>
        </mc:AlternateContent>
      </w:r>
    </w:p>
    <w:p w14:paraId="0452696E" w14:textId="77777777" w:rsidR="00F16694" w:rsidRDefault="004C349E">
      <w:pPr>
        <w:pStyle w:val="Heading1"/>
      </w:pPr>
      <w:r>
        <w:t xml:space="preserve">Professional Experience </w:t>
      </w:r>
    </w:p>
    <w:p w14:paraId="68A34752" w14:textId="5BEBEF93" w:rsidR="00F16694" w:rsidRDefault="004C349E">
      <w:pPr>
        <w:spacing w:after="1" w:line="259" w:lineRule="auto"/>
        <w:ind w:left="-5" w:hanging="10"/>
        <w:jc w:val="left"/>
      </w:pPr>
      <w:r>
        <w:rPr>
          <w:b/>
          <w:i/>
        </w:rPr>
        <w:t xml:space="preserve">ICICI Securities – </w:t>
      </w:r>
      <w:r>
        <w:rPr>
          <w:i/>
        </w:rPr>
        <w:t>Lead Healthcare Analyst –</w:t>
      </w:r>
      <w:r w:rsidR="00324FF9">
        <w:rPr>
          <w:i/>
        </w:rPr>
        <w:t>May</w:t>
      </w:r>
      <w:r>
        <w:rPr>
          <w:i/>
        </w:rPr>
        <w:t>’23 to till date</w:t>
      </w:r>
      <w:r>
        <w:rPr>
          <w:b/>
          <w:i/>
        </w:rPr>
        <w:t xml:space="preserve"> </w:t>
      </w:r>
    </w:p>
    <w:p w14:paraId="5AF414FD" w14:textId="77777777" w:rsidR="00F16694" w:rsidRDefault="004C349E">
      <w:pPr>
        <w:numPr>
          <w:ilvl w:val="0"/>
          <w:numId w:val="1"/>
        </w:numPr>
        <w:ind w:hanging="360"/>
      </w:pPr>
      <w:r>
        <w:t>Extensive coverage of 32 companies spread across all segments (pharma, hospital, diagnostics and medical devices) of the listed Indian healthcare universe.</w:t>
      </w:r>
    </w:p>
    <w:p w14:paraId="60D625F2" w14:textId="77777777" w:rsidR="00F16694" w:rsidRDefault="004C349E">
      <w:pPr>
        <w:numPr>
          <w:ilvl w:val="0"/>
          <w:numId w:val="1"/>
        </w:numPr>
        <w:ind w:hanging="360"/>
      </w:pPr>
      <w:r>
        <w:t xml:space="preserve">Actively managed primary fund </w:t>
      </w:r>
      <w:proofErr w:type="spellStart"/>
      <w:proofErr w:type="gramStart"/>
      <w:r>
        <w:t>raise</w:t>
      </w:r>
      <w:proofErr w:type="spellEnd"/>
      <w:proofErr w:type="gramEnd"/>
      <w:r>
        <w:t xml:space="preserve"> for Jupiter Hospital, Innova </w:t>
      </w:r>
      <w:proofErr w:type="spellStart"/>
      <w:r>
        <w:t>Captab</w:t>
      </w:r>
      <w:proofErr w:type="spellEnd"/>
      <w:r>
        <w:t xml:space="preserve">, </w:t>
      </w:r>
      <w:proofErr w:type="spellStart"/>
      <w:r>
        <w:t>Entero</w:t>
      </w:r>
      <w:proofErr w:type="spellEnd"/>
      <w:r>
        <w:t xml:space="preserve"> Healthcare and AKUMS.</w:t>
      </w:r>
    </w:p>
    <w:p w14:paraId="127A8E4E" w14:textId="77777777" w:rsidR="00F16694" w:rsidRDefault="004C349E">
      <w:pPr>
        <w:numPr>
          <w:ilvl w:val="0"/>
          <w:numId w:val="1"/>
        </w:numPr>
        <w:spacing w:after="216"/>
        <w:ind w:hanging="360"/>
      </w:pPr>
      <w:r>
        <w:t>Periodical meetings with industry participants (listed &amp; unlisted) to get a perspective of industry and key functioning areas of a company.</w:t>
      </w:r>
    </w:p>
    <w:p w14:paraId="02B21491" w14:textId="1924FF60" w:rsidR="00F16694" w:rsidRDefault="00324FF9">
      <w:pPr>
        <w:spacing w:after="1" w:line="259" w:lineRule="auto"/>
        <w:ind w:left="-5" w:hanging="10"/>
        <w:jc w:val="left"/>
      </w:pPr>
      <w:r>
        <w:rPr>
          <w:b/>
        </w:rPr>
        <w:t xml:space="preserve">J.P. Morgan Chase </w:t>
      </w:r>
      <w:r w:rsidR="004C349E">
        <w:rPr>
          <w:b/>
          <w:i/>
        </w:rPr>
        <w:t xml:space="preserve">– </w:t>
      </w:r>
      <w:r w:rsidR="004C349E">
        <w:rPr>
          <w:i/>
        </w:rPr>
        <w:t>Lead Healthcare Analyst –</w:t>
      </w:r>
      <w:r>
        <w:rPr>
          <w:i/>
        </w:rPr>
        <w:t>Sep</w:t>
      </w:r>
      <w:r w:rsidR="004C349E">
        <w:rPr>
          <w:i/>
        </w:rPr>
        <w:t xml:space="preserve">’21 to </w:t>
      </w:r>
      <w:r>
        <w:rPr>
          <w:i/>
        </w:rPr>
        <w:t>May</w:t>
      </w:r>
      <w:r w:rsidR="004C349E">
        <w:rPr>
          <w:i/>
        </w:rPr>
        <w:t>r’23</w:t>
      </w:r>
      <w:r w:rsidR="004C349E">
        <w:rPr>
          <w:b/>
          <w:i/>
        </w:rPr>
        <w:t xml:space="preserve"> </w:t>
      </w:r>
    </w:p>
    <w:p w14:paraId="04CBA412" w14:textId="77777777" w:rsidR="00F16694" w:rsidRDefault="004C349E">
      <w:pPr>
        <w:numPr>
          <w:ilvl w:val="0"/>
          <w:numId w:val="1"/>
        </w:numPr>
        <w:ind w:hanging="360"/>
      </w:pPr>
      <w:r>
        <w:t>Formal coverage includes 22 companies across the healthcare value chain.</w:t>
      </w:r>
    </w:p>
    <w:p w14:paraId="1361EC29" w14:textId="77777777" w:rsidR="00F16694" w:rsidRDefault="004C349E">
      <w:pPr>
        <w:numPr>
          <w:ilvl w:val="0"/>
          <w:numId w:val="1"/>
        </w:numPr>
        <w:ind w:hanging="360"/>
      </w:pPr>
      <w:r>
        <w:t>Periodical meetings with industry experts to get a perspective of industry and key functioning areas of a company.</w:t>
      </w:r>
    </w:p>
    <w:p w14:paraId="2EAD8C0C" w14:textId="77777777" w:rsidR="00F16694" w:rsidRDefault="004C349E">
      <w:pPr>
        <w:numPr>
          <w:ilvl w:val="0"/>
          <w:numId w:val="1"/>
        </w:numPr>
        <w:spacing w:after="184"/>
        <w:ind w:hanging="360"/>
      </w:pPr>
      <w:r>
        <w:t>Arranged corporate meetings/road shows, connect senior management of companies with key investors.</w:t>
      </w:r>
    </w:p>
    <w:p w14:paraId="52E26490" w14:textId="64522804" w:rsidR="00F16694" w:rsidRDefault="00324FF9">
      <w:pPr>
        <w:spacing w:after="1" w:line="259" w:lineRule="auto"/>
        <w:ind w:left="0" w:firstLine="0"/>
        <w:jc w:val="left"/>
      </w:pPr>
      <w:r>
        <w:rPr>
          <w:b/>
        </w:rPr>
        <w:t xml:space="preserve">Jardine Lloyd Thompson </w:t>
      </w:r>
      <w:r w:rsidR="004C349E">
        <w:rPr>
          <w:b/>
          <w:i/>
        </w:rPr>
        <w:t xml:space="preserve">– </w:t>
      </w:r>
      <w:r w:rsidR="004C349E">
        <w:rPr>
          <w:i/>
        </w:rPr>
        <w:t>Lead Pharma Analyst –Jan’20 to Sep’21</w:t>
      </w:r>
      <w:r w:rsidR="004C349E">
        <w:rPr>
          <w:b/>
          <w:i/>
        </w:rPr>
        <w:t xml:space="preserve"> </w:t>
      </w:r>
    </w:p>
    <w:p w14:paraId="5238D359" w14:textId="77777777" w:rsidR="00F16694" w:rsidRDefault="004C349E">
      <w:pPr>
        <w:numPr>
          <w:ilvl w:val="0"/>
          <w:numId w:val="1"/>
        </w:numPr>
        <w:ind w:hanging="360"/>
      </w:pPr>
      <w:r>
        <w:t xml:space="preserve">Started my journey as a Lead Analyst at Anand Rathi with 17 pharma companies under direct coverage. Portfolio consisted of a blend of large and mid-cap </w:t>
      </w:r>
      <w:proofErr w:type="gramStart"/>
      <w:r>
        <w:t>companies..</w:t>
      </w:r>
      <w:proofErr w:type="gramEnd"/>
    </w:p>
    <w:p w14:paraId="6910D632" w14:textId="77777777" w:rsidR="00F16694" w:rsidRDefault="004C349E">
      <w:pPr>
        <w:numPr>
          <w:ilvl w:val="0"/>
          <w:numId w:val="1"/>
        </w:numPr>
        <w:ind w:hanging="360"/>
      </w:pPr>
      <w:r>
        <w:t xml:space="preserve">Periodically update clients on corporate actions, news flow related to companies and events/updates pertaining to </w:t>
      </w:r>
      <w:proofErr w:type="gramStart"/>
      <w:r>
        <w:t>Healthcare</w:t>
      </w:r>
      <w:proofErr w:type="gramEnd"/>
      <w:r>
        <w:t xml:space="preserve"> sector globally</w:t>
      </w:r>
    </w:p>
    <w:p w14:paraId="45F62656" w14:textId="77777777" w:rsidR="00F16694" w:rsidRDefault="004C349E">
      <w:pPr>
        <w:numPr>
          <w:ilvl w:val="0"/>
          <w:numId w:val="1"/>
        </w:numPr>
        <w:spacing w:after="184"/>
        <w:ind w:hanging="360"/>
      </w:pPr>
      <w:r>
        <w:t>Arranged corporate meetings/road shows, connect senior management of companies with key investors.</w:t>
      </w:r>
    </w:p>
    <w:p w14:paraId="0F2999D8" w14:textId="00EEDD57" w:rsidR="00F16694" w:rsidRDefault="00324FF9">
      <w:pPr>
        <w:spacing w:after="1" w:line="259" w:lineRule="auto"/>
        <w:ind w:left="-5" w:hanging="10"/>
        <w:jc w:val="left"/>
      </w:pPr>
      <w:r>
        <w:rPr>
          <w:b/>
          <w:i/>
        </w:rPr>
        <w:t xml:space="preserve">Centrum Broking Ltd </w:t>
      </w:r>
      <w:r w:rsidR="004C349E">
        <w:rPr>
          <w:b/>
          <w:i/>
        </w:rPr>
        <w:t xml:space="preserve">- </w:t>
      </w:r>
      <w:r w:rsidR="004C349E">
        <w:rPr>
          <w:i/>
        </w:rPr>
        <w:t>Research Analyst –Jan’17 to Dec’19</w:t>
      </w:r>
      <w:r w:rsidR="004C349E">
        <w:rPr>
          <w:b/>
          <w:i/>
        </w:rPr>
        <w:t xml:space="preserve"> </w:t>
      </w:r>
    </w:p>
    <w:p w14:paraId="054FF96B" w14:textId="2C53A7B5" w:rsidR="000B769F" w:rsidRDefault="000B769F" w:rsidP="000B769F">
      <w:pPr>
        <w:numPr>
          <w:ilvl w:val="0"/>
          <w:numId w:val="1"/>
        </w:numPr>
        <w:ind w:hanging="360"/>
      </w:pPr>
      <w:r>
        <w:t>Focused approach towards analyzing and recommending differentiated and undervalued investment opportunities to institutional clients. Developed comprehensive sectoral themes and provided regular updates on regulatory, competitive, and market dynamics to help clients make informed investment decisions.</w:t>
      </w:r>
    </w:p>
    <w:p w14:paraId="7F7E2A80" w14:textId="77777777" w:rsidR="000B769F" w:rsidRDefault="000B769F" w:rsidP="000B769F">
      <w:pPr>
        <w:numPr>
          <w:ilvl w:val="0"/>
          <w:numId w:val="1"/>
        </w:numPr>
        <w:ind w:hanging="360"/>
      </w:pPr>
      <w:r>
        <w:t>Built extensive domain expertise in the pharmaceutical sector and consistently published high-quality research including initiation reports, sector outlook pieces, quarterly earnings analysis, and thematic investment reports.</w:t>
      </w:r>
    </w:p>
    <w:p w14:paraId="26E5D6B6" w14:textId="70CCE51B" w:rsidR="000B769F" w:rsidRDefault="000B769F" w:rsidP="000B769F">
      <w:pPr>
        <w:numPr>
          <w:ilvl w:val="0"/>
          <w:numId w:val="1"/>
        </w:numPr>
        <w:ind w:hanging="360"/>
      </w:pPr>
      <w:r>
        <w:t xml:space="preserve">Companies under direct coverage include </w:t>
      </w:r>
      <w:proofErr w:type="spellStart"/>
      <w:r>
        <w:t>MediCore</w:t>
      </w:r>
      <w:proofErr w:type="spellEnd"/>
      <w:r>
        <w:t xml:space="preserve"> Pharmaceuticals, Apex Lifesciences, </w:t>
      </w:r>
      <w:proofErr w:type="spellStart"/>
      <w:r>
        <w:t>BioGenex</w:t>
      </w:r>
      <w:proofErr w:type="spellEnd"/>
      <w:r>
        <w:t xml:space="preserve"> Labs, Zenith Therapeutics, Prism Pharma, </w:t>
      </w:r>
      <w:proofErr w:type="spellStart"/>
      <w:r>
        <w:t>VitalMed</w:t>
      </w:r>
      <w:proofErr w:type="spellEnd"/>
      <w:r>
        <w:t xml:space="preserve"> Industries, </w:t>
      </w:r>
      <w:proofErr w:type="spellStart"/>
      <w:r>
        <w:t>GlobalCare</w:t>
      </w:r>
      <w:proofErr w:type="spellEnd"/>
      <w:r>
        <w:t xml:space="preserve"> India, </w:t>
      </w:r>
      <w:proofErr w:type="spellStart"/>
      <w:r>
        <w:t>InnovaPharm</w:t>
      </w:r>
      <w:proofErr w:type="spellEnd"/>
      <w:r>
        <w:t xml:space="preserve"> Solutions, </w:t>
      </w:r>
      <w:proofErr w:type="spellStart"/>
      <w:r>
        <w:t>LifeTech</w:t>
      </w:r>
      <w:proofErr w:type="spellEnd"/>
      <w:r>
        <w:t xml:space="preserve"> Laboratories, Precision Biopharma, NexGen Medicines, and Quantum Healthcare Limited.</w:t>
      </w:r>
    </w:p>
    <w:p w14:paraId="4B42F1B1" w14:textId="74DECD0B" w:rsidR="000B769F" w:rsidRDefault="000B769F" w:rsidP="000B769F">
      <w:pPr>
        <w:numPr>
          <w:ilvl w:val="0"/>
          <w:numId w:val="1"/>
        </w:numPr>
        <w:ind w:hanging="360"/>
      </w:pPr>
      <w:r>
        <w:t>Supported senior analyst coverage of large-cap pharmaceutical companies through financial modeling, competitive analysis, and research report preparation for blue-chip healthcare names.</w:t>
      </w:r>
    </w:p>
    <w:p w14:paraId="240AE505" w14:textId="4E614423" w:rsidR="000B769F" w:rsidRDefault="000B769F" w:rsidP="000B769F">
      <w:pPr>
        <w:numPr>
          <w:ilvl w:val="0"/>
          <w:numId w:val="1"/>
        </w:numPr>
        <w:spacing w:after="214"/>
      </w:pPr>
      <w:r>
        <w:t>Maintained close monitoring of critical industry issues including regulatory compliance with USFDA, EMA and domestic authorities, manufacturing capabilities, API sourcing strategies, competitive positioning analysis, and patent cliff assessments.</w:t>
      </w:r>
    </w:p>
    <w:p w14:paraId="0B09F59E" w14:textId="705CE00D" w:rsidR="00F16694" w:rsidRDefault="00324FF9">
      <w:pPr>
        <w:spacing w:after="1" w:line="259" w:lineRule="auto"/>
        <w:ind w:left="-5" w:hanging="10"/>
        <w:jc w:val="left"/>
      </w:pPr>
      <w:r>
        <w:rPr>
          <w:b/>
          <w:i/>
        </w:rPr>
        <w:t>Morgan Stanley</w:t>
      </w:r>
      <w:r w:rsidR="004C349E">
        <w:rPr>
          <w:b/>
          <w:i/>
        </w:rPr>
        <w:t xml:space="preserve"> - </w:t>
      </w:r>
      <w:r w:rsidR="004C349E">
        <w:rPr>
          <w:i/>
        </w:rPr>
        <w:t>Equity Research Analyst - Oct’15 to Dec'16</w:t>
      </w:r>
      <w:r w:rsidR="004C349E">
        <w:rPr>
          <w:b/>
          <w:i/>
        </w:rPr>
        <w:t xml:space="preserve"> </w:t>
      </w:r>
    </w:p>
    <w:p w14:paraId="18207343" w14:textId="77777777" w:rsidR="00F16694" w:rsidRDefault="004C349E">
      <w:pPr>
        <w:numPr>
          <w:ilvl w:val="0"/>
          <w:numId w:val="1"/>
        </w:numPr>
        <w:ind w:hanging="360"/>
      </w:pPr>
      <w:r>
        <w:t xml:space="preserve">Covered mid and small cap companies in the Indian pharmaceutical and </w:t>
      </w:r>
      <w:proofErr w:type="spellStart"/>
      <w:r>
        <w:t>speciality</w:t>
      </w:r>
      <w:proofErr w:type="spellEnd"/>
      <w:r>
        <w:t xml:space="preserve"> chemical space. Build up financial models by getting details from interaction with company management and </w:t>
      </w:r>
      <w:proofErr w:type="gramStart"/>
      <w:r>
        <w:t>in depth</w:t>
      </w:r>
      <w:proofErr w:type="gramEnd"/>
      <w:r>
        <w:t xml:space="preserve"> analysis of various ratios and other financial parameters. </w:t>
      </w:r>
    </w:p>
    <w:p w14:paraId="2FF2820B" w14:textId="77777777" w:rsidR="00F16694" w:rsidRDefault="004C349E">
      <w:pPr>
        <w:numPr>
          <w:ilvl w:val="0"/>
          <w:numId w:val="1"/>
        </w:numPr>
        <w:ind w:hanging="360"/>
      </w:pPr>
      <w:r>
        <w:t>Screen various companies, try to study them on various parameters of value investing and sensibly highlight them in the report prepared for initiating coverage and IPOs, so that clients can take informed decisions.</w:t>
      </w:r>
    </w:p>
    <w:p w14:paraId="0573BC63" w14:textId="77777777" w:rsidR="00F16694" w:rsidRDefault="004C349E">
      <w:pPr>
        <w:numPr>
          <w:ilvl w:val="0"/>
          <w:numId w:val="1"/>
        </w:numPr>
        <w:ind w:hanging="360"/>
      </w:pPr>
      <w:r>
        <w:t xml:space="preserve">Once a company is under coverage, I actively track them, prepare result update periodically </w:t>
      </w:r>
      <w:proofErr w:type="gramStart"/>
      <w:r>
        <w:t>and also</w:t>
      </w:r>
      <w:proofErr w:type="gramEnd"/>
      <w:r>
        <w:t xml:space="preserve"> prepare presentations for sales team for them to develop good understanding of the company.</w:t>
      </w:r>
    </w:p>
    <w:p w14:paraId="440ED404" w14:textId="77777777" w:rsidR="00F16694" w:rsidRDefault="004C349E">
      <w:pPr>
        <w:numPr>
          <w:ilvl w:val="0"/>
          <w:numId w:val="1"/>
        </w:numPr>
        <w:spacing w:after="216"/>
        <w:ind w:hanging="360"/>
      </w:pPr>
      <w:r>
        <w:t xml:space="preserve">My portfolio consisted of mid-cap pharmaceutical and </w:t>
      </w:r>
      <w:proofErr w:type="spellStart"/>
      <w:r>
        <w:t>speciality</w:t>
      </w:r>
      <w:proofErr w:type="spellEnd"/>
      <w:r>
        <w:t xml:space="preserve"> chemical companies like </w:t>
      </w:r>
      <w:proofErr w:type="spellStart"/>
      <w:r>
        <w:t>Syngene</w:t>
      </w:r>
      <w:proofErr w:type="spellEnd"/>
      <w:r>
        <w:t xml:space="preserve"> International, Neuland Laboratories, Strides </w:t>
      </w:r>
      <w:proofErr w:type="spellStart"/>
      <w:r>
        <w:t>Shasun</w:t>
      </w:r>
      <w:proofErr w:type="spellEnd"/>
      <w:r>
        <w:t xml:space="preserve">, </w:t>
      </w:r>
      <w:proofErr w:type="spellStart"/>
      <w:r>
        <w:t>Thyrocare</w:t>
      </w:r>
      <w:proofErr w:type="spellEnd"/>
      <w:r>
        <w:t xml:space="preserve">, Dr </w:t>
      </w:r>
      <w:proofErr w:type="spellStart"/>
      <w:r>
        <w:t>LalPathlabs</w:t>
      </w:r>
      <w:proofErr w:type="spellEnd"/>
      <w:r>
        <w:t>, Aarti Industries and Navin Fluorine.</w:t>
      </w:r>
    </w:p>
    <w:p w14:paraId="07E8842F" w14:textId="77777777" w:rsidR="00F16694" w:rsidRDefault="004C349E">
      <w:pPr>
        <w:spacing w:after="1" w:line="259" w:lineRule="auto"/>
        <w:ind w:left="-5" w:hanging="10"/>
        <w:jc w:val="left"/>
      </w:pPr>
      <w:r>
        <w:rPr>
          <w:b/>
          <w:i/>
        </w:rPr>
        <w:t>Transparent Value</w:t>
      </w:r>
      <w:r>
        <w:rPr>
          <w:i/>
        </w:rPr>
        <w:t xml:space="preserve"> - Equity Research Analyst - Oct'13 to Oct’15 </w:t>
      </w:r>
    </w:p>
    <w:p w14:paraId="7E23B3AC" w14:textId="77777777" w:rsidR="00F16694" w:rsidRDefault="004C349E">
      <w:pPr>
        <w:numPr>
          <w:ilvl w:val="0"/>
          <w:numId w:val="1"/>
        </w:numPr>
        <w:spacing w:after="255"/>
        <w:ind w:hanging="360"/>
      </w:pPr>
      <w:proofErr w:type="spellStart"/>
      <w:r>
        <w:t>Analysed</w:t>
      </w:r>
      <w:proofErr w:type="spellEnd"/>
      <w:r>
        <w:t xml:space="preserve"> companies by reading financials &amp; press release published by company, thoroughly understand the dynamics of the sector covered and understand the key drivers affecting a particular company for building better quality models. Taking into</w:t>
      </w:r>
    </w:p>
    <w:p w14:paraId="3AB0BAF5" w14:textId="50059753" w:rsidR="00F16694" w:rsidRDefault="004C349E">
      <w:pPr>
        <w:pStyle w:val="Heading2"/>
        <w:tabs>
          <w:tab w:val="center" w:pos="1980"/>
          <w:tab w:val="center" w:pos="9337"/>
        </w:tabs>
        <w:ind w:left="0" w:right="0" w:firstLine="0"/>
        <w:jc w:val="left"/>
      </w:pPr>
      <w:r>
        <w:rPr>
          <w:rFonts w:ascii="Calibri" w:eastAsia="Calibri" w:hAnsi="Calibri" w:cs="Calibri"/>
          <w:sz w:val="22"/>
        </w:rPr>
        <w:lastRenderedPageBreak/>
        <w:tab/>
      </w:r>
      <w:r w:rsidR="00324FF9">
        <w:t>RED</w:t>
      </w:r>
      <w:r>
        <w:t xml:space="preserve"> LANE TALENT MANAGEMENT</w:t>
      </w:r>
      <w:r>
        <w:tab/>
      </w:r>
    </w:p>
    <w:p w14:paraId="29010B04" w14:textId="77777777" w:rsidR="00F16694" w:rsidRDefault="004C349E">
      <w:pPr>
        <w:ind w:left="360" w:firstLine="0"/>
      </w:pPr>
      <w:r>
        <w:t>account macro-</w:t>
      </w:r>
      <w:r>
        <w:t xml:space="preserve">economic factors for building the model by reading and having team discussions and build model whose </w:t>
      </w:r>
      <w:proofErr w:type="gramStart"/>
      <w:r>
        <w:t>final outcome</w:t>
      </w:r>
      <w:proofErr w:type="gramEnd"/>
      <w:r>
        <w:t xml:space="preserve"> is Required Business Performance (RBP) probability.  </w:t>
      </w:r>
    </w:p>
    <w:p w14:paraId="28107345" w14:textId="77777777" w:rsidR="00F16694" w:rsidRDefault="004C349E">
      <w:pPr>
        <w:numPr>
          <w:ilvl w:val="0"/>
          <w:numId w:val="2"/>
        </w:numPr>
        <w:ind w:hanging="360"/>
      </w:pPr>
      <w:r>
        <w:t xml:space="preserve">Write earnings report for a company based on the outcome of the models build. Tracking companies in the portfolio </w:t>
      </w:r>
      <w:proofErr w:type="gramStart"/>
      <w:r>
        <w:t>on a daily basis</w:t>
      </w:r>
      <w:proofErr w:type="gramEnd"/>
      <w:r>
        <w:t xml:space="preserve"> for related news &amp; events and making adjustments to the models if some fundamental changes occur which affect the </w:t>
      </w:r>
      <w:r>
        <w:t>company’s</w:t>
      </w:r>
      <w:r>
        <w:t xml:space="preserve"> key drivers of earnings and make adjustments for corporate actions completed by company in the portfolio. </w:t>
      </w:r>
    </w:p>
    <w:p w14:paraId="1A22D73D" w14:textId="77777777" w:rsidR="00F16694" w:rsidRDefault="004C349E">
      <w:pPr>
        <w:numPr>
          <w:ilvl w:val="0"/>
          <w:numId w:val="2"/>
        </w:numPr>
        <w:ind w:hanging="360"/>
      </w:pPr>
      <w:r>
        <w:t xml:space="preserve">My portfolio consisted of 25 US and European large-cap pharmaceutical companies like Gilead Sciences, Zimmer Biomet Holding, Hospital Corporation of America, GSK and Meda AB. </w:t>
      </w:r>
    </w:p>
    <w:p w14:paraId="45A80957" w14:textId="77777777" w:rsidR="00F16694" w:rsidRDefault="004C349E">
      <w:pPr>
        <w:spacing w:after="0" w:line="259" w:lineRule="auto"/>
        <w:ind w:left="360" w:firstLine="0"/>
        <w:jc w:val="left"/>
      </w:pPr>
      <w:r>
        <w:t xml:space="preserve"> </w:t>
      </w:r>
    </w:p>
    <w:p w14:paraId="0EA258B5" w14:textId="77777777" w:rsidR="00F16694" w:rsidRDefault="004C349E">
      <w:pPr>
        <w:spacing w:after="121" w:line="259" w:lineRule="auto"/>
        <w:ind w:left="-29" w:right="-27" w:firstLine="0"/>
        <w:jc w:val="left"/>
      </w:pPr>
      <w:r>
        <w:rPr>
          <w:rFonts w:ascii="Calibri" w:eastAsia="Calibri" w:hAnsi="Calibri" w:cs="Calibri"/>
          <w:noProof/>
          <w:sz w:val="22"/>
        </w:rPr>
        <mc:AlternateContent>
          <mc:Choice Requires="wpg">
            <w:drawing>
              <wp:inline distT="0" distB="0" distL="0" distR="0" wp14:anchorId="688CF877" wp14:editId="0324D5FC">
                <wp:extent cx="6667246" cy="18288"/>
                <wp:effectExtent l="0" t="0" r="0" b="0"/>
                <wp:docPr id="4209" name="Group 4209"/>
                <wp:cNvGraphicFramePr/>
                <a:graphic xmlns:a="http://schemas.openxmlformats.org/drawingml/2006/main">
                  <a:graphicData uri="http://schemas.microsoft.com/office/word/2010/wordprocessingGroup">
                    <wpg:wgp>
                      <wpg:cNvGrpSpPr/>
                      <wpg:grpSpPr>
                        <a:xfrm>
                          <a:off x="0" y="0"/>
                          <a:ext cx="6667246" cy="18288"/>
                          <a:chOff x="0" y="0"/>
                          <a:chExt cx="6667246" cy="18288"/>
                        </a:xfrm>
                      </wpg:grpSpPr>
                      <wps:wsp>
                        <wps:cNvPr id="4587" name="Shape 4587"/>
                        <wps:cNvSpPr/>
                        <wps:spPr>
                          <a:xfrm>
                            <a:off x="0" y="0"/>
                            <a:ext cx="6667246" cy="18288"/>
                          </a:xfrm>
                          <a:custGeom>
                            <a:avLst/>
                            <a:gdLst/>
                            <a:ahLst/>
                            <a:cxnLst/>
                            <a:rect l="0" t="0" r="0" b="0"/>
                            <a:pathLst>
                              <a:path w="6667246" h="18288">
                                <a:moveTo>
                                  <a:pt x="0" y="0"/>
                                </a:moveTo>
                                <a:lnTo>
                                  <a:pt x="6667246" y="0"/>
                                </a:lnTo>
                                <a:lnTo>
                                  <a:pt x="66672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09" style="width:524.98pt;height:1.44pt;mso-position-horizontal-relative:char;mso-position-vertical-relative:line" coordsize="66672,182">
                <v:shape id="Shape 4588" style="position:absolute;width:66672;height:182;left:0;top:0;" coordsize="6667246,18288" path="m0,0l6667246,0l6667246,18288l0,18288l0,0">
                  <v:stroke weight="0pt" endcap="flat" joinstyle="miter" miterlimit="10" on="false" color="#000000" opacity="0"/>
                  <v:fill on="true" color="#000000"/>
                </v:shape>
              </v:group>
            </w:pict>
          </mc:Fallback>
        </mc:AlternateContent>
      </w:r>
    </w:p>
    <w:p w14:paraId="0531E143" w14:textId="77777777" w:rsidR="00F16694" w:rsidRDefault="004C349E">
      <w:pPr>
        <w:pStyle w:val="Heading1"/>
        <w:spacing w:after="0"/>
      </w:pPr>
      <w:r>
        <w:t xml:space="preserve">Education </w:t>
      </w:r>
    </w:p>
    <w:tbl>
      <w:tblPr>
        <w:tblStyle w:val="TableGrid"/>
        <w:tblW w:w="8757" w:type="dxa"/>
        <w:tblInd w:w="120" w:type="dxa"/>
        <w:tblCellMar>
          <w:top w:w="61" w:type="dxa"/>
          <w:left w:w="106" w:type="dxa"/>
          <w:bottom w:w="0" w:type="dxa"/>
          <w:right w:w="115" w:type="dxa"/>
        </w:tblCellMar>
        <w:tblLook w:val="04A0" w:firstRow="1" w:lastRow="0" w:firstColumn="1" w:lastColumn="0" w:noHBand="0" w:noVBand="1"/>
      </w:tblPr>
      <w:tblGrid>
        <w:gridCol w:w="992"/>
        <w:gridCol w:w="2486"/>
        <w:gridCol w:w="5279"/>
      </w:tblGrid>
      <w:tr w:rsidR="00F16694" w14:paraId="10574D5B" w14:textId="77777777">
        <w:trPr>
          <w:trHeight w:val="290"/>
        </w:trPr>
        <w:tc>
          <w:tcPr>
            <w:tcW w:w="992" w:type="dxa"/>
            <w:tcBorders>
              <w:top w:val="nil"/>
              <w:left w:val="single" w:sz="8" w:space="0" w:color="FFFFFF"/>
              <w:bottom w:val="single" w:sz="8" w:space="0" w:color="FFFFFF"/>
              <w:right w:val="single" w:sz="8" w:space="0" w:color="FFFFFF"/>
            </w:tcBorders>
            <w:shd w:val="clear" w:color="auto" w:fill="C0C0C0"/>
          </w:tcPr>
          <w:p w14:paraId="659B8215" w14:textId="77777777" w:rsidR="00F16694" w:rsidRDefault="004C349E">
            <w:pPr>
              <w:spacing w:after="0" w:line="259" w:lineRule="auto"/>
              <w:ind w:left="0" w:firstLine="0"/>
              <w:jc w:val="left"/>
            </w:pPr>
            <w:r>
              <w:rPr>
                <w:b/>
              </w:rPr>
              <w:t xml:space="preserve">Year </w:t>
            </w:r>
          </w:p>
        </w:tc>
        <w:tc>
          <w:tcPr>
            <w:tcW w:w="2486" w:type="dxa"/>
            <w:tcBorders>
              <w:top w:val="nil"/>
              <w:left w:val="single" w:sz="8" w:space="0" w:color="FFFFFF"/>
              <w:bottom w:val="single" w:sz="8" w:space="0" w:color="FFFFFF"/>
              <w:right w:val="nil"/>
            </w:tcBorders>
            <w:shd w:val="clear" w:color="auto" w:fill="C0C0C0"/>
          </w:tcPr>
          <w:p w14:paraId="19DA490E" w14:textId="77777777" w:rsidR="00F16694" w:rsidRDefault="004C349E">
            <w:pPr>
              <w:spacing w:after="0" w:line="259" w:lineRule="auto"/>
              <w:ind w:left="2" w:firstLine="0"/>
              <w:jc w:val="left"/>
            </w:pPr>
            <w:r>
              <w:rPr>
                <w:b/>
              </w:rPr>
              <w:t xml:space="preserve">Examination </w:t>
            </w:r>
          </w:p>
        </w:tc>
        <w:tc>
          <w:tcPr>
            <w:tcW w:w="5280" w:type="dxa"/>
            <w:tcBorders>
              <w:top w:val="nil"/>
              <w:left w:val="nil"/>
              <w:bottom w:val="single" w:sz="8" w:space="0" w:color="FFFFFF"/>
              <w:right w:val="single" w:sz="8" w:space="0" w:color="FFFFFF"/>
            </w:tcBorders>
            <w:shd w:val="clear" w:color="auto" w:fill="C0C0C0"/>
          </w:tcPr>
          <w:p w14:paraId="6631675D" w14:textId="77777777" w:rsidR="00F16694" w:rsidRDefault="004C349E">
            <w:pPr>
              <w:spacing w:after="0" w:line="259" w:lineRule="auto"/>
              <w:ind w:left="1" w:firstLine="0"/>
              <w:jc w:val="left"/>
            </w:pPr>
            <w:r>
              <w:rPr>
                <w:b/>
              </w:rPr>
              <w:t xml:space="preserve">Institution </w:t>
            </w:r>
          </w:p>
        </w:tc>
      </w:tr>
      <w:tr w:rsidR="00F16694" w14:paraId="7D085375" w14:textId="77777777">
        <w:trPr>
          <w:trHeight w:val="331"/>
        </w:trPr>
        <w:tc>
          <w:tcPr>
            <w:tcW w:w="992" w:type="dxa"/>
            <w:tcBorders>
              <w:top w:val="single" w:sz="8" w:space="0" w:color="FFFFFF"/>
              <w:left w:val="single" w:sz="8" w:space="0" w:color="FFFFFF"/>
              <w:bottom w:val="single" w:sz="8" w:space="0" w:color="FFFFFF"/>
              <w:right w:val="single" w:sz="8" w:space="0" w:color="FFFFFF"/>
            </w:tcBorders>
            <w:shd w:val="clear" w:color="auto" w:fill="C0C0C0"/>
          </w:tcPr>
          <w:p w14:paraId="003F4520" w14:textId="77777777" w:rsidR="00F16694" w:rsidRDefault="004C349E">
            <w:pPr>
              <w:spacing w:after="0" w:line="259" w:lineRule="auto"/>
              <w:ind w:left="0" w:firstLine="0"/>
              <w:jc w:val="left"/>
            </w:pPr>
            <w:r>
              <w:t xml:space="preserve">2011-13 </w:t>
            </w:r>
          </w:p>
        </w:tc>
        <w:tc>
          <w:tcPr>
            <w:tcW w:w="2486" w:type="dxa"/>
            <w:tcBorders>
              <w:top w:val="single" w:sz="8" w:space="0" w:color="FFFFFF"/>
              <w:left w:val="single" w:sz="8" w:space="0" w:color="FFFFFF"/>
              <w:bottom w:val="single" w:sz="8" w:space="0" w:color="FFFFFF"/>
              <w:right w:val="nil"/>
            </w:tcBorders>
            <w:shd w:val="clear" w:color="auto" w:fill="C0C0C0"/>
          </w:tcPr>
          <w:p w14:paraId="164B7E6C" w14:textId="77777777" w:rsidR="00F16694" w:rsidRDefault="004C349E">
            <w:pPr>
              <w:spacing w:after="0" w:line="259" w:lineRule="auto"/>
              <w:ind w:left="2" w:firstLine="0"/>
              <w:jc w:val="left"/>
            </w:pPr>
            <w:r>
              <w:t>MBA</w:t>
            </w:r>
            <w:r>
              <w:t>–</w:t>
            </w:r>
            <w:r>
              <w:t xml:space="preserve"> Finance </w:t>
            </w:r>
          </w:p>
        </w:tc>
        <w:tc>
          <w:tcPr>
            <w:tcW w:w="5280" w:type="dxa"/>
            <w:tcBorders>
              <w:top w:val="single" w:sz="8" w:space="0" w:color="FFFFFF"/>
              <w:left w:val="nil"/>
              <w:bottom w:val="single" w:sz="8" w:space="0" w:color="FFFFFF"/>
              <w:right w:val="single" w:sz="8" w:space="0" w:color="FFFFFF"/>
            </w:tcBorders>
            <w:shd w:val="clear" w:color="auto" w:fill="C0C0C0"/>
          </w:tcPr>
          <w:p w14:paraId="6AFE5310" w14:textId="77777777" w:rsidR="00324FF9" w:rsidRPr="00324FF9" w:rsidRDefault="00324FF9" w:rsidP="00324FF9">
            <w:pPr>
              <w:spacing w:after="0" w:line="259" w:lineRule="auto"/>
              <w:ind w:left="1" w:firstLine="0"/>
              <w:jc w:val="left"/>
            </w:pPr>
            <w:r w:rsidRPr="00324FF9">
              <w:t xml:space="preserve">Mumbai Institute of Management Studies (MIMS) </w:t>
            </w:r>
          </w:p>
          <w:p w14:paraId="693DA5A3" w14:textId="725CBE52" w:rsidR="00F16694" w:rsidRDefault="00F16694" w:rsidP="00324FF9">
            <w:pPr>
              <w:spacing w:after="0" w:line="259" w:lineRule="auto"/>
              <w:jc w:val="left"/>
            </w:pPr>
          </w:p>
        </w:tc>
      </w:tr>
      <w:tr w:rsidR="00F16694" w14:paraId="22BCE548" w14:textId="77777777">
        <w:trPr>
          <w:trHeight w:val="310"/>
        </w:trPr>
        <w:tc>
          <w:tcPr>
            <w:tcW w:w="992" w:type="dxa"/>
            <w:tcBorders>
              <w:top w:val="single" w:sz="8" w:space="0" w:color="FFFFFF"/>
              <w:left w:val="single" w:sz="8" w:space="0" w:color="FFFFFF"/>
              <w:bottom w:val="single" w:sz="8" w:space="0" w:color="FFFFFF"/>
              <w:right w:val="single" w:sz="8" w:space="0" w:color="FFFFFF"/>
            </w:tcBorders>
            <w:shd w:val="clear" w:color="auto" w:fill="D9D9D9"/>
          </w:tcPr>
          <w:p w14:paraId="43769B7A" w14:textId="77777777" w:rsidR="00F16694" w:rsidRDefault="004C349E">
            <w:pPr>
              <w:spacing w:after="0" w:line="259" w:lineRule="auto"/>
              <w:ind w:left="0" w:firstLine="0"/>
              <w:jc w:val="left"/>
            </w:pPr>
            <w:r>
              <w:t xml:space="preserve">2013 </w:t>
            </w:r>
          </w:p>
        </w:tc>
        <w:tc>
          <w:tcPr>
            <w:tcW w:w="2486" w:type="dxa"/>
            <w:tcBorders>
              <w:top w:val="single" w:sz="8" w:space="0" w:color="FFFFFF"/>
              <w:left w:val="single" w:sz="8" w:space="0" w:color="FFFFFF"/>
              <w:bottom w:val="single" w:sz="8" w:space="0" w:color="FFFFFF"/>
              <w:right w:val="nil"/>
            </w:tcBorders>
            <w:shd w:val="clear" w:color="auto" w:fill="D9D9D9"/>
          </w:tcPr>
          <w:p w14:paraId="3837676B" w14:textId="77777777" w:rsidR="00F16694" w:rsidRDefault="004C349E">
            <w:pPr>
              <w:spacing w:after="0" w:line="259" w:lineRule="auto"/>
              <w:ind w:left="2" w:firstLine="0"/>
              <w:jc w:val="left"/>
            </w:pPr>
            <w:r>
              <w:t xml:space="preserve">MCOM </w:t>
            </w:r>
          </w:p>
        </w:tc>
        <w:tc>
          <w:tcPr>
            <w:tcW w:w="5280" w:type="dxa"/>
            <w:tcBorders>
              <w:top w:val="single" w:sz="8" w:space="0" w:color="FFFFFF"/>
              <w:left w:val="nil"/>
              <w:bottom w:val="single" w:sz="8" w:space="0" w:color="FFFFFF"/>
              <w:right w:val="single" w:sz="8" w:space="0" w:color="FFFFFF"/>
            </w:tcBorders>
            <w:shd w:val="clear" w:color="auto" w:fill="D9D9D9"/>
          </w:tcPr>
          <w:p w14:paraId="40875461" w14:textId="26F9BD75" w:rsidR="00F16694" w:rsidRDefault="00324FF9" w:rsidP="00324FF9">
            <w:pPr>
              <w:spacing w:after="0" w:line="259" w:lineRule="auto"/>
              <w:ind w:left="1" w:firstLine="0"/>
              <w:jc w:val="left"/>
            </w:pPr>
            <w:r w:rsidRPr="00324FF9">
              <w:t>University of Pune</w:t>
            </w:r>
          </w:p>
        </w:tc>
      </w:tr>
      <w:tr w:rsidR="00F16694" w14:paraId="2AF1D12C" w14:textId="77777777">
        <w:trPr>
          <w:trHeight w:val="310"/>
        </w:trPr>
        <w:tc>
          <w:tcPr>
            <w:tcW w:w="992" w:type="dxa"/>
            <w:tcBorders>
              <w:top w:val="single" w:sz="8" w:space="0" w:color="FFFFFF"/>
              <w:left w:val="single" w:sz="8" w:space="0" w:color="FFFFFF"/>
              <w:bottom w:val="single" w:sz="8" w:space="0" w:color="FFFFFF"/>
              <w:right w:val="single" w:sz="8" w:space="0" w:color="FFFFFF"/>
            </w:tcBorders>
            <w:shd w:val="clear" w:color="auto" w:fill="D9D9D9"/>
          </w:tcPr>
          <w:p w14:paraId="43B4BF0B" w14:textId="77777777" w:rsidR="00F16694" w:rsidRDefault="004C349E">
            <w:pPr>
              <w:spacing w:after="0" w:line="259" w:lineRule="auto"/>
              <w:ind w:left="0" w:firstLine="0"/>
              <w:jc w:val="left"/>
            </w:pPr>
            <w:r>
              <w:t xml:space="preserve">2007 </w:t>
            </w:r>
          </w:p>
        </w:tc>
        <w:tc>
          <w:tcPr>
            <w:tcW w:w="2486" w:type="dxa"/>
            <w:tcBorders>
              <w:top w:val="single" w:sz="8" w:space="0" w:color="FFFFFF"/>
              <w:left w:val="single" w:sz="8" w:space="0" w:color="FFFFFF"/>
              <w:bottom w:val="single" w:sz="8" w:space="0" w:color="FFFFFF"/>
              <w:right w:val="nil"/>
            </w:tcBorders>
            <w:shd w:val="clear" w:color="auto" w:fill="D9D9D9"/>
          </w:tcPr>
          <w:p w14:paraId="0811D234" w14:textId="77777777" w:rsidR="00F16694" w:rsidRDefault="004C349E">
            <w:pPr>
              <w:spacing w:after="0" w:line="259" w:lineRule="auto"/>
              <w:ind w:left="2" w:firstLine="0"/>
              <w:jc w:val="left"/>
            </w:pPr>
            <w:r>
              <w:t xml:space="preserve">B.M.S </w:t>
            </w:r>
          </w:p>
        </w:tc>
        <w:tc>
          <w:tcPr>
            <w:tcW w:w="5280" w:type="dxa"/>
            <w:tcBorders>
              <w:top w:val="single" w:sz="8" w:space="0" w:color="FFFFFF"/>
              <w:left w:val="nil"/>
              <w:bottom w:val="single" w:sz="8" w:space="0" w:color="FFFFFF"/>
              <w:right w:val="single" w:sz="8" w:space="0" w:color="FFFFFF"/>
            </w:tcBorders>
            <w:shd w:val="clear" w:color="auto" w:fill="D9D9D9"/>
          </w:tcPr>
          <w:p w14:paraId="2EB9DA20" w14:textId="6DABFB46" w:rsidR="00F16694" w:rsidRDefault="00324FF9" w:rsidP="00324FF9">
            <w:pPr>
              <w:spacing w:after="0" w:line="259" w:lineRule="auto"/>
              <w:ind w:left="1" w:firstLine="0"/>
              <w:jc w:val="left"/>
            </w:pPr>
            <w:r w:rsidRPr="00324FF9">
              <w:t>Thakur College of Commerce</w:t>
            </w:r>
          </w:p>
        </w:tc>
      </w:tr>
      <w:tr w:rsidR="00F16694" w14:paraId="230F6CDB" w14:textId="77777777">
        <w:trPr>
          <w:trHeight w:val="308"/>
        </w:trPr>
        <w:tc>
          <w:tcPr>
            <w:tcW w:w="992" w:type="dxa"/>
            <w:tcBorders>
              <w:top w:val="single" w:sz="8" w:space="0" w:color="FFFFFF"/>
              <w:left w:val="single" w:sz="8" w:space="0" w:color="FFFFFF"/>
              <w:bottom w:val="nil"/>
              <w:right w:val="single" w:sz="8" w:space="0" w:color="FFFFFF"/>
            </w:tcBorders>
            <w:shd w:val="clear" w:color="auto" w:fill="D9D9D9"/>
          </w:tcPr>
          <w:p w14:paraId="19F24CC5" w14:textId="77777777" w:rsidR="00F16694" w:rsidRDefault="004C349E">
            <w:pPr>
              <w:spacing w:after="0" w:line="259" w:lineRule="auto"/>
              <w:ind w:left="0" w:firstLine="0"/>
              <w:jc w:val="left"/>
            </w:pPr>
            <w:r>
              <w:t xml:space="preserve">2004 </w:t>
            </w:r>
          </w:p>
        </w:tc>
        <w:tc>
          <w:tcPr>
            <w:tcW w:w="2486" w:type="dxa"/>
            <w:tcBorders>
              <w:top w:val="single" w:sz="8" w:space="0" w:color="FFFFFF"/>
              <w:left w:val="single" w:sz="8" w:space="0" w:color="FFFFFF"/>
              <w:bottom w:val="nil"/>
              <w:right w:val="nil"/>
            </w:tcBorders>
            <w:shd w:val="clear" w:color="auto" w:fill="D9D9D9"/>
          </w:tcPr>
          <w:p w14:paraId="7F77D57D" w14:textId="77777777" w:rsidR="00F16694" w:rsidRDefault="004C349E">
            <w:pPr>
              <w:spacing w:after="0" w:line="259" w:lineRule="auto"/>
              <w:ind w:left="2" w:firstLine="0"/>
              <w:jc w:val="left"/>
            </w:pPr>
            <w:r>
              <w:t xml:space="preserve">HSC </w:t>
            </w:r>
          </w:p>
        </w:tc>
        <w:tc>
          <w:tcPr>
            <w:tcW w:w="5280" w:type="dxa"/>
            <w:tcBorders>
              <w:top w:val="single" w:sz="8" w:space="0" w:color="FFFFFF"/>
              <w:left w:val="nil"/>
              <w:bottom w:val="nil"/>
              <w:right w:val="single" w:sz="8" w:space="0" w:color="FFFFFF"/>
            </w:tcBorders>
            <w:shd w:val="clear" w:color="auto" w:fill="D9D9D9"/>
          </w:tcPr>
          <w:p w14:paraId="334617E5" w14:textId="4E52CE2F" w:rsidR="00F16694" w:rsidRDefault="00324FF9" w:rsidP="00324FF9">
            <w:pPr>
              <w:spacing w:after="0" w:line="259" w:lineRule="auto"/>
              <w:ind w:left="1" w:firstLine="0"/>
              <w:jc w:val="left"/>
            </w:pPr>
            <w:r w:rsidRPr="00324FF9">
              <w:t>Jai Hind College</w:t>
            </w:r>
          </w:p>
        </w:tc>
      </w:tr>
      <w:tr w:rsidR="00F16694" w14:paraId="50D3473F" w14:textId="77777777">
        <w:trPr>
          <w:trHeight w:val="306"/>
        </w:trPr>
        <w:tc>
          <w:tcPr>
            <w:tcW w:w="992" w:type="dxa"/>
            <w:tcBorders>
              <w:top w:val="nil"/>
              <w:left w:val="single" w:sz="8" w:space="0" w:color="FFFFFF"/>
              <w:bottom w:val="single" w:sz="8" w:space="0" w:color="FFFFFF"/>
              <w:right w:val="single" w:sz="8" w:space="0" w:color="FFFFFF"/>
            </w:tcBorders>
            <w:shd w:val="clear" w:color="auto" w:fill="D9D9D9"/>
          </w:tcPr>
          <w:p w14:paraId="21CFDE09" w14:textId="77777777" w:rsidR="00F16694" w:rsidRDefault="004C349E">
            <w:pPr>
              <w:spacing w:after="0" w:line="259" w:lineRule="auto"/>
              <w:ind w:left="0" w:firstLine="0"/>
              <w:jc w:val="left"/>
            </w:pPr>
            <w:r>
              <w:t xml:space="preserve">2002 </w:t>
            </w:r>
          </w:p>
        </w:tc>
        <w:tc>
          <w:tcPr>
            <w:tcW w:w="2486" w:type="dxa"/>
            <w:tcBorders>
              <w:top w:val="nil"/>
              <w:left w:val="single" w:sz="8" w:space="0" w:color="FFFFFF"/>
              <w:bottom w:val="single" w:sz="8" w:space="0" w:color="FFFFFF"/>
              <w:right w:val="nil"/>
            </w:tcBorders>
            <w:shd w:val="clear" w:color="auto" w:fill="D9D9D9"/>
          </w:tcPr>
          <w:p w14:paraId="3E85B5E5" w14:textId="77777777" w:rsidR="00F16694" w:rsidRDefault="004C349E">
            <w:pPr>
              <w:spacing w:after="0" w:line="259" w:lineRule="auto"/>
              <w:ind w:left="2" w:firstLine="0"/>
              <w:jc w:val="left"/>
            </w:pPr>
            <w:r>
              <w:t xml:space="preserve">SSC </w:t>
            </w:r>
          </w:p>
        </w:tc>
        <w:tc>
          <w:tcPr>
            <w:tcW w:w="5280" w:type="dxa"/>
            <w:tcBorders>
              <w:top w:val="nil"/>
              <w:left w:val="nil"/>
              <w:bottom w:val="single" w:sz="8" w:space="0" w:color="FFFFFF"/>
              <w:right w:val="single" w:sz="8" w:space="0" w:color="FFFFFF"/>
            </w:tcBorders>
            <w:shd w:val="clear" w:color="auto" w:fill="D9D9D9"/>
          </w:tcPr>
          <w:p w14:paraId="2A9FD5A1" w14:textId="03EFFCBF" w:rsidR="00F16694" w:rsidRDefault="00324FF9" w:rsidP="00324FF9">
            <w:pPr>
              <w:spacing w:after="0" w:line="259" w:lineRule="auto"/>
              <w:ind w:left="1" w:firstLine="0"/>
              <w:jc w:val="left"/>
            </w:pPr>
            <w:r w:rsidRPr="00324FF9">
              <w:t>Modern High School and Junior College</w:t>
            </w:r>
          </w:p>
        </w:tc>
      </w:tr>
    </w:tbl>
    <w:p w14:paraId="546119D9" w14:textId="77777777" w:rsidR="00F16694" w:rsidRDefault="004C349E">
      <w:pPr>
        <w:spacing w:after="121" w:line="259" w:lineRule="auto"/>
        <w:ind w:left="-29" w:right="-27" w:firstLine="0"/>
        <w:jc w:val="left"/>
      </w:pPr>
      <w:r>
        <w:rPr>
          <w:rFonts w:ascii="Calibri" w:eastAsia="Calibri" w:hAnsi="Calibri" w:cs="Calibri"/>
          <w:noProof/>
          <w:sz w:val="22"/>
        </w:rPr>
        <mc:AlternateContent>
          <mc:Choice Requires="wpg">
            <w:drawing>
              <wp:inline distT="0" distB="0" distL="0" distR="0" wp14:anchorId="3731D57A" wp14:editId="0DD77441">
                <wp:extent cx="6667246" cy="18288"/>
                <wp:effectExtent l="0" t="0" r="0" b="0"/>
                <wp:docPr id="4210" name="Group 4210"/>
                <wp:cNvGraphicFramePr/>
                <a:graphic xmlns:a="http://schemas.openxmlformats.org/drawingml/2006/main">
                  <a:graphicData uri="http://schemas.microsoft.com/office/word/2010/wordprocessingGroup">
                    <wpg:wgp>
                      <wpg:cNvGrpSpPr/>
                      <wpg:grpSpPr>
                        <a:xfrm>
                          <a:off x="0" y="0"/>
                          <a:ext cx="6667246" cy="18288"/>
                          <a:chOff x="0" y="0"/>
                          <a:chExt cx="6667246" cy="18288"/>
                        </a:xfrm>
                      </wpg:grpSpPr>
                      <wps:wsp>
                        <wps:cNvPr id="4589" name="Shape 4589"/>
                        <wps:cNvSpPr/>
                        <wps:spPr>
                          <a:xfrm>
                            <a:off x="0" y="0"/>
                            <a:ext cx="6667246" cy="18288"/>
                          </a:xfrm>
                          <a:custGeom>
                            <a:avLst/>
                            <a:gdLst/>
                            <a:ahLst/>
                            <a:cxnLst/>
                            <a:rect l="0" t="0" r="0" b="0"/>
                            <a:pathLst>
                              <a:path w="6667246" h="18288">
                                <a:moveTo>
                                  <a:pt x="0" y="0"/>
                                </a:moveTo>
                                <a:lnTo>
                                  <a:pt x="6667246" y="0"/>
                                </a:lnTo>
                                <a:lnTo>
                                  <a:pt x="666724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10" style="width:524.98pt;height:1.44pt;mso-position-horizontal-relative:char;mso-position-vertical-relative:line" coordsize="66672,182">
                <v:shape id="Shape 4590" style="position:absolute;width:66672;height:182;left:0;top:0;" coordsize="6667246,18288" path="m0,0l6667246,0l6667246,18288l0,18288l0,0">
                  <v:stroke weight="0pt" endcap="flat" joinstyle="miter" miterlimit="10" on="false" color="#000000" opacity="0"/>
                  <v:fill on="true" color="#000000"/>
                </v:shape>
              </v:group>
            </w:pict>
          </mc:Fallback>
        </mc:AlternateContent>
      </w:r>
    </w:p>
    <w:p w14:paraId="2C296B21" w14:textId="77777777" w:rsidR="00F16694" w:rsidRDefault="004C349E">
      <w:pPr>
        <w:pStyle w:val="Heading1"/>
        <w:spacing w:after="206"/>
        <w:ind w:right="4"/>
      </w:pPr>
      <w:r>
        <w:t xml:space="preserve">Personal Details </w:t>
      </w:r>
    </w:p>
    <w:p w14:paraId="2ABF3363" w14:textId="45355554" w:rsidR="00F16694" w:rsidRDefault="004C349E" w:rsidP="00324FF9">
      <w:pPr>
        <w:numPr>
          <w:ilvl w:val="0"/>
          <w:numId w:val="3"/>
        </w:numPr>
        <w:ind w:hanging="360"/>
      </w:pPr>
      <w:r>
        <w:t xml:space="preserve">Marital Status - Married </w:t>
      </w:r>
    </w:p>
    <w:p w14:paraId="042326D9" w14:textId="77777777" w:rsidR="00F16694" w:rsidRDefault="004C349E">
      <w:pPr>
        <w:spacing w:after="5654" w:line="259" w:lineRule="auto"/>
        <w:ind w:left="360" w:firstLine="0"/>
        <w:jc w:val="left"/>
      </w:pPr>
      <w:r>
        <w:t xml:space="preserve"> </w:t>
      </w:r>
    </w:p>
    <w:p w14:paraId="53960A0E" w14:textId="01560D6B" w:rsidR="00F16694" w:rsidRDefault="004C349E">
      <w:pPr>
        <w:pStyle w:val="Heading2"/>
        <w:tabs>
          <w:tab w:val="center" w:pos="1980"/>
          <w:tab w:val="center" w:pos="9337"/>
        </w:tabs>
        <w:ind w:left="0" w:right="0" w:firstLine="0"/>
        <w:jc w:val="left"/>
      </w:pPr>
      <w:r>
        <w:rPr>
          <w:rFonts w:ascii="Calibri" w:eastAsia="Calibri" w:hAnsi="Calibri" w:cs="Calibri"/>
          <w:sz w:val="22"/>
        </w:rPr>
        <w:tab/>
      </w:r>
      <w:r w:rsidR="00324FF9">
        <w:t>RED</w:t>
      </w:r>
      <w:r>
        <w:t xml:space="preserve"> LANE TALENT MANAGEMENT</w:t>
      </w:r>
      <w:r>
        <w:tab/>
      </w:r>
    </w:p>
    <w:sectPr w:rsidR="00F16694">
      <w:pgSz w:w="12240" w:h="15840"/>
      <w:pgMar w:top="825" w:right="896" w:bottom="544"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7AC3"/>
    <w:multiLevelType w:val="hybridMultilevel"/>
    <w:tmpl w:val="BA060450"/>
    <w:lvl w:ilvl="0" w:tplc="D9A090A2">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1DA20E4">
      <w:start w:val="1"/>
      <w:numFmt w:val="bullet"/>
      <w:lvlText w:val="o"/>
      <w:lvlJc w:val="left"/>
      <w:pPr>
        <w:ind w:left="10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22C0C20">
      <w:start w:val="1"/>
      <w:numFmt w:val="bullet"/>
      <w:lvlText w:val="▪"/>
      <w:lvlJc w:val="left"/>
      <w:pPr>
        <w:ind w:left="18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7A4CCAC">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B04B0A0">
      <w:start w:val="1"/>
      <w:numFmt w:val="bullet"/>
      <w:lvlText w:val="o"/>
      <w:lvlJc w:val="left"/>
      <w:pPr>
        <w:ind w:left="32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D306722">
      <w:start w:val="1"/>
      <w:numFmt w:val="bullet"/>
      <w:lvlText w:val="▪"/>
      <w:lvlJc w:val="left"/>
      <w:pPr>
        <w:ind w:left="39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1BA4A72">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6B416D2">
      <w:start w:val="1"/>
      <w:numFmt w:val="bullet"/>
      <w:lvlText w:val="o"/>
      <w:lvlJc w:val="left"/>
      <w:pPr>
        <w:ind w:left="54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E68D392">
      <w:start w:val="1"/>
      <w:numFmt w:val="bullet"/>
      <w:lvlText w:val="▪"/>
      <w:lvlJc w:val="left"/>
      <w:pPr>
        <w:ind w:left="61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84E4103"/>
    <w:multiLevelType w:val="hybridMultilevel"/>
    <w:tmpl w:val="9FF8706C"/>
    <w:lvl w:ilvl="0" w:tplc="5B5A2760">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D8005A2">
      <w:start w:val="1"/>
      <w:numFmt w:val="bullet"/>
      <w:lvlText w:val="o"/>
      <w:lvlJc w:val="left"/>
      <w:pPr>
        <w:ind w:left="10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55C596A">
      <w:start w:val="1"/>
      <w:numFmt w:val="bullet"/>
      <w:lvlText w:val="▪"/>
      <w:lvlJc w:val="left"/>
      <w:pPr>
        <w:ind w:left="18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E047BA">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388381C">
      <w:start w:val="1"/>
      <w:numFmt w:val="bullet"/>
      <w:lvlText w:val="o"/>
      <w:lvlJc w:val="left"/>
      <w:pPr>
        <w:ind w:left="32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D6A0E48">
      <w:start w:val="1"/>
      <w:numFmt w:val="bullet"/>
      <w:lvlText w:val="▪"/>
      <w:lvlJc w:val="left"/>
      <w:pPr>
        <w:ind w:left="39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49475FA">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676AAD4">
      <w:start w:val="1"/>
      <w:numFmt w:val="bullet"/>
      <w:lvlText w:val="o"/>
      <w:lvlJc w:val="left"/>
      <w:pPr>
        <w:ind w:left="54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362C8D6E">
      <w:start w:val="1"/>
      <w:numFmt w:val="bullet"/>
      <w:lvlText w:val="▪"/>
      <w:lvlJc w:val="left"/>
      <w:pPr>
        <w:ind w:left="61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6505349B"/>
    <w:multiLevelType w:val="hybridMultilevel"/>
    <w:tmpl w:val="B030BD2C"/>
    <w:lvl w:ilvl="0" w:tplc="DC60DA38">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C4E3764">
      <w:start w:val="1"/>
      <w:numFmt w:val="bullet"/>
      <w:lvlText w:val="o"/>
      <w:lvlJc w:val="left"/>
      <w:pPr>
        <w:ind w:left="10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63E6108">
      <w:start w:val="1"/>
      <w:numFmt w:val="bullet"/>
      <w:lvlText w:val="▪"/>
      <w:lvlJc w:val="left"/>
      <w:pPr>
        <w:ind w:left="18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F1E216E6">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FFED39C">
      <w:start w:val="1"/>
      <w:numFmt w:val="bullet"/>
      <w:lvlText w:val="o"/>
      <w:lvlJc w:val="left"/>
      <w:pPr>
        <w:ind w:left="32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8DAAD40">
      <w:start w:val="1"/>
      <w:numFmt w:val="bullet"/>
      <w:lvlText w:val="▪"/>
      <w:lvlJc w:val="left"/>
      <w:pPr>
        <w:ind w:left="39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A0826BC">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E45F0C">
      <w:start w:val="1"/>
      <w:numFmt w:val="bullet"/>
      <w:lvlText w:val="o"/>
      <w:lvlJc w:val="left"/>
      <w:pPr>
        <w:ind w:left="54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BD366C2C">
      <w:start w:val="1"/>
      <w:numFmt w:val="bullet"/>
      <w:lvlText w:val="▪"/>
      <w:lvlJc w:val="left"/>
      <w:pPr>
        <w:ind w:left="61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16cid:durableId="752434161">
    <w:abstractNumId w:val="0"/>
  </w:num>
  <w:num w:numId="2" w16cid:durableId="915019454">
    <w:abstractNumId w:val="1"/>
  </w:num>
  <w:num w:numId="3" w16cid:durableId="1043552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694"/>
    <w:rsid w:val="000B769F"/>
    <w:rsid w:val="00324FF9"/>
    <w:rsid w:val="005621EB"/>
    <w:rsid w:val="007E6784"/>
    <w:rsid w:val="00F1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777C"/>
  <w15:docId w15:val="{12FAA635-AD8E-4CDE-A132-4D7F59D7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370" w:hanging="370"/>
      <w:jc w:val="both"/>
    </w:pPr>
    <w:rPr>
      <w:rFonts w:ascii="Cambria" w:eastAsia="Cambria" w:hAnsi="Cambria" w:cs="Cambria"/>
      <w:color w:val="000000"/>
      <w:sz w:val="19"/>
    </w:rPr>
  </w:style>
  <w:style w:type="paragraph" w:styleId="Heading1">
    <w:name w:val="heading 1"/>
    <w:next w:val="Normal"/>
    <w:link w:val="Heading1Char"/>
    <w:uiPriority w:val="9"/>
    <w:qFormat/>
    <w:pPr>
      <w:keepNext/>
      <w:keepLines/>
      <w:spacing w:after="167" w:line="259" w:lineRule="auto"/>
      <w:ind w:left="10" w:right="5" w:hanging="10"/>
      <w:jc w:val="center"/>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170" w:line="259" w:lineRule="auto"/>
      <w:ind w:left="10" w:right="4" w:hanging="10"/>
      <w:jc w:val="center"/>
      <w:outlineLvl w:val="1"/>
    </w:pPr>
    <w:rPr>
      <w:rFonts w:ascii="Arial" w:eastAsia="Arial" w:hAnsi="Arial" w:cs="Arial"/>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16"/>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94038">
      <w:bodyDiv w:val="1"/>
      <w:marLeft w:val="0"/>
      <w:marRight w:val="0"/>
      <w:marTop w:val="0"/>
      <w:marBottom w:val="0"/>
      <w:divBdr>
        <w:top w:val="none" w:sz="0" w:space="0" w:color="auto"/>
        <w:left w:val="none" w:sz="0" w:space="0" w:color="auto"/>
        <w:bottom w:val="none" w:sz="0" w:space="0" w:color="auto"/>
        <w:right w:val="none" w:sz="0" w:space="0" w:color="auto"/>
      </w:divBdr>
    </w:div>
    <w:div w:id="31925984">
      <w:bodyDiv w:val="1"/>
      <w:marLeft w:val="0"/>
      <w:marRight w:val="0"/>
      <w:marTop w:val="0"/>
      <w:marBottom w:val="0"/>
      <w:divBdr>
        <w:top w:val="none" w:sz="0" w:space="0" w:color="auto"/>
        <w:left w:val="none" w:sz="0" w:space="0" w:color="auto"/>
        <w:bottom w:val="none" w:sz="0" w:space="0" w:color="auto"/>
        <w:right w:val="none" w:sz="0" w:space="0" w:color="auto"/>
      </w:divBdr>
    </w:div>
    <w:div w:id="58676652">
      <w:bodyDiv w:val="1"/>
      <w:marLeft w:val="0"/>
      <w:marRight w:val="0"/>
      <w:marTop w:val="0"/>
      <w:marBottom w:val="0"/>
      <w:divBdr>
        <w:top w:val="none" w:sz="0" w:space="0" w:color="auto"/>
        <w:left w:val="none" w:sz="0" w:space="0" w:color="auto"/>
        <w:bottom w:val="none" w:sz="0" w:space="0" w:color="auto"/>
        <w:right w:val="none" w:sz="0" w:space="0" w:color="auto"/>
      </w:divBdr>
    </w:div>
    <w:div w:id="109857913">
      <w:bodyDiv w:val="1"/>
      <w:marLeft w:val="0"/>
      <w:marRight w:val="0"/>
      <w:marTop w:val="0"/>
      <w:marBottom w:val="0"/>
      <w:divBdr>
        <w:top w:val="none" w:sz="0" w:space="0" w:color="auto"/>
        <w:left w:val="none" w:sz="0" w:space="0" w:color="auto"/>
        <w:bottom w:val="none" w:sz="0" w:space="0" w:color="auto"/>
        <w:right w:val="none" w:sz="0" w:space="0" w:color="auto"/>
      </w:divBdr>
    </w:div>
    <w:div w:id="354500119">
      <w:bodyDiv w:val="1"/>
      <w:marLeft w:val="0"/>
      <w:marRight w:val="0"/>
      <w:marTop w:val="0"/>
      <w:marBottom w:val="0"/>
      <w:divBdr>
        <w:top w:val="none" w:sz="0" w:space="0" w:color="auto"/>
        <w:left w:val="none" w:sz="0" w:space="0" w:color="auto"/>
        <w:bottom w:val="none" w:sz="0" w:space="0" w:color="auto"/>
        <w:right w:val="none" w:sz="0" w:space="0" w:color="auto"/>
      </w:divBdr>
    </w:div>
    <w:div w:id="582033439">
      <w:bodyDiv w:val="1"/>
      <w:marLeft w:val="0"/>
      <w:marRight w:val="0"/>
      <w:marTop w:val="0"/>
      <w:marBottom w:val="0"/>
      <w:divBdr>
        <w:top w:val="none" w:sz="0" w:space="0" w:color="auto"/>
        <w:left w:val="none" w:sz="0" w:space="0" w:color="auto"/>
        <w:bottom w:val="none" w:sz="0" w:space="0" w:color="auto"/>
        <w:right w:val="none" w:sz="0" w:space="0" w:color="auto"/>
      </w:divBdr>
    </w:div>
    <w:div w:id="750353841">
      <w:bodyDiv w:val="1"/>
      <w:marLeft w:val="0"/>
      <w:marRight w:val="0"/>
      <w:marTop w:val="0"/>
      <w:marBottom w:val="0"/>
      <w:divBdr>
        <w:top w:val="none" w:sz="0" w:space="0" w:color="auto"/>
        <w:left w:val="none" w:sz="0" w:space="0" w:color="auto"/>
        <w:bottom w:val="none" w:sz="0" w:space="0" w:color="auto"/>
        <w:right w:val="none" w:sz="0" w:space="0" w:color="auto"/>
      </w:divBdr>
    </w:div>
    <w:div w:id="931932449">
      <w:bodyDiv w:val="1"/>
      <w:marLeft w:val="0"/>
      <w:marRight w:val="0"/>
      <w:marTop w:val="0"/>
      <w:marBottom w:val="0"/>
      <w:divBdr>
        <w:top w:val="none" w:sz="0" w:space="0" w:color="auto"/>
        <w:left w:val="none" w:sz="0" w:space="0" w:color="auto"/>
        <w:bottom w:val="none" w:sz="0" w:space="0" w:color="auto"/>
        <w:right w:val="none" w:sz="0" w:space="0" w:color="auto"/>
      </w:divBdr>
    </w:div>
    <w:div w:id="935016903">
      <w:bodyDiv w:val="1"/>
      <w:marLeft w:val="0"/>
      <w:marRight w:val="0"/>
      <w:marTop w:val="0"/>
      <w:marBottom w:val="0"/>
      <w:divBdr>
        <w:top w:val="none" w:sz="0" w:space="0" w:color="auto"/>
        <w:left w:val="none" w:sz="0" w:space="0" w:color="auto"/>
        <w:bottom w:val="none" w:sz="0" w:space="0" w:color="auto"/>
        <w:right w:val="none" w:sz="0" w:space="0" w:color="auto"/>
      </w:divBdr>
    </w:div>
    <w:div w:id="1297561239">
      <w:bodyDiv w:val="1"/>
      <w:marLeft w:val="0"/>
      <w:marRight w:val="0"/>
      <w:marTop w:val="0"/>
      <w:marBottom w:val="0"/>
      <w:divBdr>
        <w:top w:val="none" w:sz="0" w:space="0" w:color="auto"/>
        <w:left w:val="none" w:sz="0" w:space="0" w:color="auto"/>
        <w:bottom w:val="none" w:sz="0" w:space="0" w:color="auto"/>
        <w:right w:val="none" w:sz="0" w:space="0" w:color="auto"/>
      </w:divBdr>
    </w:div>
    <w:div w:id="1448739992">
      <w:bodyDiv w:val="1"/>
      <w:marLeft w:val="0"/>
      <w:marRight w:val="0"/>
      <w:marTop w:val="0"/>
      <w:marBottom w:val="0"/>
      <w:divBdr>
        <w:top w:val="none" w:sz="0" w:space="0" w:color="auto"/>
        <w:left w:val="none" w:sz="0" w:space="0" w:color="auto"/>
        <w:bottom w:val="none" w:sz="0" w:space="0" w:color="auto"/>
        <w:right w:val="none" w:sz="0" w:space="0" w:color="auto"/>
      </w:divBdr>
    </w:div>
    <w:div w:id="148642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College Graduate</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Graduate</dc:title>
  <dc:subject/>
  <dc:creator>ABDUL</dc:creator>
  <cp:keywords/>
  <cp:lastModifiedBy>Kim, Sammie</cp:lastModifiedBy>
  <cp:revision>2</cp:revision>
  <dcterms:created xsi:type="dcterms:W3CDTF">2025-10-01T18:22:00Z</dcterms:created>
  <dcterms:modified xsi:type="dcterms:W3CDTF">2025-10-01T18:22:00Z</dcterms:modified>
</cp:coreProperties>
</file>