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3571F" w14:textId="62EEDB58" w:rsidR="005643A1" w:rsidRPr="0011050C" w:rsidRDefault="0011050C" w:rsidP="0011050C">
      <w:pPr>
        <w:spacing w:after="0" w:line="259" w:lineRule="auto"/>
        <w:ind w:left="4" w:firstLine="0"/>
        <w:jc w:val="center"/>
        <w:rPr>
          <w:rFonts w:ascii="Georgia" w:eastAsia="Georgia" w:hAnsi="Georgia" w:cs="Georgia"/>
          <w:b/>
          <w:sz w:val="44"/>
        </w:rPr>
      </w:pPr>
      <w:r w:rsidRPr="0011050C">
        <w:rPr>
          <w:rFonts w:ascii="Georgia" w:eastAsia="Georgia" w:hAnsi="Georgia" w:cs="Georgia"/>
          <w:b/>
          <w:sz w:val="44"/>
        </w:rPr>
        <w:t>Vikram Shah</w:t>
      </w:r>
      <w:r>
        <w:rPr>
          <w:rFonts w:ascii="Georgia" w:eastAsia="Georgia" w:hAnsi="Georgia" w:cs="Georgia"/>
          <w:b/>
          <w:sz w:val="44"/>
        </w:rPr>
        <w:t>,</w:t>
      </w:r>
      <w:r>
        <w:rPr>
          <w:rFonts w:ascii="Georgia" w:eastAsia="Georgia" w:hAnsi="Georgia" w:cs="Georgia"/>
          <w:b/>
          <w:sz w:val="50"/>
        </w:rPr>
        <w:t xml:space="preserve"> </w:t>
      </w:r>
      <w:r>
        <w:rPr>
          <w:rFonts w:ascii="Georgia" w:eastAsia="Georgia" w:hAnsi="Georgia" w:cs="Georgia"/>
          <w:b/>
          <w:sz w:val="48"/>
        </w:rPr>
        <w:t>CFA</w:t>
      </w:r>
      <w:r>
        <w:rPr>
          <w:rFonts w:ascii="Georgia" w:eastAsia="Georgia" w:hAnsi="Georgia" w:cs="Georgia"/>
          <w:b/>
          <w:sz w:val="46"/>
        </w:rPr>
        <w:t xml:space="preserve"> </w:t>
      </w:r>
    </w:p>
    <w:p w14:paraId="6A5229D5" w14:textId="6BDE43CA" w:rsidR="005643A1" w:rsidRDefault="0011050C">
      <w:pPr>
        <w:spacing w:after="0" w:line="224" w:lineRule="auto"/>
        <w:ind w:left="3562" w:right="384" w:hanging="690"/>
      </w:pPr>
      <w:r>
        <w:rPr>
          <w:sz w:val="21"/>
        </w:rPr>
        <w:t xml:space="preserve">             </w:t>
      </w:r>
      <w:hyperlink r:id="rId5" w:history="1">
        <w:r w:rsidRPr="00257933">
          <w:rPr>
            <w:rStyle w:val="Hyperlink"/>
            <w:sz w:val="21"/>
          </w:rPr>
          <w:t>Vshah@gmail.com|</w:t>
        </w:r>
      </w:hyperlink>
      <w:r>
        <w:rPr>
          <w:sz w:val="21"/>
        </w:rPr>
        <w:t xml:space="preserve"> 267-328-0909</w:t>
      </w:r>
    </w:p>
    <w:p w14:paraId="6D1BCDF5" w14:textId="77777777" w:rsidR="005643A1" w:rsidRDefault="0011050C">
      <w:pPr>
        <w:spacing w:after="90" w:line="259" w:lineRule="auto"/>
        <w:ind w:left="46" w:firstLine="0"/>
        <w:jc w:val="center"/>
      </w:pPr>
      <w:r>
        <w:rPr>
          <w:sz w:val="17"/>
        </w:rPr>
        <w:t xml:space="preserve"> </w:t>
      </w:r>
    </w:p>
    <w:p w14:paraId="5EB91A53" w14:textId="77777777" w:rsidR="005643A1" w:rsidRDefault="0011050C">
      <w:pPr>
        <w:pStyle w:val="Heading1"/>
        <w:ind w:left="-5"/>
      </w:pPr>
      <w:r>
        <w:rPr>
          <w:sz w:val="28"/>
        </w:rPr>
        <w:t>P</w:t>
      </w:r>
      <w:r>
        <w:t>ROFESSIONAL</w:t>
      </w:r>
      <w:r>
        <w:rPr>
          <w:sz w:val="26"/>
        </w:rPr>
        <w:t xml:space="preserve"> </w:t>
      </w:r>
      <w:r>
        <w:rPr>
          <w:sz w:val="28"/>
        </w:rPr>
        <w:t>E</w:t>
      </w:r>
      <w:r>
        <w:t>XPERIENCE</w:t>
      </w:r>
      <w:r>
        <w:rPr>
          <w:sz w:val="26"/>
        </w:rPr>
        <w:t xml:space="preserve"> </w:t>
      </w:r>
    </w:p>
    <w:p w14:paraId="7E33D8C3" w14:textId="77777777" w:rsidR="005643A1" w:rsidRDefault="0011050C">
      <w:pPr>
        <w:spacing w:after="0" w:line="259" w:lineRule="auto"/>
        <w:ind w:left="-29" w:right="-3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EF15845" wp14:editId="2BD403BE">
                <wp:extent cx="6894576" cy="27432"/>
                <wp:effectExtent l="0" t="0" r="0" b="0"/>
                <wp:docPr id="2821" name="Group 28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27432"/>
                          <a:chOff x="0" y="0"/>
                          <a:chExt cx="6894576" cy="27432"/>
                        </a:xfrm>
                      </wpg:grpSpPr>
                      <wps:wsp>
                        <wps:cNvPr id="3339" name="Shape 3339"/>
                        <wps:cNvSpPr/>
                        <wps:spPr>
                          <a:xfrm>
                            <a:off x="0" y="18288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0" name="Shape 3340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21" style="width:542.88pt;height:2.16003pt;mso-position-horizontal-relative:char;mso-position-vertical-relative:line" coordsize="68945,274">
                <v:shape id="Shape 3341" style="position:absolute;width:68945;height:91;left:0;top:182;" coordsize="6894576,9144" path="m0,0l6894576,0l6894576,9144l0,9144l0,0">
                  <v:stroke weight="0pt" endcap="flat" joinstyle="miter" miterlimit="10" on="false" color="#000000" opacity="0"/>
                  <v:fill on="true" color="#000000"/>
                </v:shape>
                <v:shape id="Shape 3342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60F9F49" w14:textId="77777777" w:rsidR="005643A1" w:rsidRDefault="0011050C">
      <w:pPr>
        <w:spacing w:after="4" w:line="259" w:lineRule="auto"/>
        <w:ind w:left="0" w:firstLine="0"/>
      </w:pPr>
      <w:r>
        <w:rPr>
          <w:b/>
          <w:sz w:val="17"/>
        </w:rPr>
        <w:t xml:space="preserve"> </w:t>
      </w:r>
    </w:p>
    <w:p w14:paraId="405E8378" w14:textId="77777777" w:rsidR="005643A1" w:rsidRDefault="0011050C">
      <w:pPr>
        <w:pStyle w:val="Heading2"/>
        <w:tabs>
          <w:tab w:val="center" w:pos="5040"/>
          <w:tab w:val="center" w:pos="5760"/>
          <w:tab w:val="center" w:pos="6480"/>
          <w:tab w:val="right" w:pos="10796"/>
        </w:tabs>
        <w:ind w:left="-15" w:firstLine="0"/>
      </w:pPr>
      <w:proofErr w:type="spellStart"/>
      <w:r>
        <w:t>Cinctive</w:t>
      </w:r>
      <w:proofErr w:type="spellEnd"/>
      <w:r>
        <w:t xml:space="preserve"> Capital Management, </w:t>
      </w:r>
      <w:r>
        <w:rPr>
          <w:b w:val="0"/>
        </w:rPr>
        <w:t>New York, NY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     </w:t>
      </w:r>
      <w:r>
        <w:rPr>
          <w:i/>
        </w:rPr>
        <w:t>Sep 2021 - Present</w:t>
      </w:r>
      <w:r>
        <w:rPr>
          <w:b w:val="0"/>
        </w:rPr>
        <w:t xml:space="preserve"> </w:t>
      </w:r>
    </w:p>
    <w:p w14:paraId="04E6652B" w14:textId="77777777" w:rsidR="005643A1" w:rsidRDefault="0011050C">
      <w:pPr>
        <w:pStyle w:val="Heading3"/>
        <w:ind w:left="-5"/>
      </w:pPr>
      <w:r>
        <w:rPr>
          <w:b/>
          <w:i w:val="0"/>
        </w:rPr>
        <w:t xml:space="preserve">  </w:t>
      </w:r>
      <w:r>
        <w:t xml:space="preserve">Investment Analyst </w:t>
      </w:r>
    </w:p>
    <w:p w14:paraId="5EDBA317" w14:textId="71B361A8" w:rsidR="0011050C" w:rsidRPr="0011050C" w:rsidRDefault="0011050C" w:rsidP="0011050C">
      <w:pPr>
        <w:numPr>
          <w:ilvl w:val="0"/>
          <w:numId w:val="1"/>
        </w:numPr>
        <w:spacing w:line="231" w:lineRule="auto"/>
        <w:ind w:hanging="216"/>
      </w:pPr>
      <w:r w:rsidRPr="0011050C">
        <w:t xml:space="preserve">Work directly with portfolio managers to deploy long/short equity strategy across ~75 Technology/Media stocks under coverage (with primary focus on cloud computing and digital advertising sectors) </w:t>
      </w:r>
    </w:p>
    <w:p w14:paraId="2B0C9B53" w14:textId="09B64F0A" w:rsidR="0011050C" w:rsidRPr="0011050C" w:rsidRDefault="0011050C" w:rsidP="0011050C">
      <w:pPr>
        <w:numPr>
          <w:ilvl w:val="0"/>
          <w:numId w:val="1"/>
        </w:numPr>
        <w:spacing w:after="0" w:line="231" w:lineRule="auto"/>
        <w:ind w:hanging="216"/>
      </w:pPr>
      <w:r w:rsidRPr="0011050C">
        <w:t>Source investment ideas through fundamental research, financial KPI analysis, alternative data tracking, and macroeconomic trend analysis across covered sectors</w:t>
      </w:r>
    </w:p>
    <w:p w14:paraId="1DAF7D32" w14:textId="3202E06A" w:rsidR="0011050C" w:rsidRPr="0011050C" w:rsidRDefault="0011050C" w:rsidP="0011050C">
      <w:pPr>
        <w:numPr>
          <w:ilvl w:val="0"/>
          <w:numId w:val="1"/>
        </w:numPr>
        <w:spacing w:after="0" w:line="231" w:lineRule="auto"/>
        <w:ind w:hanging="216"/>
      </w:pPr>
      <w:r w:rsidRPr="0011050C">
        <w:t xml:space="preserve">Conduct quarterly management meetings to discuss strategic initiatives, growth opportunities, operational efficiency programs, and competitive positioning within industry verticals </w:t>
      </w:r>
    </w:p>
    <w:p w14:paraId="7062A9EC" w14:textId="33681BAC" w:rsidR="0011050C" w:rsidRPr="0011050C" w:rsidRDefault="0011050C" w:rsidP="0011050C">
      <w:pPr>
        <w:numPr>
          <w:ilvl w:val="0"/>
          <w:numId w:val="1"/>
        </w:numPr>
        <w:spacing w:after="0" w:line="231" w:lineRule="auto"/>
        <w:ind w:hanging="216"/>
      </w:pPr>
      <w:r w:rsidRPr="0011050C">
        <w:t xml:space="preserve">Develop tactical trading strategies around earnings events and create detailed investment previews highlighting recommended actions based on consensus expectations, proprietary data analysis, valuation metrics, and catalyst timing </w:t>
      </w:r>
    </w:p>
    <w:p w14:paraId="120281D8" w14:textId="5155E91E" w:rsidR="005643A1" w:rsidRDefault="0011050C" w:rsidP="0011050C">
      <w:pPr>
        <w:numPr>
          <w:ilvl w:val="0"/>
          <w:numId w:val="1"/>
        </w:numPr>
        <w:spacing w:after="0" w:line="231" w:lineRule="auto"/>
        <w:ind w:hanging="216"/>
      </w:pPr>
      <w:r w:rsidRPr="0011050C">
        <w:t xml:space="preserve">Coverage includes leading technology companies across cloud infrastructure, e-commerce platforms, digital advertising, streaming services, enterprise software, mobility platforms, online marketplaces, social media, and digital entertainment sectors </w:t>
      </w:r>
    </w:p>
    <w:p w14:paraId="053C001C" w14:textId="77777777" w:rsidR="005643A1" w:rsidRDefault="0011050C">
      <w:pPr>
        <w:spacing w:after="0" w:line="259" w:lineRule="auto"/>
        <w:ind w:left="0" w:firstLine="0"/>
      </w:pPr>
      <w:r>
        <w:rPr>
          <w:b/>
          <w:sz w:val="21"/>
        </w:rPr>
        <w:t xml:space="preserve"> </w:t>
      </w:r>
    </w:p>
    <w:p w14:paraId="69DCD978" w14:textId="4ECEF18C" w:rsidR="005643A1" w:rsidRDefault="0011050C">
      <w:pPr>
        <w:pStyle w:val="Heading2"/>
        <w:tabs>
          <w:tab w:val="center" w:pos="4320"/>
          <w:tab w:val="center" w:pos="5040"/>
          <w:tab w:val="center" w:pos="5760"/>
          <w:tab w:val="center" w:pos="6480"/>
          <w:tab w:val="right" w:pos="10796"/>
        </w:tabs>
        <w:ind w:left="-15" w:firstLine="0"/>
      </w:pPr>
      <w:r>
        <w:t>Goldman Sachs</w:t>
      </w:r>
      <w:r>
        <w:t xml:space="preserve">, </w:t>
      </w:r>
      <w:r>
        <w:rPr>
          <w:b w:val="0"/>
        </w:rPr>
        <w:t>New York, NY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   </w:t>
      </w:r>
      <w:r>
        <w:rPr>
          <w:i/>
        </w:rPr>
        <w:t>Feb 2019 - Sep 2021</w:t>
      </w:r>
      <w:r>
        <w:rPr>
          <w:b w:val="0"/>
        </w:rPr>
        <w:t xml:space="preserve"> </w:t>
      </w:r>
    </w:p>
    <w:p w14:paraId="588FC7FE" w14:textId="77777777" w:rsidR="005643A1" w:rsidRDefault="0011050C">
      <w:pPr>
        <w:pStyle w:val="Heading3"/>
        <w:ind w:left="-5"/>
      </w:pPr>
      <w:r>
        <w:rPr>
          <w:b/>
          <w:i w:val="0"/>
        </w:rPr>
        <w:t xml:space="preserve">  </w:t>
      </w:r>
      <w:r>
        <w:t xml:space="preserve">Equity Research, U.S. </w:t>
      </w:r>
      <w:r>
        <w:t xml:space="preserve">Internet &amp; Interactive Entertainment – Associate </w:t>
      </w:r>
    </w:p>
    <w:p w14:paraId="1C2E679E" w14:textId="34F23CCB" w:rsidR="0011050C" w:rsidRPr="0011050C" w:rsidRDefault="0011050C" w:rsidP="0011050C">
      <w:pPr>
        <w:numPr>
          <w:ilvl w:val="0"/>
          <w:numId w:val="2"/>
        </w:numPr>
        <w:spacing w:after="13"/>
        <w:ind w:hanging="216"/>
      </w:pPr>
      <w:r w:rsidRPr="0011050C">
        <w:t xml:space="preserve">Supporting coverage of technology and media sectors for Institutional Investor ranked equity analyst team covering 40+ stocks with over $4.5 trillion in combined market capitalization </w:t>
      </w:r>
    </w:p>
    <w:p w14:paraId="3B49E474" w14:textId="4C13121C" w:rsidR="0011050C" w:rsidRPr="0011050C" w:rsidRDefault="0011050C" w:rsidP="0011050C">
      <w:pPr>
        <w:numPr>
          <w:ilvl w:val="0"/>
          <w:numId w:val="2"/>
        </w:numPr>
        <w:spacing w:after="13"/>
        <w:ind w:hanging="216"/>
      </w:pPr>
      <w:r w:rsidRPr="0011050C">
        <w:t xml:space="preserve">Built comprehensive financial models and conducted fundamental analysis to generate investment recommendations using DCF, comparable company, and sum-of-the-parts valuation methodologies </w:t>
      </w:r>
    </w:p>
    <w:p w14:paraId="1CCDF7A1" w14:textId="12AA9843" w:rsidR="0011050C" w:rsidRPr="0011050C" w:rsidRDefault="0011050C" w:rsidP="0011050C">
      <w:pPr>
        <w:numPr>
          <w:ilvl w:val="0"/>
          <w:numId w:val="2"/>
        </w:numPr>
        <w:spacing w:after="13"/>
        <w:ind w:hanging="216"/>
      </w:pPr>
      <w:r w:rsidRPr="0011050C">
        <w:t xml:space="preserve">Maintained relationships with institutional investor clients including hedge funds and mutual funds, providing sector insights, company-specific research, and investment forecasting to support their decision-making processes  </w:t>
      </w:r>
    </w:p>
    <w:p w14:paraId="703DF0AC" w14:textId="378529AB" w:rsidR="005643A1" w:rsidRDefault="0011050C" w:rsidP="0011050C">
      <w:pPr>
        <w:numPr>
          <w:ilvl w:val="0"/>
          <w:numId w:val="2"/>
        </w:numPr>
        <w:spacing w:after="13"/>
        <w:ind w:hanging="216"/>
      </w:pPr>
      <w:r w:rsidRPr="0011050C">
        <w:t xml:space="preserve">Supported IPO due diligence for eight investment banking transactions, contributing to pre-marketing investor education, financial model construction, valuation analysis, and research coverage initiation </w:t>
      </w:r>
    </w:p>
    <w:p w14:paraId="1346D892" w14:textId="77777777" w:rsidR="005643A1" w:rsidRDefault="0011050C">
      <w:pPr>
        <w:spacing w:after="0" w:line="259" w:lineRule="auto"/>
        <w:ind w:left="648" w:firstLine="0"/>
      </w:pPr>
      <w:r>
        <w:rPr>
          <w:b/>
          <w:sz w:val="21"/>
        </w:rPr>
        <w:t xml:space="preserve"> </w:t>
      </w:r>
    </w:p>
    <w:p w14:paraId="1FEF03AD" w14:textId="77777777" w:rsidR="005643A1" w:rsidRDefault="0011050C">
      <w:pPr>
        <w:pStyle w:val="Heading2"/>
        <w:tabs>
          <w:tab w:val="center" w:pos="5040"/>
          <w:tab w:val="center" w:pos="5760"/>
          <w:tab w:val="center" w:pos="6480"/>
          <w:tab w:val="center" w:pos="7200"/>
          <w:tab w:val="right" w:pos="10796"/>
        </w:tabs>
        <w:ind w:left="-15" w:firstLine="0"/>
      </w:pPr>
      <w:r>
        <w:t xml:space="preserve">J.P. Morgan Asset Management, </w:t>
      </w:r>
      <w:r>
        <w:rPr>
          <w:b w:val="0"/>
        </w:rPr>
        <w:t>New York, NY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</w:t>
      </w:r>
      <w:r>
        <w:rPr>
          <w:i/>
        </w:rPr>
        <w:t>Jul 2017 - Feb 2019</w:t>
      </w:r>
      <w:r>
        <w:t xml:space="preserve">        </w:t>
      </w:r>
    </w:p>
    <w:p w14:paraId="2F6CC4E3" w14:textId="77777777" w:rsidR="005643A1" w:rsidRDefault="0011050C">
      <w:pPr>
        <w:pStyle w:val="Heading3"/>
        <w:ind w:left="-5"/>
      </w:pPr>
      <w:r>
        <w:rPr>
          <w:b/>
          <w:i w:val="0"/>
        </w:rPr>
        <w:t xml:space="preserve">  </w:t>
      </w:r>
      <w:r>
        <w:t xml:space="preserve">U.S. Equity, Business Management – Associate </w:t>
      </w:r>
    </w:p>
    <w:p w14:paraId="6679A65E" w14:textId="71444940" w:rsidR="0011050C" w:rsidRPr="0011050C" w:rsidRDefault="0011050C" w:rsidP="0011050C">
      <w:pPr>
        <w:numPr>
          <w:ilvl w:val="0"/>
          <w:numId w:val="3"/>
        </w:numPr>
        <w:ind w:hanging="216"/>
      </w:pPr>
      <w:r w:rsidRPr="0011050C">
        <w:t xml:space="preserve">Coordinated research vendor relationships for 120+ Portfolio Managers and Research Analysts across 180+ external research providers, implementing process improvements following regulatory changes </w:t>
      </w:r>
    </w:p>
    <w:p w14:paraId="63F064A6" w14:textId="63BB1449" w:rsidR="0011050C" w:rsidRPr="0011050C" w:rsidRDefault="0011050C" w:rsidP="0011050C">
      <w:pPr>
        <w:numPr>
          <w:ilvl w:val="0"/>
          <w:numId w:val="3"/>
        </w:numPr>
        <w:ind w:hanging="216"/>
      </w:pPr>
      <w:r w:rsidRPr="0011050C">
        <w:t xml:space="preserve">Analyzed assets under management and capital flows with Chief Investment Officers to determine optimal capacity targets and strategic positioning across 50+ active investment strategies  </w:t>
      </w:r>
    </w:p>
    <w:p w14:paraId="185221DA" w14:textId="1B060E10" w:rsidR="0011050C" w:rsidRPr="0011050C" w:rsidRDefault="0011050C" w:rsidP="0011050C">
      <w:pPr>
        <w:numPr>
          <w:ilvl w:val="0"/>
          <w:numId w:val="3"/>
        </w:numPr>
        <w:ind w:hanging="216"/>
      </w:pPr>
      <w:r w:rsidRPr="0011050C">
        <w:t xml:space="preserve">Managed vendor relationships with research networks, data providers, and analytics platforms to enhance investment decision-making capabilities </w:t>
      </w:r>
    </w:p>
    <w:p w14:paraId="217663FE" w14:textId="77777777" w:rsidR="005643A1" w:rsidRDefault="0011050C">
      <w:pPr>
        <w:spacing w:after="4" w:line="259" w:lineRule="auto"/>
        <w:ind w:left="0" w:firstLine="0"/>
      </w:pPr>
      <w:r>
        <w:rPr>
          <w:b/>
          <w:sz w:val="17"/>
        </w:rPr>
        <w:t xml:space="preserve"> </w:t>
      </w:r>
    </w:p>
    <w:p w14:paraId="55E6C2B1" w14:textId="77777777" w:rsidR="005643A1" w:rsidRDefault="0011050C">
      <w:pPr>
        <w:pStyle w:val="Heading2"/>
        <w:tabs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right" w:pos="10796"/>
        </w:tabs>
        <w:ind w:left="-15" w:firstLine="0"/>
      </w:pPr>
      <w:r>
        <w:t xml:space="preserve">J.P. Morgan Chase &amp; Co., </w:t>
      </w:r>
      <w:r>
        <w:rPr>
          <w:b w:val="0"/>
        </w:rPr>
        <w:t>New York, NY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</w:t>
      </w:r>
      <w:r>
        <w:rPr>
          <w:i/>
        </w:rPr>
        <w:t>May 2016 - Jul 2017</w:t>
      </w:r>
      <w:r>
        <w:t xml:space="preserve">        </w:t>
      </w:r>
    </w:p>
    <w:p w14:paraId="10C7DBB7" w14:textId="77777777" w:rsidR="005643A1" w:rsidRDefault="0011050C">
      <w:pPr>
        <w:pStyle w:val="Heading3"/>
        <w:ind w:left="-5"/>
      </w:pPr>
      <w:r>
        <w:rPr>
          <w:b/>
          <w:i w:val="0"/>
        </w:rPr>
        <w:t xml:space="preserve">  </w:t>
      </w:r>
      <w:r>
        <w:t xml:space="preserve">Office of the CFO, Strategy and Analytics – Analyst </w:t>
      </w:r>
    </w:p>
    <w:p w14:paraId="5E44C608" w14:textId="77777777" w:rsidR="005643A1" w:rsidRDefault="0011050C">
      <w:pPr>
        <w:spacing w:after="0"/>
        <w:ind w:left="643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Analyzed the firm’s expense drivers (such as strategic investments, headcount growth, and location presence) and partnered with business lines to forecast a </w:t>
      </w:r>
      <w:proofErr w:type="gramStart"/>
      <w:r>
        <w:t>three year</w:t>
      </w:r>
      <w:proofErr w:type="gramEnd"/>
      <w:r>
        <w:t xml:space="preserve"> budget that aligned with the CFO’s key priorities </w:t>
      </w:r>
    </w:p>
    <w:p w14:paraId="0F6E16D9" w14:textId="77777777" w:rsidR="005643A1" w:rsidRDefault="0011050C">
      <w:pPr>
        <w:spacing w:after="4" w:line="259" w:lineRule="auto"/>
        <w:ind w:left="0" w:firstLine="0"/>
      </w:pPr>
      <w:r>
        <w:rPr>
          <w:b/>
          <w:sz w:val="17"/>
        </w:rPr>
        <w:t xml:space="preserve"> </w:t>
      </w:r>
    </w:p>
    <w:p w14:paraId="0D6F3291" w14:textId="158614C2" w:rsidR="005643A1" w:rsidRDefault="0011050C">
      <w:pPr>
        <w:tabs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10796"/>
        </w:tabs>
        <w:spacing w:after="0" w:line="259" w:lineRule="auto"/>
        <w:ind w:left="0" w:firstLine="0"/>
      </w:pPr>
      <w:r>
        <w:rPr>
          <w:b/>
          <w:sz w:val="21"/>
        </w:rPr>
        <w:t xml:space="preserve"> PwC</w:t>
      </w:r>
      <w:r>
        <w:rPr>
          <w:b/>
          <w:sz w:val="21"/>
        </w:rPr>
        <w:t xml:space="preserve">, </w:t>
      </w:r>
      <w:r>
        <w:rPr>
          <w:sz w:val="21"/>
        </w:rPr>
        <w:t>New York, NY</w:t>
      </w:r>
      <w:r>
        <w:rPr>
          <w:b/>
          <w:sz w:val="21"/>
        </w:rPr>
        <w:t xml:space="preserve"> </w:t>
      </w:r>
      <w:r>
        <w:rPr>
          <w:b/>
          <w:sz w:val="21"/>
        </w:rPr>
        <w:tab/>
        <w:t xml:space="preserve"> </w:t>
      </w:r>
      <w:r>
        <w:rPr>
          <w:b/>
          <w:sz w:val="21"/>
        </w:rPr>
        <w:tab/>
        <w:t xml:space="preserve"> </w:t>
      </w:r>
      <w:r>
        <w:rPr>
          <w:b/>
          <w:sz w:val="21"/>
        </w:rPr>
        <w:tab/>
        <w:t xml:space="preserve"> </w:t>
      </w:r>
      <w:r>
        <w:rPr>
          <w:b/>
          <w:sz w:val="21"/>
        </w:rPr>
        <w:tab/>
        <w:t xml:space="preserve"> </w:t>
      </w:r>
      <w:r>
        <w:rPr>
          <w:b/>
          <w:sz w:val="21"/>
        </w:rPr>
        <w:tab/>
        <w:t xml:space="preserve"> </w:t>
      </w:r>
      <w:r>
        <w:rPr>
          <w:b/>
          <w:sz w:val="21"/>
        </w:rPr>
        <w:tab/>
        <w:t xml:space="preserve"> </w:t>
      </w:r>
      <w:r>
        <w:rPr>
          <w:b/>
          <w:sz w:val="21"/>
        </w:rPr>
        <w:tab/>
        <w:t xml:space="preserve"> </w:t>
      </w:r>
      <w:r>
        <w:rPr>
          <w:b/>
          <w:sz w:val="21"/>
        </w:rPr>
        <w:tab/>
        <w:t xml:space="preserve">                 </w:t>
      </w:r>
      <w:r>
        <w:rPr>
          <w:b/>
          <w:i/>
          <w:sz w:val="21"/>
        </w:rPr>
        <w:t xml:space="preserve">Aug 2014 - May 2016 </w:t>
      </w:r>
      <w:r>
        <w:rPr>
          <w:b/>
          <w:sz w:val="21"/>
        </w:rPr>
        <w:t xml:space="preserve">        </w:t>
      </w:r>
    </w:p>
    <w:p w14:paraId="7DF38CD5" w14:textId="77777777" w:rsidR="005643A1" w:rsidRDefault="0011050C">
      <w:pPr>
        <w:pStyle w:val="Heading3"/>
        <w:ind w:left="-5"/>
      </w:pPr>
      <w:r>
        <w:rPr>
          <w:b/>
          <w:i w:val="0"/>
        </w:rPr>
        <w:t xml:space="preserve">  </w:t>
      </w:r>
      <w:r>
        <w:t xml:space="preserve">Corporate Development &amp; Transaction Services (CDTS) – Analyst </w:t>
      </w:r>
    </w:p>
    <w:p w14:paraId="1DBFF17F" w14:textId="6057340E" w:rsidR="0011050C" w:rsidRPr="0011050C" w:rsidRDefault="0011050C" w:rsidP="0011050C">
      <w:pPr>
        <w:spacing w:after="2"/>
        <w:ind w:left="643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11050C">
        <w:t xml:space="preserve">Developed comprehensive financial models (P&amp;L, balance sheet, cash flow projections) supporting origination of complex client engagements and strategic transaction advisory services </w:t>
      </w:r>
    </w:p>
    <w:p w14:paraId="67A04444" w14:textId="77777777" w:rsidR="0011050C" w:rsidRPr="0011050C" w:rsidRDefault="0011050C" w:rsidP="0011050C">
      <w:pPr>
        <w:spacing w:after="2"/>
        <w:ind w:left="643"/>
      </w:pPr>
      <w:r w:rsidRPr="0011050C">
        <w:lastRenderedPageBreak/>
        <w:t xml:space="preserve"> </w:t>
      </w:r>
    </w:p>
    <w:p w14:paraId="036ED55F" w14:textId="0A67C836" w:rsidR="005643A1" w:rsidRDefault="0011050C">
      <w:pPr>
        <w:spacing w:after="2"/>
        <w:ind w:left="643"/>
      </w:pPr>
      <w:r>
        <w:t xml:space="preserve"> </w:t>
      </w:r>
    </w:p>
    <w:p w14:paraId="4DFC5914" w14:textId="77777777" w:rsidR="005643A1" w:rsidRDefault="0011050C">
      <w:pPr>
        <w:spacing w:after="119" w:line="259" w:lineRule="auto"/>
        <w:ind w:left="0" w:firstLine="0"/>
      </w:pPr>
      <w:r>
        <w:rPr>
          <w:sz w:val="17"/>
        </w:rPr>
        <w:t xml:space="preserve"> </w:t>
      </w:r>
    </w:p>
    <w:p w14:paraId="64F23D9D" w14:textId="77777777" w:rsidR="005643A1" w:rsidRDefault="0011050C">
      <w:pPr>
        <w:pStyle w:val="Heading1"/>
        <w:ind w:left="-5"/>
      </w:pPr>
      <w:r>
        <w:rPr>
          <w:sz w:val="28"/>
        </w:rPr>
        <w:t>E</w:t>
      </w:r>
      <w:r>
        <w:t>DUCATION</w:t>
      </w:r>
      <w:r>
        <w:rPr>
          <w:sz w:val="32"/>
        </w:rPr>
        <w:t xml:space="preserve"> </w:t>
      </w:r>
    </w:p>
    <w:p w14:paraId="3C3298B6" w14:textId="77777777" w:rsidR="005643A1" w:rsidRDefault="0011050C">
      <w:pPr>
        <w:spacing w:after="0" w:line="259" w:lineRule="auto"/>
        <w:ind w:left="-29" w:right="-3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FA05E18" wp14:editId="4646C943">
                <wp:extent cx="6894576" cy="27432"/>
                <wp:effectExtent l="0" t="0" r="0" b="0"/>
                <wp:docPr id="2822" name="Group 2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27432"/>
                          <a:chOff x="0" y="0"/>
                          <a:chExt cx="6894576" cy="27432"/>
                        </a:xfrm>
                      </wpg:grpSpPr>
                      <wps:wsp>
                        <wps:cNvPr id="3343" name="Shape 3343"/>
                        <wps:cNvSpPr/>
                        <wps:spPr>
                          <a:xfrm>
                            <a:off x="0" y="18288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4" name="Shape 3344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22" style="width:542.88pt;height:2.16003pt;mso-position-horizontal-relative:char;mso-position-vertical-relative:line" coordsize="68945,274">
                <v:shape id="Shape 3345" style="position:absolute;width:68945;height:91;left:0;top:182;" coordsize="6894576,9144" path="m0,0l6894576,0l6894576,9144l0,9144l0,0">
                  <v:stroke weight="0pt" endcap="flat" joinstyle="miter" miterlimit="10" on="false" color="#000000" opacity="0"/>
                  <v:fill on="true" color="#000000"/>
                </v:shape>
                <v:shape id="Shape 3346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C194E70" w14:textId="77777777" w:rsidR="005643A1" w:rsidRDefault="0011050C">
      <w:pPr>
        <w:spacing w:after="4" w:line="259" w:lineRule="auto"/>
        <w:ind w:left="0" w:firstLine="0"/>
      </w:pPr>
      <w:r>
        <w:rPr>
          <w:sz w:val="17"/>
        </w:rPr>
        <w:t xml:space="preserve"> </w:t>
      </w:r>
    </w:p>
    <w:p w14:paraId="71E31419" w14:textId="1F36AB66" w:rsidR="005643A1" w:rsidRDefault="0011050C">
      <w:pPr>
        <w:pStyle w:val="Heading2"/>
        <w:ind w:left="-5"/>
      </w:pPr>
      <w:r>
        <w:t xml:space="preserve"> </w:t>
      </w:r>
      <w:r w:rsidRPr="0011050C">
        <w:t>Northwestern University - Kellogg School of Management, Evanston, IL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  </w:t>
      </w:r>
      <w:r>
        <w:rPr>
          <w:i/>
        </w:rPr>
        <w:t>Graduated May 2014</w:t>
      </w:r>
      <w:r>
        <w:rPr>
          <w:b w:val="0"/>
        </w:rPr>
        <w:t xml:space="preserve">    </w:t>
      </w:r>
      <w:r>
        <w:rPr>
          <w:b w:val="0"/>
          <w:i/>
        </w:rPr>
        <w:t xml:space="preserve">Bachelor of Science in Business Administration </w:t>
      </w: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r>
        <w:rPr>
          <w:b w:val="0"/>
          <w:i/>
        </w:rPr>
        <w:t xml:space="preserve">         </w:t>
      </w:r>
      <w:r>
        <w:rPr>
          <w:b w:val="0"/>
          <w:i/>
        </w:rPr>
        <w:tab/>
        <w:t xml:space="preserve"> </w:t>
      </w:r>
      <w:r>
        <w:rPr>
          <w:b w:val="0"/>
          <w:i/>
        </w:rPr>
        <w:tab/>
        <w:t xml:space="preserve"> </w:t>
      </w:r>
      <w:r>
        <w:rPr>
          <w:b w:val="0"/>
          <w:i/>
        </w:rPr>
        <w:tab/>
        <w:t xml:space="preserve">         </w:t>
      </w:r>
      <w:r>
        <w:rPr>
          <w:b w:val="0"/>
        </w:rPr>
        <w:t xml:space="preserve"> </w:t>
      </w:r>
    </w:p>
    <w:p w14:paraId="2F86F533" w14:textId="77777777" w:rsidR="005643A1" w:rsidRDefault="0011050C">
      <w:pPr>
        <w:ind w:left="0" w:firstLine="0"/>
      </w:pPr>
      <w:r>
        <w:t xml:space="preserve">    Cumulative GPA: 3.44/4.00 </w:t>
      </w:r>
    </w:p>
    <w:p w14:paraId="67797194" w14:textId="77777777" w:rsidR="005643A1" w:rsidRDefault="0011050C">
      <w:pPr>
        <w:ind w:left="417" w:firstLine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Dean’s </w:t>
      </w:r>
      <w:r>
        <w:t xml:space="preserve">Honor List (Fall 2012 - Spring 2014), Greek Award of Distinction (2011, 2012)  </w:t>
      </w:r>
    </w:p>
    <w:p w14:paraId="5E59D3BE" w14:textId="77777777" w:rsidR="0011050C" w:rsidRPr="0011050C" w:rsidRDefault="0011050C" w:rsidP="0011050C">
      <w:pPr>
        <w:ind w:left="417" w:firstLine="0"/>
      </w:pPr>
      <w:r w:rsidRPr="0011050C">
        <w:t xml:space="preserve">Northwestern University - Kellogg School of Management, Evanston, IL </w:t>
      </w:r>
      <w:r w:rsidRPr="0011050C">
        <w:tab/>
        <w:t xml:space="preserve"> </w:t>
      </w:r>
      <w:r w:rsidRPr="0011050C">
        <w:tab/>
        <w:t xml:space="preserve"> </w:t>
      </w:r>
      <w:r w:rsidRPr="0011050C">
        <w:tab/>
        <w:t xml:space="preserve">   Graduated May 2014    </w:t>
      </w:r>
    </w:p>
    <w:p w14:paraId="7EC1E37C" w14:textId="77777777" w:rsidR="0011050C" w:rsidRDefault="0011050C">
      <w:pPr>
        <w:ind w:left="417" w:firstLine="0"/>
      </w:pPr>
    </w:p>
    <w:p w14:paraId="3907229E" w14:textId="77777777" w:rsidR="005643A1" w:rsidRDefault="0011050C">
      <w:pPr>
        <w:spacing w:after="90" w:line="259" w:lineRule="auto"/>
        <w:ind w:left="0" w:firstLine="0"/>
      </w:pPr>
      <w:r>
        <w:rPr>
          <w:sz w:val="17"/>
        </w:rPr>
        <w:t xml:space="preserve"> </w:t>
      </w:r>
    </w:p>
    <w:p w14:paraId="61C7D7CB" w14:textId="77777777" w:rsidR="005643A1" w:rsidRDefault="0011050C">
      <w:pPr>
        <w:pStyle w:val="Heading1"/>
        <w:ind w:left="-5"/>
      </w:pPr>
      <w:r>
        <w:rPr>
          <w:sz w:val="28"/>
        </w:rPr>
        <w:t>C</w:t>
      </w:r>
      <w:r>
        <w:t>ERTIFICATIONS/</w:t>
      </w:r>
      <w:r>
        <w:rPr>
          <w:sz w:val="28"/>
        </w:rPr>
        <w:t>L</w:t>
      </w:r>
      <w:r>
        <w:t xml:space="preserve">ICENSES &amp; </w:t>
      </w:r>
      <w:r>
        <w:rPr>
          <w:sz w:val="28"/>
        </w:rPr>
        <w:t>S</w:t>
      </w:r>
      <w:r>
        <w:t>KILLS</w:t>
      </w:r>
      <w:r>
        <w:rPr>
          <w:b w:val="0"/>
        </w:rPr>
        <w:t xml:space="preserve"> </w:t>
      </w:r>
    </w:p>
    <w:p w14:paraId="4AAE8320" w14:textId="77777777" w:rsidR="005643A1" w:rsidRDefault="0011050C">
      <w:pPr>
        <w:spacing w:after="0" w:line="259" w:lineRule="auto"/>
        <w:ind w:left="-29" w:right="-3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4A3E3A3" wp14:editId="3E60A4F4">
                <wp:extent cx="6894576" cy="27432"/>
                <wp:effectExtent l="0" t="0" r="0" b="0"/>
                <wp:docPr id="2823" name="Group 2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27432"/>
                          <a:chOff x="0" y="0"/>
                          <a:chExt cx="6894576" cy="27432"/>
                        </a:xfrm>
                      </wpg:grpSpPr>
                      <wps:wsp>
                        <wps:cNvPr id="3347" name="Shape 3347"/>
                        <wps:cNvSpPr/>
                        <wps:spPr>
                          <a:xfrm>
                            <a:off x="0" y="18288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8" name="Shape 3348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23" style="width:542.88pt;height:2.15997pt;mso-position-horizontal-relative:char;mso-position-vertical-relative:line" coordsize="68945,274">
                <v:shape id="Shape 3349" style="position:absolute;width:68945;height:91;left:0;top:182;" coordsize="6894576,9144" path="m0,0l6894576,0l6894576,9144l0,9144l0,0">
                  <v:stroke weight="0pt" endcap="flat" joinstyle="miter" miterlimit="10" on="false" color="#000000" opacity="0"/>
                  <v:fill on="true" color="#000000"/>
                </v:shape>
                <v:shape id="Shape 3350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3E9508C" w14:textId="77777777" w:rsidR="005643A1" w:rsidRDefault="0011050C">
      <w:pPr>
        <w:spacing w:after="45" w:line="259" w:lineRule="auto"/>
        <w:ind w:left="648" w:firstLine="0"/>
      </w:pPr>
      <w:r>
        <w:rPr>
          <w:sz w:val="17"/>
        </w:rPr>
        <w:t xml:space="preserve"> </w:t>
      </w:r>
    </w:p>
    <w:p w14:paraId="48C3D03E" w14:textId="0DAC26AE" w:rsidR="005643A1" w:rsidRDefault="0011050C">
      <w:pPr>
        <w:numPr>
          <w:ilvl w:val="0"/>
          <w:numId w:val="4"/>
        </w:numPr>
        <w:spacing w:after="0" w:line="259" w:lineRule="auto"/>
        <w:ind w:left="641" w:hanging="216"/>
      </w:pPr>
      <w:r>
        <w:rPr>
          <w:b/>
        </w:rPr>
        <w:t xml:space="preserve">CFA® </w:t>
      </w:r>
      <w:proofErr w:type="spellStart"/>
      <w:r>
        <w:rPr>
          <w:b/>
        </w:rPr>
        <w:t>Charterholder</w:t>
      </w:r>
      <w:proofErr w:type="spellEnd"/>
      <w:r>
        <w:rPr>
          <w:b/>
        </w:rPr>
        <w:t xml:space="preserve">, CFA Institute: </w:t>
      </w:r>
      <w:r>
        <w:t>Issued March</w:t>
      </w:r>
      <w:r>
        <w:t xml:space="preserve"> 2019 </w:t>
      </w:r>
    </w:p>
    <w:p w14:paraId="1B18BC02" w14:textId="77777777" w:rsidR="005643A1" w:rsidRDefault="0011050C">
      <w:pPr>
        <w:numPr>
          <w:ilvl w:val="0"/>
          <w:numId w:val="4"/>
        </w:numPr>
        <w:ind w:left="641" w:hanging="216"/>
      </w:pPr>
      <w:r>
        <w:rPr>
          <w:b/>
        </w:rPr>
        <w:t>Skills:</w:t>
      </w:r>
      <w:r>
        <w:t xml:space="preserve"> Bloomberg, FactSet, Microsoft Office, Financial Modeling, Mandarin (fluent), Cantonese (conversational) </w:t>
      </w:r>
    </w:p>
    <w:sectPr w:rsidR="005643A1">
      <w:pgSz w:w="12240" w:h="15840"/>
      <w:pgMar w:top="1440" w:right="713" w:bottom="1440" w:left="7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00E75"/>
    <w:multiLevelType w:val="hybridMultilevel"/>
    <w:tmpl w:val="80804AE2"/>
    <w:lvl w:ilvl="0" w:tplc="0F98AE88">
      <w:start w:val="1"/>
      <w:numFmt w:val="bullet"/>
      <w:lvlText w:val="•"/>
      <w:lvlJc w:val="left"/>
      <w:pPr>
        <w:ind w:left="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FE728C">
      <w:start w:val="1"/>
      <w:numFmt w:val="bullet"/>
      <w:lvlText w:val="o"/>
      <w:lvlJc w:val="left"/>
      <w:pPr>
        <w:ind w:left="1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0787E">
      <w:start w:val="1"/>
      <w:numFmt w:val="bullet"/>
      <w:lvlText w:val="▪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B42D36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92395E">
      <w:start w:val="1"/>
      <w:numFmt w:val="bullet"/>
      <w:lvlText w:val="o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489B38">
      <w:start w:val="1"/>
      <w:numFmt w:val="bullet"/>
      <w:lvlText w:val="▪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CECCA8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60E7A4">
      <w:start w:val="1"/>
      <w:numFmt w:val="bullet"/>
      <w:lvlText w:val="o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36328A">
      <w:start w:val="1"/>
      <w:numFmt w:val="bullet"/>
      <w:lvlText w:val="▪"/>
      <w:lvlJc w:val="left"/>
      <w:pPr>
        <w:ind w:left="6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7F6763"/>
    <w:multiLevelType w:val="hybridMultilevel"/>
    <w:tmpl w:val="06B6F4CC"/>
    <w:lvl w:ilvl="0" w:tplc="F7286D20">
      <w:start w:val="1"/>
      <w:numFmt w:val="bullet"/>
      <w:lvlText w:val="•"/>
      <w:lvlJc w:val="left"/>
      <w:pPr>
        <w:ind w:left="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3E48D6">
      <w:start w:val="1"/>
      <w:numFmt w:val="bullet"/>
      <w:lvlText w:val="o"/>
      <w:lvlJc w:val="left"/>
      <w:pPr>
        <w:ind w:left="1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7E62BE">
      <w:start w:val="1"/>
      <w:numFmt w:val="bullet"/>
      <w:lvlText w:val="▪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B4BC88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CE92F2">
      <w:start w:val="1"/>
      <w:numFmt w:val="bullet"/>
      <w:lvlText w:val="o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882130">
      <w:start w:val="1"/>
      <w:numFmt w:val="bullet"/>
      <w:lvlText w:val="▪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C6223E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E0C23A">
      <w:start w:val="1"/>
      <w:numFmt w:val="bullet"/>
      <w:lvlText w:val="o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1E36D8">
      <w:start w:val="1"/>
      <w:numFmt w:val="bullet"/>
      <w:lvlText w:val="▪"/>
      <w:lvlJc w:val="left"/>
      <w:pPr>
        <w:ind w:left="6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E111EC"/>
    <w:multiLevelType w:val="hybridMultilevel"/>
    <w:tmpl w:val="6D26A846"/>
    <w:lvl w:ilvl="0" w:tplc="0A1E6E5E">
      <w:start w:val="1"/>
      <w:numFmt w:val="bullet"/>
      <w:lvlText w:val="•"/>
      <w:lvlJc w:val="left"/>
      <w:pPr>
        <w:ind w:left="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0E5332">
      <w:start w:val="1"/>
      <w:numFmt w:val="bullet"/>
      <w:lvlText w:val="o"/>
      <w:lvlJc w:val="left"/>
      <w:pPr>
        <w:ind w:left="1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3EBC16">
      <w:start w:val="1"/>
      <w:numFmt w:val="bullet"/>
      <w:lvlText w:val="▪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F6F6D0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3C3846">
      <w:start w:val="1"/>
      <w:numFmt w:val="bullet"/>
      <w:lvlText w:val="o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7255B6">
      <w:start w:val="1"/>
      <w:numFmt w:val="bullet"/>
      <w:lvlText w:val="▪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34F7DC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D61460">
      <w:start w:val="1"/>
      <w:numFmt w:val="bullet"/>
      <w:lvlText w:val="o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DEEDA6">
      <w:start w:val="1"/>
      <w:numFmt w:val="bullet"/>
      <w:lvlText w:val="▪"/>
      <w:lvlJc w:val="left"/>
      <w:pPr>
        <w:ind w:left="6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7D3D15"/>
    <w:multiLevelType w:val="hybridMultilevel"/>
    <w:tmpl w:val="0D467C40"/>
    <w:lvl w:ilvl="0" w:tplc="22B00D9E">
      <w:start w:val="1"/>
      <w:numFmt w:val="bullet"/>
      <w:lvlText w:val="•"/>
      <w:lvlJc w:val="left"/>
      <w:pPr>
        <w:ind w:left="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EE9800">
      <w:start w:val="1"/>
      <w:numFmt w:val="bullet"/>
      <w:lvlText w:val="o"/>
      <w:lvlJc w:val="left"/>
      <w:pPr>
        <w:ind w:left="1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7ED6EE">
      <w:start w:val="1"/>
      <w:numFmt w:val="bullet"/>
      <w:lvlText w:val="▪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8E996A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BED1D8">
      <w:start w:val="1"/>
      <w:numFmt w:val="bullet"/>
      <w:lvlText w:val="o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7A30EE">
      <w:start w:val="1"/>
      <w:numFmt w:val="bullet"/>
      <w:lvlText w:val="▪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32FD6A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F4C3F4">
      <w:start w:val="1"/>
      <w:numFmt w:val="bullet"/>
      <w:lvlText w:val="o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A0634A">
      <w:start w:val="1"/>
      <w:numFmt w:val="bullet"/>
      <w:lvlText w:val="▪"/>
      <w:lvlJc w:val="left"/>
      <w:pPr>
        <w:ind w:left="6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3364100">
    <w:abstractNumId w:val="0"/>
  </w:num>
  <w:num w:numId="2" w16cid:durableId="788090342">
    <w:abstractNumId w:val="2"/>
  </w:num>
  <w:num w:numId="3" w16cid:durableId="1082408850">
    <w:abstractNumId w:val="1"/>
  </w:num>
  <w:num w:numId="4" w16cid:durableId="257372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3A1"/>
    <w:rsid w:val="0011050C"/>
    <w:rsid w:val="005643A1"/>
    <w:rsid w:val="007E6784"/>
    <w:rsid w:val="0085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8EDF3"/>
  <w15:docId w15:val="{12FAA635-AD8E-4CDE-A132-4D7F59D7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0" w:line="222" w:lineRule="auto"/>
      <w:ind w:left="658" w:hanging="226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1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" w:line="259" w:lineRule="auto"/>
      <w:ind w:left="10" w:hanging="10"/>
      <w:outlineLvl w:val="2"/>
    </w:pPr>
    <w:rPr>
      <w:rFonts w:ascii="Calibri" w:eastAsia="Calibri" w:hAnsi="Calibri" w:cs="Calibri"/>
      <w:i/>
      <w:color w:val="000000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1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i/>
      <w:color w:val="000000"/>
      <w:sz w:val="2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1105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50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50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50C"/>
    <w:rPr>
      <w:rFonts w:ascii="Consolas" w:eastAsia="Calibri" w:hAnsi="Consolas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4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shah@gmail.com|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597</Words>
  <Characters>3661</Characters>
  <Application>Microsoft Office Word</Application>
  <DocSecurity>0</DocSecurity>
  <Lines>130</Lines>
  <Paragraphs>137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Carmen Lin_Resume_June 2023.docx</dc:title>
  <dc:subject/>
  <dc:creator>Kim, Sammie</dc:creator>
  <cp:keywords/>
  <cp:lastModifiedBy>Kim, Sammie</cp:lastModifiedBy>
  <cp:revision>3</cp:revision>
  <dcterms:created xsi:type="dcterms:W3CDTF">2025-10-02T20:45:00Z</dcterms:created>
  <dcterms:modified xsi:type="dcterms:W3CDTF">2025-10-02T20:49:00Z</dcterms:modified>
</cp:coreProperties>
</file>