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F241" w14:textId="6388BB0E" w:rsidR="000A116E" w:rsidRPr="00E42AEF" w:rsidRDefault="00F5061E" w:rsidP="00E42AEF">
      <w:pPr>
        <w:rPr>
          <w:rFonts w:ascii="Garamond" w:eastAsia="Garamond" w:hAnsi="Garamond" w:cs="Garamond"/>
          <w:b/>
          <w:sz w:val="32"/>
        </w:rPr>
      </w:pPr>
      <w:r>
        <w:rPr>
          <w:rFonts w:ascii="Garamond" w:eastAsia="Garamond" w:hAnsi="Garamond" w:cs="Garamond"/>
          <w:b/>
          <w:sz w:val="32"/>
        </w:rPr>
        <w:t xml:space="preserve">Dr. </w:t>
      </w:r>
      <w:r w:rsidR="00E42AEF" w:rsidRPr="00E42AEF">
        <w:rPr>
          <w:rFonts w:ascii="Garamond" w:eastAsia="Garamond" w:hAnsi="Garamond" w:cs="Garamond"/>
          <w:b/>
          <w:sz w:val="32"/>
        </w:rPr>
        <w:t>Zara Al-Rashid</w:t>
      </w:r>
    </w:p>
    <w:tbl>
      <w:tblPr>
        <w:tblStyle w:val="TableGrid"/>
        <w:tblW w:w="11076" w:type="dxa"/>
        <w:tblInd w:w="-1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0"/>
        <w:gridCol w:w="1831"/>
        <w:gridCol w:w="4230"/>
        <w:gridCol w:w="4145"/>
      </w:tblGrid>
      <w:tr w:rsidR="000A116E" w14:paraId="1962DBFB" w14:textId="77777777" w:rsidTr="00E42AEF">
        <w:trPr>
          <w:trHeight w:val="293"/>
        </w:trPr>
        <w:tc>
          <w:tcPr>
            <w:tcW w:w="6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9B6746B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EDUCATIONAL QUALIFICATION 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9CE751" w14:textId="77777777" w:rsidR="000A116E" w:rsidRDefault="000A116E"/>
        </w:tc>
      </w:tr>
      <w:tr w:rsidR="000A116E" w14:paraId="42EBDB84" w14:textId="77777777" w:rsidTr="00E42AEF">
        <w:trPr>
          <w:trHeight w:val="274"/>
        </w:trPr>
        <w:tc>
          <w:tcPr>
            <w:tcW w:w="87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9DDF97" w14:textId="77777777" w:rsidR="000A116E" w:rsidRDefault="00F5061E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Year </w:t>
            </w:r>
          </w:p>
        </w:tc>
        <w:tc>
          <w:tcPr>
            <w:tcW w:w="1831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974832" w14:textId="77777777" w:rsidR="000A116E" w:rsidRDefault="00F5061E">
            <w:pPr>
              <w:spacing w:after="0"/>
              <w:ind w:right="1"/>
              <w:jc w:val="center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Degree </w:t>
            </w:r>
          </w:p>
        </w:tc>
        <w:tc>
          <w:tcPr>
            <w:tcW w:w="423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B983AE" w14:textId="77777777" w:rsidR="000A116E" w:rsidRDefault="00F5061E">
            <w:pPr>
              <w:spacing w:after="0"/>
              <w:jc w:val="center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Institute </w:t>
            </w:r>
          </w:p>
        </w:tc>
        <w:tc>
          <w:tcPr>
            <w:tcW w:w="414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0FD5D29" w14:textId="77777777" w:rsidR="000A116E" w:rsidRDefault="00F5061E">
            <w:pPr>
              <w:spacing w:after="0"/>
              <w:ind w:right="4"/>
              <w:jc w:val="center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Percentage/CGPA </w:t>
            </w:r>
          </w:p>
        </w:tc>
      </w:tr>
      <w:tr w:rsidR="000A116E" w14:paraId="02BC9882" w14:textId="77777777" w:rsidTr="00E42AEF">
        <w:trPr>
          <w:trHeight w:val="283"/>
        </w:trPr>
        <w:tc>
          <w:tcPr>
            <w:tcW w:w="8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D5126E6" w14:textId="77777777" w:rsidR="000A116E" w:rsidRDefault="00F5061E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2012 </w:t>
            </w:r>
          </w:p>
        </w:tc>
        <w:tc>
          <w:tcPr>
            <w:tcW w:w="18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4E3E7D" w14:textId="77777777" w:rsidR="000A116E" w:rsidRDefault="00F5061E">
            <w:pPr>
              <w:spacing w:after="0"/>
              <w:ind w:right="1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PGDM (Finance) </w:t>
            </w:r>
          </w:p>
        </w:tc>
        <w:tc>
          <w:tcPr>
            <w:tcW w:w="4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C021D8" w14:textId="61B18373" w:rsidR="000A116E" w:rsidRPr="00E42AEF" w:rsidRDefault="00E42AEF" w:rsidP="00E42AEF">
            <w:pPr>
              <w:spacing w:after="0"/>
              <w:ind w:left="1"/>
              <w:jc w:val="center"/>
              <w:rPr>
                <w:rFonts w:ascii="Garamond" w:eastAsia="Garamond" w:hAnsi="Garamond" w:cs="Garamond"/>
                <w:sz w:val="21"/>
              </w:rPr>
            </w:pPr>
            <w:r w:rsidRPr="00E42AEF">
              <w:rPr>
                <w:rFonts w:ascii="Garamond" w:eastAsia="Garamond" w:hAnsi="Garamond" w:cs="Garamond"/>
                <w:sz w:val="21"/>
              </w:rPr>
              <w:t>Indian School of Business Management (ISBM), Pune</w:t>
            </w:r>
          </w:p>
        </w:tc>
        <w:tc>
          <w:tcPr>
            <w:tcW w:w="41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EDF2C8A" w14:textId="77777777" w:rsidR="000A116E" w:rsidRDefault="00F5061E">
            <w:pPr>
              <w:spacing w:after="0"/>
              <w:ind w:right="5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7.2/10 (Finance) </w:t>
            </w:r>
          </w:p>
        </w:tc>
      </w:tr>
      <w:tr w:rsidR="000A116E" w14:paraId="05906EB2" w14:textId="77777777" w:rsidTr="00E42AEF">
        <w:trPr>
          <w:trHeight w:val="283"/>
        </w:trPr>
        <w:tc>
          <w:tcPr>
            <w:tcW w:w="8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83355C5" w14:textId="77777777" w:rsidR="000A116E" w:rsidRDefault="00F5061E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2010 </w:t>
            </w:r>
          </w:p>
        </w:tc>
        <w:tc>
          <w:tcPr>
            <w:tcW w:w="18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6E364C" w14:textId="77777777" w:rsidR="000A116E" w:rsidRDefault="00F5061E">
            <w:pPr>
              <w:spacing w:after="0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>M.B.B.S</w:t>
            </w:r>
          </w:p>
        </w:tc>
        <w:tc>
          <w:tcPr>
            <w:tcW w:w="4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25AFEB" w14:textId="731BD717" w:rsidR="000A116E" w:rsidRPr="00E42AEF" w:rsidRDefault="00E42AEF" w:rsidP="00E42AEF">
            <w:pPr>
              <w:spacing w:after="0"/>
              <w:jc w:val="center"/>
              <w:rPr>
                <w:rFonts w:ascii="Garamond" w:eastAsia="Garamond" w:hAnsi="Garamond" w:cs="Garamond"/>
                <w:sz w:val="21"/>
              </w:rPr>
            </w:pPr>
            <w:r w:rsidRPr="00E42AEF">
              <w:rPr>
                <w:rFonts w:ascii="Garamond" w:eastAsia="Garamond" w:hAnsi="Garamond" w:cs="Garamond"/>
                <w:sz w:val="21"/>
              </w:rPr>
              <w:t>K.J. Somaiya Medical College, Mumbai</w:t>
            </w:r>
          </w:p>
        </w:tc>
        <w:tc>
          <w:tcPr>
            <w:tcW w:w="41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DA8797" w14:textId="77777777" w:rsidR="000A116E" w:rsidRDefault="00F5061E">
            <w:pPr>
              <w:spacing w:after="0"/>
              <w:ind w:right="4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63.87% </w:t>
            </w:r>
          </w:p>
        </w:tc>
      </w:tr>
      <w:tr w:rsidR="000A116E" w14:paraId="64B03684" w14:textId="77777777" w:rsidTr="00E42AEF">
        <w:trPr>
          <w:trHeight w:val="278"/>
        </w:trPr>
        <w:tc>
          <w:tcPr>
            <w:tcW w:w="8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F3570B" w14:textId="77777777" w:rsidR="000A116E" w:rsidRDefault="00F5061E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2004 </w:t>
            </w:r>
          </w:p>
        </w:tc>
        <w:tc>
          <w:tcPr>
            <w:tcW w:w="183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5EF332" w14:textId="77777777" w:rsidR="000A116E" w:rsidRDefault="00F5061E">
            <w:pPr>
              <w:spacing w:after="0"/>
              <w:ind w:right="1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XII Std.(PCMB) </w:t>
            </w:r>
          </w:p>
        </w:tc>
        <w:tc>
          <w:tcPr>
            <w:tcW w:w="423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A4B9D3" w14:textId="1D81D11C" w:rsidR="000A116E" w:rsidRPr="00E42AEF" w:rsidRDefault="00E42AEF" w:rsidP="00E42AEF">
            <w:pPr>
              <w:spacing w:after="0"/>
              <w:ind w:left="1"/>
              <w:jc w:val="center"/>
              <w:rPr>
                <w:rFonts w:ascii="Garamond" w:eastAsia="Garamond" w:hAnsi="Garamond" w:cs="Garamond"/>
                <w:sz w:val="21"/>
              </w:rPr>
            </w:pPr>
            <w:proofErr w:type="spellStart"/>
            <w:r w:rsidRPr="00E42AEF">
              <w:rPr>
                <w:rFonts w:ascii="Garamond" w:eastAsia="Garamond" w:hAnsi="Garamond" w:cs="Garamond"/>
                <w:sz w:val="21"/>
              </w:rPr>
              <w:t>Mithibai</w:t>
            </w:r>
            <w:proofErr w:type="spellEnd"/>
            <w:r w:rsidRPr="00E42AEF">
              <w:rPr>
                <w:rFonts w:ascii="Garamond" w:eastAsia="Garamond" w:hAnsi="Garamond" w:cs="Garamond"/>
                <w:sz w:val="21"/>
              </w:rPr>
              <w:t xml:space="preserve"> College, Mumbai</w:t>
            </w:r>
          </w:p>
        </w:tc>
        <w:tc>
          <w:tcPr>
            <w:tcW w:w="414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79CCBD" w14:textId="2310A17D" w:rsidR="000A116E" w:rsidRPr="00E42AEF" w:rsidRDefault="00F5061E" w:rsidP="00E42AEF">
            <w:pPr>
              <w:ind w:right="5"/>
              <w:jc w:val="center"/>
              <w:rPr>
                <w:rFonts w:ascii="Garamond" w:eastAsia="Garamond" w:hAnsi="Garamond" w:cs="Garamond"/>
                <w:sz w:val="21"/>
              </w:rPr>
            </w:pPr>
            <w:r>
              <w:rPr>
                <w:rFonts w:ascii="Garamond" w:eastAsia="Garamond" w:hAnsi="Garamond" w:cs="Garamond"/>
                <w:sz w:val="21"/>
              </w:rPr>
              <w:t xml:space="preserve">89.00% (Top </w:t>
            </w:r>
            <w:r>
              <w:rPr>
                <w:rFonts w:ascii="Garamond" w:eastAsia="Garamond" w:hAnsi="Garamond" w:cs="Garamond"/>
                <w:b/>
                <w:sz w:val="21"/>
              </w:rPr>
              <w:t>0.2%</w:t>
            </w:r>
            <w:r>
              <w:rPr>
                <w:rFonts w:ascii="Garamond" w:eastAsia="Garamond" w:hAnsi="Garamond" w:cs="Garamond"/>
                <w:sz w:val="21"/>
              </w:rPr>
              <w:t xml:space="preserve"> </w:t>
            </w:r>
            <w:r w:rsidR="00E42AEF" w:rsidRPr="00E42AEF">
              <w:rPr>
                <w:rFonts w:ascii="Garamond" w:eastAsia="Garamond" w:hAnsi="Garamond" w:cs="Garamond"/>
                <w:sz w:val="21"/>
              </w:rPr>
              <w:t xml:space="preserve">Maharashtra </w:t>
            </w:r>
            <w:r>
              <w:rPr>
                <w:rFonts w:ascii="Garamond" w:eastAsia="Garamond" w:hAnsi="Garamond" w:cs="Garamond"/>
                <w:sz w:val="21"/>
              </w:rPr>
              <w:t xml:space="preserve">state board) </w:t>
            </w:r>
          </w:p>
        </w:tc>
      </w:tr>
      <w:tr w:rsidR="000A116E" w14:paraId="70EE59F5" w14:textId="77777777" w:rsidTr="00E42AEF">
        <w:trPr>
          <w:trHeight w:val="290"/>
        </w:trPr>
        <w:tc>
          <w:tcPr>
            <w:tcW w:w="870" w:type="dxa"/>
            <w:tcBorders>
              <w:top w:val="single" w:sz="4" w:space="0" w:color="D9D9D9"/>
              <w:left w:val="single" w:sz="4" w:space="0" w:color="D9D9D9"/>
              <w:bottom w:val="single" w:sz="8" w:space="0" w:color="FFFFFF"/>
              <w:right w:val="single" w:sz="4" w:space="0" w:color="D9D9D9"/>
            </w:tcBorders>
          </w:tcPr>
          <w:p w14:paraId="57284735" w14:textId="77777777" w:rsidR="000A116E" w:rsidRDefault="00F5061E">
            <w:pPr>
              <w:spacing w:after="0"/>
              <w:ind w:left="2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2002 </w:t>
            </w:r>
          </w:p>
        </w:tc>
        <w:tc>
          <w:tcPr>
            <w:tcW w:w="1831" w:type="dxa"/>
            <w:tcBorders>
              <w:top w:val="single" w:sz="4" w:space="0" w:color="D9D9D9"/>
              <w:left w:val="single" w:sz="4" w:space="0" w:color="D9D9D9"/>
              <w:bottom w:val="single" w:sz="8" w:space="0" w:color="FFFFFF"/>
              <w:right w:val="single" w:sz="4" w:space="0" w:color="D9D9D9"/>
            </w:tcBorders>
          </w:tcPr>
          <w:p w14:paraId="3F40B39D" w14:textId="77777777" w:rsidR="000A116E" w:rsidRDefault="00F5061E">
            <w:pPr>
              <w:spacing w:after="0"/>
              <w:ind w:right="1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X Std. </w:t>
            </w:r>
          </w:p>
        </w:tc>
        <w:tc>
          <w:tcPr>
            <w:tcW w:w="4230" w:type="dxa"/>
            <w:tcBorders>
              <w:top w:val="single" w:sz="4" w:space="0" w:color="D9D9D9"/>
              <w:left w:val="single" w:sz="4" w:space="0" w:color="D9D9D9"/>
              <w:bottom w:val="single" w:sz="8" w:space="0" w:color="FFFFFF"/>
              <w:right w:val="single" w:sz="4" w:space="0" w:color="D9D9D9"/>
            </w:tcBorders>
          </w:tcPr>
          <w:p w14:paraId="30377570" w14:textId="384B1F26" w:rsidR="000A116E" w:rsidRPr="00E42AEF" w:rsidRDefault="00E42AEF" w:rsidP="00E42AEF">
            <w:pPr>
              <w:spacing w:after="0"/>
              <w:ind w:left="1"/>
              <w:jc w:val="center"/>
              <w:rPr>
                <w:rFonts w:ascii="Garamond" w:eastAsia="Garamond" w:hAnsi="Garamond" w:cs="Garamond"/>
                <w:sz w:val="21"/>
              </w:rPr>
            </w:pPr>
            <w:r w:rsidRPr="00E42AEF">
              <w:rPr>
                <w:rFonts w:ascii="Garamond" w:eastAsia="Garamond" w:hAnsi="Garamond" w:cs="Garamond"/>
                <w:sz w:val="21"/>
              </w:rPr>
              <w:t>St. Xavier's High School, Mumbai</w:t>
            </w:r>
          </w:p>
        </w:tc>
        <w:tc>
          <w:tcPr>
            <w:tcW w:w="4145" w:type="dxa"/>
            <w:tcBorders>
              <w:top w:val="single" w:sz="4" w:space="0" w:color="D9D9D9"/>
              <w:left w:val="single" w:sz="4" w:space="0" w:color="D9D9D9"/>
              <w:bottom w:val="single" w:sz="8" w:space="0" w:color="FFFFFF"/>
              <w:right w:val="single" w:sz="4" w:space="0" w:color="D9D9D9"/>
            </w:tcBorders>
          </w:tcPr>
          <w:p w14:paraId="5AA116A3" w14:textId="5ED8622F" w:rsidR="000A116E" w:rsidRDefault="00F5061E">
            <w:pPr>
              <w:spacing w:after="0"/>
              <w:ind w:right="5"/>
              <w:jc w:val="center"/>
            </w:pPr>
            <w:r>
              <w:rPr>
                <w:rFonts w:ascii="Garamond" w:eastAsia="Garamond" w:hAnsi="Garamond" w:cs="Garamond"/>
                <w:sz w:val="21"/>
              </w:rPr>
              <w:t xml:space="preserve">90.43% (Top </w:t>
            </w:r>
            <w:r>
              <w:rPr>
                <w:rFonts w:ascii="Garamond" w:eastAsia="Garamond" w:hAnsi="Garamond" w:cs="Garamond"/>
                <w:b/>
                <w:sz w:val="21"/>
              </w:rPr>
              <w:t>5%</w:t>
            </w:r>
            <w:r>
              <w:rPr>
                <w:rFonts w:ascii="Garamond" w:eastAsia="Garamond" w:hAnsi="Garamond" w:cs="Garamond"/>
                <w:sz w:val="21"/>
              </w:rPr>
              <w:t xml:space="preserve"> </w:t>
            </w:r>
            <w:r w:rsidR="00E42AEF" w:rsidRPr="00E42AEF">
              <w:rPr>
                <w:rFonts w:ascii="Garamond" w:eastAsia="Garamond" w:hAnsi="Garamond" w:cs="Garamond"/>
                <w:sz w:val="21"/>
              </w:rPr>
              <w:t xml:space="preserve">Maharashtra </w:t>
            </w:r>
            <w:r>
              <w:rPr>
                <w:rFonts w:ascii="Garamond" w:eastAsia="Garamond" w:hAnsi="Garamond" w:cs="Garamond"/>
                <w:sz w:val="21"/>
              </w:rPr>
              <w:t xml:space="preserve">state board) </w:t>
            </w:r>
          </w:p>
        </w:tc>
      </w:tr>
      <w:tr w:rsidR="000A116E" w14:paraId="5B7FCD51" w14:textId="77777777" w:rsidTr="00E42AEF">
        <w:trPr>
          <w:trHeight w:val="288"/>
        </w:trPr>
        <w:tc>
          <w:tcPr>
            <w:tcW w:w="6931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9D9D9"/>
          </w:tcPr>
          <w:p w14:paraId="02FDF7AE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PROFESSIONAL EXPERIENCE </w:t>
            </w:r>
          </w:p>
        </w:tc>
        <w:tc>
          <w:tcPr>
            <w:tcW w:w="414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9D9D9"/>
          </w:tcPr>
          <w:p w14:paraId="6413826F" w14:textId="77777777" w:rsidR="000A116E" w:rsidRDefault="000A116E"/>
        </w:tc>
      </w:tr>
    </w:tbl>
    <w:p w14:paraId="50F489F8" w14:textId="0D54F447" w:rsidR="000A116E" w:rsidRPr="00E42AEF" w:rsidRDefault="00E42AEF">
      <w:pPr>
        <w:tabs>
          <w:tab w:val="center" w:pos="5912"/>
          <w:tab w:val="right" w:pos="10958"/>
        </w:tabs>
        <w:spacing w:after="2" w:line="267" w:lineRule="auto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b/>
          <w:sz w:val="21"/>
        </w:rPr>
        <w:t>Meridian Research Partners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sz w:val="21"/>
        </w:rPr>
        <w:t xml:space="preserve">Lead Analyst – Pharmaceuticals and Healthcare 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i/>
          <w:sz w:val="21"/>
        </w:rPr>
        <w:t xml:space="preserve">May’22 to till now </w:t>
      </w:r>
    </w:p>
    <w:tbl>
      <w:tblPr>
        <w:tblStyle w:val="TableGrid"/>
        <w:tblpPr w:vertAnchor="text" w:tblpY="-5"/>
        <w:tblOverlap w:val="never"/>
        <w:tblW w:w="173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30"/>
      </w:tblGrid>
      <w:tr w:rsidR="000A116E" w14:paraId="3C286582" w14:textId="77777777">
        <w:trPr>
          <w:trHeight w:val="252"/>
        </w:trPr>
        <w:tc>
          <w:tcPr>
            <w:tcW w:w="17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05DDE5D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>Responsibilities</w:t>
            </w:r>
            <w:r>
              <w:rPr>
                <w:rFonts w:ascii="Garamond" w:eastAsia="Garamond" w:hAnsi="Garamond" w:cs="Garamond"/>
                <w:i/>
                <w:sz w:val="21"/>
              </w:rPr>
              <w:t xml:space="preserve"> </w:t>
            </w:r>
          </w:p>
        </w:tc>
      </w:tr>
    </w:tbl>
    <w:p w14:paraId="0E0BEB08" w14:textId="77777777" w:rsidR="00E42AEF" w:rsidRPr="00E42AEF" w:rsidRDefault="00E42AEF" w:rsidP="00E42AEF">
      <w:pPr>
        <w:tabs>
          <w:tab w:val="center" w:pos="5928"/>
          <w:tab w:val="right" w:pos="10958"/>
        </w:tabs>
        <w:spacing w:after="6" w:line="267" w:lineRule="auto"/>
        <w:rPr>
          <w:rFonts w:ascii="Garamond" w:eastAsia="Garamond" w:hAnsi="Garamond" w:cs="Garamond"/>
          <w:sz w:val="21"/>
        </w:rPr>
      </w:pPr>
      <w:r w:rsidRPr="00E42AEF">
        <w:rPr>
          <w:rFonts w:ascii="Garamond" w:eastAsia="Garamond" w:hAnsi="Garamond" w:cs="Garamond"/>
          <w:sz w:val="21"/>
        </w:rPr>
        <w:t>Generate investment ideas and publish equity research ratings with price targets on Indian healthcare sector companies across 28 stocks under coverage</w:t>
      </w:r>
    </w:p>
    <w:p w14:paraId="2D3B7A43" w14:textId="2633E376" w:rsidR="000A116E" w:rsidRPr="00E42AEF" w:rsidRDefault="00E42AEF">
      <w:pPr>
        <w:tabs>
          <w:tab w:val="center" w:pos="5928"/>
          <w:tab w:val="right" w:pos="10958"/>
        </w:tabs>
        <w:spacing w:after="6" w:line="267" w:lineRule="auto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b/>
          <w:sz w:val="21"/>
        </w:rPr>
        <w:t>Prism Financial Services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sz w:val="21"/>
        </w:rPr>
        <w:t xml:space="preserve">Lead Analyst – Pharmaceuticals and Healthcare 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i/>
          <w:sz w:val="21"/>
        </w:rPr>
        <w:t xml:space="preserve">Oct-’20 to Apr’22 </w:t>
      </w:r>
    </w:p>
    <w:tbl>
      <w:tblPr>
        <w:tblStyle w:val="TableGrid"/>
        <w:tblpPr w:vertAnchor="text" w:tblpY="-5"/>
        <w:tblOverlap w:val="never"/>
        <w:tblW w:w="1820" w:type="dxa"/>
        <w:tblInd w:w="0" w:type="dxa"/>
        <w:tblCellMar>
          <w:top w:w="0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820"/>
      </w:tblGrid>
      <w:tr w:rsidR="000A116E" w14:paraId="4774FD40" w14:textId="77777777" w:rsidTr="00E42AEF">
        <w:trPr>
          <w:trHeight w:val="1247"/>
        </w:trPr>
        <w:tc>
          <w:tcPr>
            <w:tcW w:w="18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DCE1E80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Key achievements </w:t>
            </w:r>
          </w:p>
        </w:tc>
      </w:tr>
    </w:tbl>
    <w:p w14:paraId="44BAFCDC" w14:textId="77777777" w:rsidR="00E42AEF" w:rsidRPr="00E42AEF" w:rsidRDefault="00E42AEF" w:rsidP="00E42AEF">
      <w:pPr>
        <w:numPr>
          <w:ilvl w:val="0"/>
          <w:numId w:val="1"/>
        </w:numPr>
        <w:spacing w:after="0"/>
        <w:ind w:hanging="360"/>
        <w:rPr>
          <w:rFonts w:ascii="Garamond" w:eastAsia="Garamond" w:hAnsi="Garamond" w:cs="Garamond"/>
          <w:sz w:val="21"/>
        </w:rPr>
      </w:pPr>
      <w:r w:rsidRPr="00E42AEF">
        <w:rPr>
          <w:rFonts w:ascii="Garamond" w:eastAsia="Garamond" w:hAnsi="Garamond" w:cs="Garamond"/>
          <w:sz w:val="21"/>
        </w:rPr>
        <w:t>Voted by top domestic institutional investors: Axis Mutual Fund, SBI Mutual Fund, Nippon Life Asset Management, ICICI Prudential MF, Aditya Birla Sun Life MF, Reliance MF, LIC MF, Mirae Asset MF, Invesco MF, and Sundaram MF</w:t>
      </w:r>
    </w:p>
    <w:p w14:paraId="230F2A9E" w14:textId="20351F02" w:rsidR="00E42AEF" w:rsidRPr="00E42AEF" w:rsidRDefault="00E42AEF" w:rsidP="00E42AEF">
      <w:pPr>
        <w:numPr>
          <w:ilvl w:val="0"/>
          <w:numId w:val="1"/>
        </w:numPr>
        <w:spacing w:after="0"/>
        <w:ind w:hanging="360"/>
        <w:rPr>
          <w:rFonts w:ascii="Garamond" w:eastAsia="Garamond" w:hAnsi="Garamond" w:cs="Garamond"/>
          <w:sz w:val="21"/>
        </w:rPr>
      </w:pPr>
      <w:r w:rsidRPr="00E42AEF">
        <w:rPr>
          <w:rFonts w:ascii="Garamond" w:eastAsia="Garamond" w:hAnsi="Garamond" w:cs="Garamond"/>
          <w:sz w:val="21"/>
        </w:rPr>
        <w:t>Investment recommendation adopted by major institutional client resulting in 35% increase in brokerage commission revenue</w:t>
      </w:r>
    </w:p>
    <w:p w14:paraId="414498EF" w14:textId="4C8E5253" w:rsidR="000A116E" w:rsidRDefault="00E42AEF">
      <w:pPr>
        <w:tabs>
          <w:tab w:val="center" w:pos="5941"/>
          <w:tab w:val="right" w:pos="10958"/>
        </w:tabs>
        <w:spacing w:after="36" w:line="267" w:lineRule="auto"/>
      </w:pPr>
      <w:r>
        <w:rPr>
          <w:rFonts w:ascii="Garamond" w:eastAsia="Garamond" w:hAnsi="Garamond" w:cs="Garamond"/>
          <w:b/>
          <w:sz w:val="21"/>
        </w:rPr>
        <w:t>Kotak Securities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sz w:val="21"/>
        </w:rPr>
        <w:t xml:space="preserve">Lead Analyst – Pharmaceuticals and Healthcare 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i/>
          <w:sz w:val="21"/>
        </w:rPr>
        <w:t xml:space="preserve">Apr-’18 to Apr-’20 </w:t>
      </w:r>
    </w:p>
    <w:tbl>
      <w:tblPr>
        <w:tblStyle w:val="TableGrid"/>
        <w:tblpPr w:vertAnchor="text" w:tblpY="-5"/>
        <w:tblOverlap w:val="never"/>
        <w:tblW w:w="1730" w:type="dxa"/>
        <w:tblInd w:w="0" w:type="dxa"/>
        <w:tblCellMar>
          <w:top w:w="0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730"/>
      </w:tblGrid>
      <w:tr w:rsidR="000A116E" w14:paraId="7E34FBAC" w14:textId="77777777">
        <w:trPr>
          <w:trHeight w:val="1116"/>
        </w:trPr>
        <w:tc>
          <w:tcPr>
            <w:tcW w:w="17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14:paraId="7FABD5C6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Key achievements </w:t>
            </w:r>
          </w:p>
        </w:tc>
      </w:tr>
    </w:tbl>
    <w:p w14:paraId="089BB87E" w14:textId="77777777" w:rsidR="00E42AEF" w:rsidRDefault="00E42AEF" w:rsidP="00E42AEF">
      <w:pPr>
        <w:numPr>
          <w:ilvl w:val="0"/>
          <w:numId w:val="1"/>
        </w:numPr>
        <w:spacing w:after="36" w:line="267" w:lineRule="auto"/>
        <w:ind w:hanging="360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b/>
          <w:sz w:val="21"/>
        </w:rPr>
        <w:t>Published sector thematic reports on Indian generics expansion, digital health initiatives, respiratory drug market, and healthcare policy reforms</w:t>
      </w:r>
    </w:p>
    <w:p w14:paraId="2746A14C" w14:textId="30640835" w:rsidR="00E42AEF" w:rsidRPr="00E42AEF" w:rsidRDefault="00F5061E" w:rsidP="00E42AEF">
      <w:pPr>
        <w:numPr>
          <w:ilvl w:val="0"/>
          <w:numId w:val="1"/>
        </w:numPr>
        <w:spacing w:after="36" w:line="267" w:lineRule="auto"/>
        <w:ind w:hanging="360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sz w:val="21"/>
        </w:rPr>
        <w:t xml:space="preserve">Hosted </w:t>
      </w:r>
      <w:r w:rsidR="00E42AEF" w:rsidRPr="00E42AEF">
        <w:rPr>
          <w:rFonts w:ascii="Garamond" w:eastAsia="Garamond" w:hAnsi="Garamond" w:cs="Garamond"/>
          <w:sz w:val="21"/>
        </w:rPr>
        <w:t>Organized healthcare policy conference in Mumbai covering regulatory changes, generic drug policies, and government health initiatives with key policymakers</w:t>
      </w:r>
    </w:p>
    <w:p w14:paraId="53A7BAC6" w14:textId="295EDEF2" w:rsidR="000A116E" w:rsidRDefault="00E42AEF">
      <w:pPr>
        <w:tabs>
          <w:tab w:val="center" w:pos="5941"/>
          <w:tab w:val="right" w:pos="10958"/>
        </w:tabs>
        <w:spacing w:after="36" w:line="267" w:lineRule="auto"/>
      </w:pPr>
      <w:proofErr w:type="spellStart"/>
      <w:r>
        <w:rPr>
          <w:rFonts w:ascii="Garamond" w:eastAsia="Garamond" w:hAnsi="Garamond" w:cs="Garamond"/>
          <w:b/>
          <w:sz w:val="21"/>
        </w:rPr>
        <w:t>DataFlow</w:t>
      </w:r>
      <w:proofErr w:type="spellEnd"/>
      <w:r>
        <w:rPr>
          <w:rFonts w:ascii="Garamond" w:eastAsia="Garamond" w:hAnsi="Garamond" w:cs="Garamond"/>
          <w:b/>
          <w:sz w:val="21"/>
        </w:rPr>
        <w:t xml:space="preserve"> Research India Pvt. Limited</w:t>
      </w:r>
      <w:r w:rsidR="00F5061E">
        <w:rPr>
          <w:rFonts w:ascii="Garamond" w:eastAsia="Garamond" w:hAnsi="Garamond" w:cs="Garamond"/>
          <w:b/>
          <w:sz w:val="21"/>
        </w:rPr>
        <w:t>,</w:t>
      </w:r>
      <w:r w:rsidR="00F5061E">
        <w:rPr>
          <w:rFonts w:ascii="Garamond" w:eastAsia="Garamond" w:hAnsi="Garamond" w:cs="Garamond"/>
          <w:b/>
          <w:sz w:val="21"/>
        </w:rPr>
        <w:t xml:space="preserve"> Noida </w:t>
      </w:r>
      <w:r w:rsidR="00F5061E">
        <w:rPr>
          <w:rFonts w:ascii="Garamond" w:eastAsia="Garamond" w:hAnsi="Garamond" w:cs="Garamond"/>
          <w:b/>
          <w:sz w:val="21"/>
        </w:rPr>
        <w:tab/>
        <w:t xml:space="preserve">Manager – Equity Research 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i/>
          <w:sz w:val="21"/>
        </w:rPr>
        <w:t xml:space="preserve">May-'15 to Mar- ‘18 </w:t>
      </w:r>
    </w:p>
    <w:tbl>
      <w:tblPr>
        <w:tblStyle w:val="TableGrid"/>
        <w:tblpPr w:vertAnchor="text" w:tblpYSpec="bottom"/>
        <w:tblOverlap w:val="never"/>
        <w:tblW w:w="1730" w:type="dxa"/>
        <w:tblInd w:w="0" w:type="dxa"/>
        <w:tblCellMar>
          <w:top w:w="12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730"/>
      </w:tblGrid>
      <w:tr w:rsidR="000A116E" w14:paraId="15E169C3" w14:textId="77777777">
        <w:trPr>
          <w:trHeight w:val="295"/>
        </w:trPr>
        <w:tc>
          <w:tcPr>
            <w:tcW w:w="17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4B52F38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Responsibilities </w:t>
            </w:r>
          </w:p>
        </w:tc>
      </w:tr>
      <w:tr w:rsidR="000A116E" w14:paraId="23F5A9EA" w14:textId="77777777">
        <w:trPr>
          <w:trHeight w:val="571"/>
        </w:trPr>
        <w:tc>
          <w:tcPr>
            <w:tcW w:w="173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9D9D9"/>
            <w:vAlign w:val="center"/>
          </w:tcPr>
          <w:p w14:paraId="03A31F55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Key achievements </w:t>
            </w:r>
          </w:p>
        </w:tc>
      </w:tr>
    </w:tbl>
    <w:p w14:paraId="22844C07" w14:textId="77777777" w:rsidR="000A116E" w:rsidRDefault="00F5061E">
      <w:pPr>
        <w:numPr>
          <w:ilvl w:val="0"/>
          <w:numId w:val="1"/>
        </w:numPr>
        <w:spacing w:after="36" w:line="267" w:lineRule="auto"/>
        <w:ind w:hanging="360"/>
      </w:pPr>
      <w:r>
        <w:rPr>
          <w:rFonts w:ascii="Garamond" w:eastAsia="Garamond" w:hAnsi="Garamond" w:cs="Garamond"/>
          <w:sz w:val="21"/>
        </w:rPr>
        <w:t>Member, U.S. Healthcare Services ER team</w:t>
      </w:r>
      <w:r>
        <w:rPr>
          <w:rFonts w:ascii="Garamond" w:eastAsia="Garamond" w:hAnsi="Garamond" w:cs="Garamond"/>
          <w:b/>
          <w:sz w:val="21"/>
        </w:rPr>
        <w:t xml:space="preserve"> (Institutional Investor (II) Runner up) at Leerink Partners</w:t>
      </w:r>
    </w:p>
    <w:p w14:paraId="55249B77" w14:textId="7526FA7D" w:rsidR="00E42AEF" w:rsidRPr="00E42AEF" w:rsidRDefault="00F5061E" w:rsidP="00E42AEF">
      <w:pPr>
        <w:numPr>
          <w:ilvl w:val="0"/>
          <w:numId w:val="1"/>
        </w:numPr>
        <w:spacing w:after="36" w:line="267" w:lineRule="auto"/>
        <w:ind w:hanging="360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b/>
          <w:sz w:val="21"/>
        </w:rPr>
        <w:t>A</w:t>
      </w:r>
      <w:r w:rsidR="00E42AEF" w:rsidRPr="00E42AEF">
        <w:rPr>
          <w:rFonts w:ascii="Garamond" w:eastAsia="Garamond" w:hAnsi="Garamond" w:cs="Garamond"/>
          <w:b/>
          <w:sz w:val="21"/>
        </w:rPr>
        <w:t>warded "Excellence in Research" recognition for superior analytical work and report quality (2015)</w:t>
      </w:r>
    </w:p>
    <w:p w14:paraId="0025C6C3" w14:textId="77777777" w:rsidR="00E42AEF" w:rsidRDefault="00E42AEF" w:rsidP="00E42AEF">
      <w:pPr>
        <w:spacing w:after="36" w:line="267" w:lineRule="auto"/>
        <w:ind w:left="100"/>
        <w:rPr>
          <w:rFonts w:ascii="Garamond" w:eastAsia="Garamond" w:hAnsi="Garamond" w:cs="Garamond"/>
          <w:b/>
          <w:sz w:val="21"/>
        </w:rPr>
      </w:pPr>
    </w:p>
    <w:p w14:paraId="7C330372" w14:textId="40DE2120" w:rsidR="000A116E" w:rsidRPr="00E42AEF" w:rsidRDefault="00E42AEF">
      <w:pPr>
        <w:tabs>
          <w:tab w:val="center" w:pos="5898"/>
          <w:tab w:val="right" w:pos="10958"/>
        </w:tabs>
        <w:spacing w:after="36" w:line="267" w:lineRule="auto"/>
        <w:rPr>
          <w:rFonts w:ascii="Garamond" w:eastAsia="Garamond" w:hAnsi="Garamond" w:cs="Garamond"/>
          <w:b/>
          <w:sz w:val="21"/>
        </w:rPr>
      </w:pPr>
      <w:r w:rsidRPr="00E42AEF">
        <w:rPr>
          <w:rFonts w:ascii="Garamond" w:eastAsia="Garamond" w:hAnsi="Garamond" w:cs="Garamond"/>
          <w:b/>
          <w:sz w:val="21"/>
        </w:rPr>
        <w:t>J.P. Morgan Securities</w:t>
      </w:r>
      <w:r w:rsidR="00F5061E">
        <w:rPr>
          <w:rFonts w:ascii="Garamond" w:eastAsia="Garamond" w:hAnsi="Garamond" w:cs="Garamond"/>
          <w:b/>
          <w:sz w:val="21"/>
        </w:rPr>
        <w:t>,</w:t>
      </w:r>
      <w:r w:rsidR="00F5061E">
        <w:rPr>
          <w:rFonts w:ascii="Garamond" w:eastAsia="Garamond" w:hAnsi="Garamond" w:cs="Garamond"/>
          <w:b/>
          <w:sz w:val="21"/>
        </w:rPr>
        <w:t xml:space="preserve"> London </w:t>
      </w:r>
      <w:r w:rsidR="00F5061E">
        <w:rPr>
          <w:rFonts w:ascii="Garamond" w:eastAsia="Garamond" w:hAnsi="Garamond" w:cs="Garamond"/>
          <w:b/>
          <w:sz w:val="21"/>
        </w:rPr>
        <w:tab/>
        <w:t xml:space="preserve">  Equity Research Associate </w:t>
      </w:r>
      <w:r w:rsidR="00F5061E">
        <w:rPr>
          <w:rFonts w:ascii="Garamond" w:eastAsia="Garamond" w:hAnsi="Garamond" w:cs="Garamond"/>
          <w:b/>
          <w:sz w:val="21"/>
        </w:rPr>
        <w:tab/>
      </w:r>
      <w:r w:rsidR="00F5061E">
        <w:rPr>
          <w:rFonts w:ascii="Garamond" w:eastAsia="Garamond" w:hAnsi="Garamond" w:cs="Garamond"/>
          <w:b/>
          <w:i/>
          <w:sz w:val="21"/>
        </w:rPr>
        <w:t xml:space="preserve">Sep-’13, Dec-’13 &amp; Nov-‘14 </w:t>
      </w:r>
    </w:p>
    <w:tbl>
      <w:tblPr>
        <w:tblStyle w:val="TableGrid"/>
        <w:tblpPr w:vertAnchor="text" w:tblpYSpec="bottom"/>
        <w:tblOverlap w:val="never"/>
        <w:tblW w:w="1730" w:type="dxa"/>
        <w:tblInd w:w="0" w:type="dxa"/>
        <w:tblCellMar>
          <w:top w:w="12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730"/>
      </w:tblGrid>
      <w:tr w:rsidR="000A116E" w14:paraId="53B15AF5" w14:textId="77777777">
        <w:trPr>
          <w:trHeight w:val="300"/>
        </w:trPr>
        <w:tc>
          <w:tcPr>
            <w:tcW w:w="17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C181A2F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Project scope </w:t>
            </w:r>
          </w:p>
        </w:tc>
      </w:tr>
      <w:tr w:rsidR="000A116E" w14:paraId="26ACE2B3" w14:textId="77777777">
        <w:trPr>
          <w:trHeight w:val="574"/>
        </w:trPr>
        <w:tc>
          <w:tcPr>
            <w:tcW w:w="17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D9D9"/>
            <w:vAlign w:val="center"/>
          </w:tcPr>
          <w:p w14:paraId="55FB59B2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sz w:val="21"/>
              </w:rPr>
              <w:t xml:space="preserve">Key achievements </w:t>
            </w:r>
          </w:p>
        </w:tc>
      </w:tr>
    </w:tbl>
    <w:p w14:paraId="5181A91E" w14:textId="77777777" w:rsidR="000A116E" w:rsidRDefault="00F5061E">
      <w:pPr>
        <w:numPr>
          <w:ilvl w:val="0"/>
          <w:numId w:val="1"/>
        </w:numPr>
        <w:spacing w:after="51"/>
        <w:ind w:hanging="360"/>
      </w:pPr>
      <w:r>
        <w:rPr>
          <w:rFonts w:ascii="Garamond" w:eastAsia="Garamond" w:hAnsi="Garamond" w:cs="Garamond"/>
          <w:sz w:val="21"/>
        </w:rPr>
        <w:t>Assist in team transition during replacement of a research associate and to work closely with the team</w:t>
      </w:r>
    </w:p>
    <w:p w14:paraId="7641D7A9" w14:textId="77777777" w:rsidR="000A116E" w:rsidRDefault="00F5061E">
      <w:pPr>
        <w:numPr>
          <w:ilvl w:val="0"/>
          <w:numId w:val="1"/>
        </w:numPr>
        <w:spacing w:after="36" w:line="267" w:lineRule="auto"/>
        <w:ind w:hanging="360"/>
      </w:pPr>
      <w:r>
        <w:rPr>
          <w:rFonts w:ascii="Garamond" w:eastAsia="Garamond" w:hAnsi="Garamond" w:cs="Garamond"/>
          <w:sz w:val="21"/>
        </w:rPr>
        <w:t xml:space="preserve">Attended meetings &amp; calls with </w:t>
      </w:r>
      <w:r>
        <w:rPr>
          <w:rFonts w:ascii="Garamond" w:eastAsia="Garamond" w:hAnsi="Garamond" w:cs="Garamond"/>
          <w:b/>
          <w:sz w:val="21"/>
        </w:rPr>
        <w:t>company IRs, institutional investors, &amp; industry experts</w:t>
      </w:r>
    </w:p>
    <w:p w14:paraId="56FB6096" w14:textId="77777777" w:rsidR="000A116E" w:rsidRDefault="00F5061E">
      <w:pPr>
        <w:numPr>
          <w:ilvl w:val="0"/>
          <w:numId w:val="1"/>
        </w:numPr>
        <w:spacing w:after="34"/>
        <w:ind w:hanging="360"/>
      </w:pPr>
      <w:r>
        <w:rPr>
          <w:rFonts w:ascii="Garamond" w:eastAsia="Garamond" w:hAnsi="Garamond" w:cs="Garamond"/>
          <w:sz w:val="21"/>
        </w:rPr>
        <w:t>Attended a company investor day at LSE and prepared a key takeaways note for publicatio</w:t>
      </w:r>
      <w:r>
        <w:rPr>
          <w:rFonts w:ascii="Garamond" w:eastAsia="Garamond" w:hAnsi="Garamond" w:cs="Garamond"/>
          <w:sz w:val="21"/>
        </w:rPr>
        <w:t>n</w:t>
      </w:r>
    </w:p>
    <w:p w14:paraId="39F6D904" w14:textId="77777777" w:rsidR="00F5061E" w:rsidRDefault="00F5061E">
      <w:pPr>
        <w:tabs>
          <w:tab w:val="center" w:pos="5940"/>
          <w:tab w:val="right" w:pos="10958"/>
        </w:tabs>
        <w:spacing w:after="36" w:line="267" w:lineRule="auto"/>
        <w:rPr>
          <w:rFonts w:ascii="Garamond" w:eastAsia="Garamond" w:hAnsi="Garamond" w:cs="Garamond"/>
          <w:b/>
          <w:sz w:val="21"/>
        </w:rPr>
      </w:pPr>
    </w:p>
    <w:p w14:paraId="6D91C860" w14:textId="341F0213" w:rsidR="000A116E" w:rsidRDefault="00F5061E">
      <w:pPr>
        <w:tabs>
          <w:tab w:val="center" w:pos="5940"/>
          <w:tab w:val="right" w:pos="10958"/>
        </w:tabs>
        <w:spacing w:after="36" w:line="267" w:lineRule="auto"/>
      </w:pPr>
      <w:r>
        <w:rPr>
          <w:rFonts w:ascii="Garamond" w:eastAsia="Garamond" w:hAnsi="Garamond" w:cs="Garamond"/>
          <w:b/>
          <w:sz w:val="21"/>
        </w:rPr>
        <w:t>Cipla</w:t>
      </w:r>
      <w:r>
        <w:rPr>
          <w:rFonts w:ascii="Garamond" w:eastAsia="Garamond" w:hAnsi="Garamond" w:cs="Garamond"/>
          <w:b/>
          <w:sz w:val="21"/>
        </w:rPr>
        <w:t xml:space="preserve"> Pharmaceuticals</w:t>
      </w:r>
      <w:r>
        <w:rPr>
          <w:rFonts w:ascii="Garamond" w:eastAsia="Garamond" w:hAnsi="Garamond" w:cs="Garamond"/>
          <w:b/>
          <w:sz w:val="21"/>
        </w:rPr>
        <w:t>,</w:t>
      </w:r>
      <w:r>
        <w:rPr>
          <w:rFonts w:ascii="Garamond" w:eastAsia="Garamond" w:hAnsi="Garamond" w:cs="Garamond"/>
          <w:b/>
          <w:sz w:val="21"/>
        </w:rPr>
        <w:t xml:space="preserve"> Mumbai</w:t>
      </w:r>
      <w:r>
        <w:rPr>
          <w:rFonts w:ascii="Garamond" w:eastAsia="Garamond" w:hAnsi="Garamond" w:cs="Garamond"/>
          <w:sz w:val="21"/>
        </w:rPr>
        <w:t xml:space="preserve"> </w:t>
      </w:r>
      <w:r>
        <w:rPr>
          <w:rFonts w:ascii="Garamond" w:eastAsia="Garamond" w:hAnsi="Garamond" w:cs="Garamond"/>
          <w:sz w:val="21"/>
        </w:rPr>
        <w:tab/>
      </w:r>
      <w:r>
        <w:rPr>
          <w:rFonts w:ascii="Garamond" w:eastAsia="Garamond" w:hAnsi="Garamond" w:cs="Garamond"/>
          <w:b/>
          <w:sz w:val="21"/>
        </w:rPr>
        <w:t xml:space="preserve">Summer Intern </w:t>
      </w:r>
      <w:r>
        <w:rPr>
          <w:rFonts w:ascii="Garamond" w:eastAsia="Garamond" w:hAnsi="Garamond" w:cs="Garamond"/>
          <w:b/>
          <w:sz w:val="21"/>
        </w:rPr>
        <w:tab/>
      </w:r>
      <w:r>
        <w:rPr>
          <w:rFonts w:ascii="Garamond" w:eastAsia="Garamond" w:hAnsi="Garamond" w:cs="Garamond"/>
          <w:b/>
          <w:i/>
          <w:sz w:val="21"/>
        </w:rPr>
        <w:t xml:space="preserve">Apr-’11 to May-’11 </w:t>
      </w:r>
    </w:p>
    <w:p w14:paraId="0CC10636" w14:textId="77777777" w:rsidR="000A116E" w:rsidRDefault="00F5061E">
      <w:pPr>
        <w:tabs>
          <w:tab w:val="center" w:pos="6244"/>
        </w:tabs>
        <w:spacing w:after="49"/>
      </w:pPr>
      <w:r>
        <w:rPr>
          <w:rFonts w:ascii="Garamond" w:eastAsia="Garamond" w:hAnsi="Garamond" w:cs="Garamond"/>
          <w:sz w:val="21"/>
        </w:rPr>
        <w:t xml:space="preserve">Project scope </w:t>
      </w:r>
      <w:r>
        <w:rPr>
          <w:rFonts w:ascii="Garamond" w:eastAsia="Garamond" w:hAnsi="Garamond" w:cs="Garamond"/>
          <w:sz w:val="21"/>
        </w:rPr>
        <w:tab/>
      </w:r>
      <w:r>
        <w:rPr>
          <w:rFonts w:ascii="Wingdings" w:eastAsia="Wingdings" w:hAnsi="Wingdings" w:cs="Wingdings"/>
          <w:sz w:val="21"/>
        </w:rPr>
        <w:t xml:space="preserve">§ </w:t>
      </w:r>
      <w:r>
        <w:rPr>
          <w:rFonts w:ascii="Garamond" w:eastAsia="Garamond" w:hAnsi="Garamond" w:cs="Garamond"/>
          <w:sz w:val="21"/>
        </w:rPr>
        <w:t>Competitive Positioning strategy for newly launched generic Calpol T using MDS (Perceptual Mapping)</w:t>
      </w:r>
    </w:p>
    <w:p w14:paraId="6417F87E" w14:textId="77777777" w:rsidR="000A116E" w:rsidRDefault="00F5061E">
      <w:pPr>
        <w:numPr>
          <w:ilvl w:val="0"/>
          <w:numId w:val="1"/>
        </w:numPr>
        <w:spacing w:after="9" w:line="350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AE8E8F" wp14:editId="209FA55F">
                <wp:simplePos x="0" y="0"/>
                <wp:positionH relativeFrom="column">
                  <wp:posOffset>-126</wp:posOffset>
                </wp:positionH>
                <wp:positionV relativeFrom="paragraph">
                  <wp:posOffset>-948116</wp:posOffset>
                </wp:positionV>
                <wp:extent cx="1112520" cy="1295400"/>
                <wp:effectExtent l="0" t="0" r="0" b="0"/>
                <wp:wrapNone/>
                <wp:docPr id="4268" name="Group 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1295400"/>
                          <a:chOff x="0" y="0"/>
                          <a:chExt cx="1112520" cy="1295400"/>
                        </a:xfrm>
                      </wpg:grpSpPr>
                      <wps:wsp>
                        <wps:cNvPr id="4866" name="Shape 4866"/>
                        <wps:cNvSpPr/>
                        <wps:spPr>
                          <a:xfrm>
                            <a:off x="0" y="12192"/>
                            <a:ext cx="110032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7678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7" name="Shape 4867"/>
                        <wps:cNvSpPr/>
                        <wps:spPr>
                          <a:xfrm>
                            <a:off x="73152" y="12192"/>
                            <a:ext cx="9540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173736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8" name="Shape 4868"/>
                        <wps:cNvSpPr/>
                        <wps:spPr>
                          <a:xfrm>
                            <a:off x="0" y="0"/>
                            <a:ext cx="11003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219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9" name="Shape 4869"/>
                        <wps:cNvSpPr/>
                        <wps:spPr>
                          <a:xfrm>
                            <a:off x="110032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0" name="Shape 4870"/>
                        <wps:cNvSpPr/>
                        <wps:spPr>
                          <a:xfrm>
                            <a:off x="0" y="201168"/>
                            <a:ext cx="1100328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356616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1" name="Shape 4871"/>
                        <wps:cNvSpPr/>
                        <wps:spPr>
                          <a:xfrm>
                            <a:off x="73152" y="292608"/>
                            <a:ext cx="9540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173736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" name="Shape 4872"/>
                        <wps:cNvSpPr/>
                        <wps:spPr>
                          <a:xfrm>
                            <a:off x="0" y="188976"/>
                            <a:ext cx="11003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219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3" name="Shape 4873"/>
                        <wps:cNvSpPr/>
                        <wps:spPr>
                          <a:xfrm>
                            <a:off x="1100328" y="18897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4" name="Shape 4874"/>
                        <wps:cNvSpPr/>
                        <wps:spPr>
                          <a:xfrm>
                            <a:off x="0" y="557783"/>
                            <a:ext cx="11003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219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5" name="Shape 4875"/>
                        <wps:cNvSpPr/>
                        <wps:spPr>
                          <a:xfrm>
                            <a:off x="1100328" y="557783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6" name="Shape 4876"/>
                        <wps:cNvSpPr/>
                        <wps:spPr>
                          <a:xfrm>
                            <a:off x="0" y="755904"/>
                            <a:ext cx="110032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7678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7" name="Shape 4877"/>
                        <wps:cNvSpPr/>
                        <wps:spPr>
                          <a:xfrm>
                            <a:off x="73152" y="755904"/>
                            <a:ext cx="95402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170688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8" name="Shape 4878"/>
                        <wps:cNvSpPr/>
                        <wps:spPr>
                          <a:xfrm>
                            <a:off x="0" y="743712"/>
                            <a:ext cx="11003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219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1100328" y="743712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0" y="944880"/>
                            <a:ext cx="110032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350520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73152" y="1033272"/>
                            <a:ext cx="95402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24" h="173736">
                                <a:moveTo>
                                  <a:pt x="0" y="0"/>
                                </a:moveTo>
                                <a:lnTo>
                                  <a:pt x="954024" y="0"/>
                                </a:lnTo>
                                <a:lnTo>
                                  <a:pt x="95402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2" name="Shape 4882"/>
                        <wps:cNvSpPr/>
                        <wps:spPr>
                          <a:xfrm>
                            <a:off x="0" y="932688"/>
                            <a:ext cx="11003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12192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1100328" y="93268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68" style="width:87.6pt;height:102pt;position:absolute;z-index:-2147483193;mso-position-horizontal-relative:text;mso-position-horizontal:absolute;margin-left:-0.0100002pt;mso-position-vertical-relative:text;margin-top:-74.6549pt;" coordsize="11125,12954">
                <v:shape id="Shape 4884" style="position:absolute;width:11003;height:1767;left:0;top:121;" coordsize="1100328,176784" path="m0,0l1100328,0l1100328,176784l0,176784l0,0">
                  <v:stroke weight="0pt" endcap="flat" joinstyle="miter" miterlimit="10" on="false" color="#000000" opacity="0"/>
                  <v:fill on="true" color="#d9d9d9"/>
                </v:shape>
                <v:shape id="Shape 4885" style="position:absolute;width:9540;height:1737;left:731;top:121;" coordsize="954024,173736" path="m0,0l954024,0l954024,173736l0,173736l0,0">
                  <v:stroke weight="0pt" endcap="flat" joinstyle="miter" miterlimit="10" on="false" color="#000000" opacity="0"/>
                  <v:fill on="true" color="#d9d9d9"/>
                </v:shape>
                <v:shape id="Shape 4886" style="position:absolute;width:11003;height:121;left:0;top:0;" coordsize="1100328,12192" path="m0,0l1100328,0l1100328,12192l0,12192l0,0">
                  <v:stroke weight="0pt" endcap="flat" joinstyle="miter" miterlimit="10" on="false" color="#000000" opacity="0"/>
                  <v:fill on="true" color="#ffffff"/>
                </v:shape>
                <v:shape id="Shape 4887" style="position:absolute;width:121;height:121;left:11003;top:0;" coordsize="12192,12192" path="m0,0l12192,0l12192,12192l0,12192l0,0">
                  <v:stroke weight="0pt" endcap="flat" joinstyle="miter" miterlimit="10" on="false" color="#000000" opacity="0"/>
                  <v:fill on="true" color="#ffffff"/>
                </v:shape>
                <v:shape id="Shape 4888" style="position:absolute;width:11003;height:3566;left:0;top:2011;" coordsize="1100328,356616" path="m0,0l1100328,0l1100328,356616l0,356616l0,0">
                  <v:stroke weight="0pt" endcap="flat" joinstyle="miter" miterlimit="10" on="false" color="#000000" opacity="0"/>
                  <v:fill on="true" color="#d9d9d9"/>
                </v:shape>
                <v:shape id="Shape 4889" style="position:absolute;width:9540;height:1737;left:731;top:2926;" coordsize="954024,173736" path="m0,0l954024,0l954024,173736l0,173736l0,0">
                  <v:stroke weight="0pt" endcap="flat" joinstyle="miter" miterlimit="10" on="false" color="#000000" opacity="0"/>
                  <v:fill on="true" color="#d9d9d9"/>
                </v:shape>
                <v:shape id="Shape 4890" style="position:absolute;width:11003;height:121;left:0;top:1889;" coordsize="1100328,12192" path="m0,0l1100328,0l1100328,12192l0,12192l0,0">
                  <v:stroke weight="0pt" endcap="flat" joinstyle="miter" miterlimit="10" on="false" color="#000000" opacity="0"/>
                  <v:fill on="true" color="#ffffff"/>
                </v:shape>
                <v:shape id="Shape 4891" style="position:absolute;width:121;height:121;left:11003;top:1889;" coordsize="12192,12192" path="m0,0l12192,0l12192,12192l0,12192l0,0">
                  <v:stroke weight="0pt" endcap="flat" joinstyle="miter" miterlimit="10" on="false" color="#000000" opacity="0"/>
                  <v:fill on="true" color="#ffffff"/>
                </v:shape>
                <v:shape id="Shape 4892" style="position:absolute;width:11003;height:121;left:0;top:5577;" coordsize="1100328,12192" path="m0,0l1100328,0l1100328,12192l0,12192l0,0">
                  <v:stroke weight="0pt" endcap="flat" joinstyle="miter" miterlimit="10" on="false" color="#000000" opacity="0"/>
                  <v:fill on="true" color="#ffffff"/>
                </v:shape>
                <v:shape id="Shape 4893" style="position:absolute;width:121;height:121;left:11003;top:5577;" coordsize="12192,12192" path="m0,0l12192,0l12192,12192l0,12192l0,0">
                  <v:stroke weight="0pt" endcap="flat" joinstyle="miter" miterlimit="10" on="false" color="#000000" opacity="0"/>
                  <v:fill on="true" color="#ffffff"/>
                </v:shape>
                <v:shape id="Shape 4894" style="position:absolute;width:11003;height:1767;left:0;top:7559;" coordsize="1100328,176784" path="m0,0l1100328,0l1100328,176784l0,176784l0,0">
                  <v:stroke weight="0pt" endcap="flat" joinstyle="miter" miterlimit="10" on="false" color="#000000" opacity="0"/>
                  <v:fill on="true" color="#d9d9d9"/>
                </v:shape>
                <v:shape id="Shape 4895" style="position:absolute;width:9540;height:1706;left:731;top:7559;" coordsize="954024,170688" path="m0,0l954024,0l954024,170688l0,170688l0,0">
                  <v:stroke weight="0pt" endcap="flat" joinstyle="miter" miterlimit="10" on="false" color="#000000" opacity="0"/>
                  <v:fill on="true" color="#d9d9d9"/>
                </v:shape>
                <v:shape id="Shape 4896" style="position:absolute;width:11003;height:121;left:0;top:7437;" coordsize="1100328,12192" path="m0,0l1100328,0l1100328,12192l0,12192l0,0">
                  <v:stroke weight="0pt" endcap="flat" joinstyle="miter" miterlimit="10" on="false" color="#000000" opacity="0"/>
                  <v:fill on="true" color="#ffffff"/>
                </v:shape>
                <v:shape id="Shape 4897" style="position:absolute;width:121;height:121;left:11003;top:7437;" coordsize="12192,12192" path="m0,0l12192,0l12192,12192l0,12192l0,0">
                  <v:stroke weight="0pt" endcap="flat" joinstyle="miter" miterlimit="10" on="false" color="#000000" opacity="0"/>
                  <v:fill on="true" color="#ffffff"/>
                </v:shape>
                <v:shape id="Shape 4898" style="position:absolute;width:11003;height:3505;left:0;top:9448;" coordsize="1100328,350520" path="m0,0l1100328,0l1100328,350520l0,350520l0,0">
                  <v:stroke weight="0pt" endcap="flat" joinstyle="miter" miterlimit="10" on="false" color="#000000" opacity="0"/>
                  <v:fill on="true" color="#d9d9d9"/>
                </v:shape>
                <v:shape id="Shape 4899" style="position:absolute;width:9540;height:1737;left:731;top:10332;" coordsize="954024,173736" path="m0,0l954024,0l954024,173736l0,173736l0,0">
                  <v:stroke weight="0pt" endcap="flat" joinstyle="miter" miterlimit="10" on="false" color="#000000" opacity="0"/>
                  <v:fill on="true" color="#d9d9d9"/>
                </v:shape>
                <v:shape id="Shape 4900" style="position:absolute;width:11003;height:121;left:0;top:9326;" coordsize="1100328,12192" path="m0,0l1100328,0l1100328,12192l0,12192l0,0">
                  <v:stroke weight="0pt" endcap="flat" joinstyle="miter" miterlimit="10" on="false" color="#000000" opacity="0"/>
                  <v:fill on="true" color="#ffffff"/>
                </v:shape>
                <v:shape id="Shape 4901" style="position:absolute;width:121;height:121;left:11003;top:9326;" coordsize="12192,12192" path="m0,0l12192,0l12192,12192l0,1219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Garamond" w:eastAsia="Garamond" w:hAnsi="Garamond" w:cs="Garamond"/>
          <w:b/>
          <w:sz w:val="21"/>
        </w:rPr>
        <w:t>Formulated competitive positioning strategy</w:t>
      </w:r>
      <w:r>
        <w:rPr>
          <w:rFonts w:ascii="Garamond" w:eastAsia="Garamond" w:hAnsi="Garamond" w:cs="Garamond"/>
          <w:sz w:val="21"/>
        </w:rPr>
        <w:t xml:space="preserve"> &amp; </w:t>
      </w:r>
      <w:r>
        <w:rPr>
          <w:rFonts w:ascii="Garamond" w:eastAsia="Garamond" w:hAnsi="Garamond" w:cs="Garamond"/>
          <w:b/>
          <w:sz w:val="21"/>
        </w:rPr>
        <w:t>communication tactics</w:t>
      </w:r>
      <w:r>
        <w:rPr>
          <w:rFonts w:ascii="Garamond" w:eastAsia="Garamond" w:hAnsi="Garamond" w:cs="Garamond"/>
          <w:sz w:val="21"/>
        </w:rPr>
        <w:t xml:space="preserve"> as a result of which Calpol T Key achievements had </w:t>
      </w:r>
      <w:r>
        <w:rPr>
          <w:rFonts w:ascii="Garamond" w:eastAsia="Garamond" w:hAnsi="Garamond" w:cs="Garamond"/>
          <w:b/>
          <w:sz w:val="21"/>
        </w:rPr>
        <w:t>overtaken more than 90 brands in same category</w:t>
      </w:r>
      <w:r>
        <w:rPr>
          <w:rFonts w:ascii="Garamond" w:eastAsia="Garamond" w:hAnsi="Garamond" w:cs="Garamond"/>
          <w:sz w:val="21"/>
        </w:rPr>
        <w:t xml:space="preserve"> and is currently holding the </w:t>
      </w:r>
      <w:r>
        <w:rPr>
          <w:rFonts w:ascii="Garamond" w:eastAsia="Garamond" w:hAnsi="Garamond" w:cs="Garamond"/>
          <w:b/>
          <w:sz w:val="21"/>
        </w:rPr>
        <w:t>2</w:t>
      </w:r>
      <w:r>
        <w:rPr>
          <w:rFonts w:ascii="Garamond" w:eastAsia="Garamond" w:hAnsi="Garamond" w:cs="Garamond"/>
          <w:b/>
          <w:sz w:val="21"/>
          <w:vertAlign w:val="subscript"/>
        </w:rPr>
        <w:t>nd</w:t>
      </w:r>
      <w:r>
        <w:rPr>
          <w:rFonts w:ascii="Garamond" w:eastAsia="Garamond" w:hAnsi="Garamond" w:cs="Garamond"/>
          <w:b/>
          <w:sz w:val="21"/>
        </w:rPr>
        <w:t xml:space="preserve"> rank</w:t>
      </w:r>
    </w:p>
    <w:tbl>
      <w:tblPr>
        <w:tblStyle w:val="TableGrid"/>
        <w:tblW w:w="11074" w:type="dxa"/>
        <w:tblInd w:w="0" w:type="dxa"/>
        <w:tblCellMar>
          <w:top w:w="8" w:type="dxa"/>
          <w:left w:w="11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1074"/>
      </w:tblGrid>
      <w:tr w:rsidR="000A116E" w14:paraId="1C585D7F" w14:textId="77777777">
        <w:trPr>
          <w:trHeight w:val="290"/>
        </w:trPr>
        <w:tc>
          <w:tcPr>
            <w:tcW w:w="11074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9D9D9"/>
          </w:tcPr>
          <w:p w14:paraId="008F8119" w14:textId="77777777" w:rsidR="000A116E" w:rsidRDefault="00F5061E">
            <w:pPr>
              <w:spacing w:after="0"/>
            </w:pPr>
            <w:r>
              <w:rPr>
                <w:rFonts w:ascii="Garamond" w:eastAsia="Garamond" w:hAnsi="Garamond" w:cs="Garamond"/>
                <w:b/>
                <w:sz w:val="21"/>
              </w:rPr>
              <w:t xml:space="preserve">SCHOLASTIC ACHIEVEMENTS </w:t>
            </w:r>
          </w:p>
        </w:tc>
      </w:tr>
    </w:tbl>
    <w:p w14:paraId="05079A92" w14:textId="77777777" w:rsidR="000A116E" w:rsidRDefault="00F5061E">
      <w:pPr>
        <w:numPr>
          <w:ilvl w:val="0"/>
          <w:numId w:val="1"/>
        </w:numPr>
        <w:spacing w:after="36" w:line="267" w:lineRule="auto"/>
        <w:ind w:hanging="360"/>
      </w:pPr>
      <w:r>
        <w:rPr>
          <w:rFonts w:ascii="Garamond" w:eastAsia="Garamond" w:hAnsi="Garamond" w:cs="Garamond"/>
          <w:b/>
          <w:sz w:val="21"/>
        </w:rPr>
        <w:t xml:space="preserve">Scored 99.92 percentile in Quantitative Aptitude in CAT-2009 </w:t>
      </w:r>
      <w:r>
        <w:rPr>
          <w:rFonts w:ascii="Wingdings" w:eastAsia="Wingdings" w:hAnsi="Wingdings" w:cs="Wingdings"/>
          <w:sz w:val="21"/>
        </w:rPr>
        <w:t xml:space="preserve">§ </w:t>
      </w:r>
      <w:r>
        <w:rPr>
          <w:rFonts w:ascii="Garamond" w:eastAsia="Garamond" w:hAnsi="Garamond" w:cs="Garamond"/>
          <w:b/>
          <w:sz w:val="21"/>
        </w:rPr>
        <w:t>Consistent score of over 95% in Mathematics through XII Std.</w:t>
      </w:r>
    </w:p>
    <w:p w14:paraId="0FC19252" w14:textId="77777777" w:rsidR="000A116E" w:rsidRDefault="00F5061E">
      <w:pPr>
        <w:pBdr>
          <w:top w:val="single" w:sz="8" w:space="0" w:color="FFFFFF"/>
          <w:bottom w:val="single" w:sz="8" w:space="0" w:color="FFFFFF"/>
        </w:pBdr>
        <w:shd w:val="clear" w:color="auto" w:fill="D9D9D9"/>
        <w:spacing w:after="47"/>
        <w:ind w:left="110" w:hanging="10"/>
      </w:pPr>
      <w:r>
        <w:rPr>
          <w:rFonts w:ascii="Garamond" w:eastAsia="Garamond" w:hAnsi="Garamond" w:cs="Garamond"/>
          <w:b/>
          <w:sz w:val="21"/>
        </w:rPr>
        <w:t xml:space="preserve">DATABASE SKILLS </w:t>
      </w:r>
    </w:p>
    <w:p w14:paraId="10170342" w14:textId="77777777" w:rsidR="000A116E" w:rsidRDefault="00F5061E">
      <w:pPr>
        <w:numPr>
          <w:ilvl w:val="0"/>
          <w:numId w:val="1"/>
        </w:numPr>
        <w:spacing w:after="52"/>
        <w:ind w:hanging="360"/>
      </w:pPr>
      <w:r>
        <w:rPr>
          <w:rFonts w:ascii="Garamond" w:eastAsia="Garamond" w:hAnsi="Garamond" w:cs="Garamond"/>
          <w:sz w:val="21"/>
        </w:rPr>
        <w:t xml:space="preserve">Proficient in using MS Office as well as financial databases like </w:t>
      </w:r>
      <w:r>
        <w:rPr>
          <w:rFonts w:ascii="Garamond" w:eastAsia="Garamond" w:hAnsi="Garamond" w:cs="Garamond"/>
          <w:b/>
          <w:sz w:val="21"/>
        </w:rPr>
        <w:t xml:space="preserve">Bloomberg, </w:t>
      </w:r>
      <w:proofErr w:type="spellStart"/>
      <w:r>
        <w:rPr>
          <w:rFonts w:ascii="Garamond" w:eastAsia="Garamond" w:hAnsi="Garamond" w:cs="Garamond"/>
          <w:b/>
          <w:sz w:val="21"/>
        </w:rPr>
        <w:t>Factset</w:t>
      </w:r>
      <w:proofErr w:type="spellEnd"/>
      <w:r>
        <w:rPr>
          <w:rFonts w:ascii="Garamond" w:eastAsia="Garamond" w:hAnsi="Garamond" w:cs="Garamond"/>
          <w:b/>
          <w:sz w:val="21"/>
        </w:rPr>
        <w:t>, and Reuters</w:t>
      </w:r>
    </w:p>
    <w:p w14:paraId="5DE4C44B" w14:textId="77777777" w:rsidR="000A116E" w:rsidRDefault="00F5061E">
      <w:pPr>
        <w:numPr>
          <w:ilvl w:val="0"/>
          <w:numId w:val="1"/>
        </w:numPr>
        <w:spacing w:after="36" w:line="267" w:lineRule="auto"/>
        <w:ind w:hanging="360"/>
      </w:pPr>
      <w:r>
        <w:rPr>
          <w:rFonts w:ascii="Garamond" w:eastAsia="Garamond" w:hAnsi="Garamond" w:cs="Garamond"/>
          <w:sz w:val="21"/>
        </w:rPr>
        <w:t xml:space="preserve">Well versed with healthcare related databases like </w:t>
      </w:r>
      <w:r>
        <w:rPr>
          <w:rFonts w:ascii="Garamond" w:eastAsia="Garamond" w:hAnsi="Garamond" w:cs="Garamond"/>
          <w:b/>
          <w:sz w:val="21"/>
        </w:rPr>
        <w:t xml:space="preserve">FDA, </w:t>
      </w:r>
      <w:proofErr w:type="spellStart"/>
      <w:r>
        <w:rPr>
          <w:rFonts w:ascii="Garamond" w:eastAsia="Garamond" w:hAnsi="Garamond" w:cs="Garamond"/>
          <w:b/>
          <w:sz w:val="21"/>
        </w:rPr>
        <w:t>MedPAC</w:t>
      </w:r>
      <w:proofErr w:type="spellEnd"/>
      <w:r>
        <w:rPr>
          <w:rFonts w:ascii="Garamond" w:eastAsia="Garamond" w:hAnsi="Garamond" w:cs="Garamond"/>
          <w:b/>
          <w:sz w:val="21"/>
        </w:rPr>
        <w:t>, CMS, WHO, German DRG, USRDS, and PubMed</w:t>
      </w:r>
    </w:p>
    <w:p w14:paraId="2C4B541E" w14:textId="77777777" w:rsidR="000A116E" w:rsidRDefault="00F5061E">
      <w:pPr>
        <w:pBdr>
          <w:top w:val="single" w:sz="8" w:space="0" w:color="FFFFFF"/>
          <w:bottom w:val="single" w:sz="8" w:space="0" w:color="FFFFFF"/>
        </w:pBdr>
        <w:shd w:val="clear" w:color="auto" w:fill="D9D9D9"/>
        <w:spacing w:after="47"/>
        <w:ind w:left="110" w:hanging="10"/>
      </w:pPr>
      <w:r>
        <w:rPr>
          <w:rFonts w:ascii="Garamond" w:eastAsia="Garamond" w:hAnsi="Garamond" w:cs="Garamond"/>
          <w:b/>
          <w:sz w:val="21"/>
        </w:rPr>
        <w:t>EXTRACURRICULAR  ACTIVITIES</w:t>
      </w:r>
      <w:r>
        <w:rPr>
          <w:rFonts w:ascii="Garamond" w:eastAsia="Garamond" w:hAnsi="Garamond" w:cs="Garamond"/>
          <w:sz w:val="21"/>
        </w:rPr>
        <w:t xml:space="preserve"> </w:t>
      </w:r>
    </w:p>
    <w:p w14:paraId="163E984D" w14:textId="00AD385B" w:rsidR="00F5061E" w:rsidRPr="00F5061E" w:rsidRDefault="00F5061E" w:rsidP="00F5061E">
      <w:pPr>
        <w:numPr>
          <w:ilvl w:val="0"/>
          <w:numId w:val="1"/>
        </w:numPr>
        <w:spacing w:after="27"/>
        <w:ind w:hanging="360"/>
        <w:rPr>
          <w:rFonts w:ascii="Garamond" w:eastAsia="Garamond" w:hAnsi="Garamond" w:cs="Garamond"/>
          <w:b/>
          <w:sz w:val="21"/>
        </w:rPr>
      </w:pPr>
      <w:r>
        <w:rPr>
          <w:rFonts w:ascii="Garamond" w:eastAsia="Garamond" w:hAnsi="Garamond" w:cs="Garamond"/>
          <w:b/>
          <w:sz w:val="21"/>
        </w:rPr>
        <w:t xml:space="preserve">Winner, </w:t>
      </w:r>
      <w:r w:rsidRPr="00F5061E">
        <w:rPr>
          <w:rFonts w:ascii="Garamond" w:eastAsia="Garamond" w:hAnsi="Garamond" w:cs="Garamond"/>
          <w:bCs/>
          <w:sz w:val="21"/>
        </w:rPr>
        <w:t>Pinnacle Cup-2010 and 2011, Mumbai Institute of Management Table Tennis championship among 15 participating business schools across western India</w:t>
      </w:r>
    </w:p>
    <w:p w14:paraId="7B65D93D" w14:textId="77777777" w:rsidR="00F5061E" w:rsidRPr="00F5061E" w:rsidRDefault="00F5061E" w:rsidP="00F5061E">
      <w:pPr>
        <w:numPr>
          <w:ilvl w:val="0"/>
          <w:numId w:val="1"/>
        </w:numPr>
        <w:spacing w:after="144"/>
        <w:ind w:hanging="360"/>
        <w:rPr>
          <w:rFonts w:ascii="Garamond" w:eastAsia="Garamond" w:hAnsi="Garamond" w:cs="Garamond"/>
          <w:sz w:val="21"/>
        </w:rPr>
      </w:pPr>
      <w:r>
        <w:rPr>
          <w:rFonts w:ascii="Garamond" w:eastAsia="Garamond" w:hAnsi="Garamond" w:cs="Garamond"/>
          <w:b/>
          <w:sz w:val="21"/>
        </w:rPr>
        <w:lastRenderedPageBreak/>
        <w:t>Winner</w:t>
      </w:r>
      <w:r>
        <w:rPr>
          <w:rFonts w:ascii="Garamond" w:eastAsia="Garamond" w:hAnsi="Garamond" w:cs="Garamond"/>
          <w:sz w:val="21"/>
        </w:rPr>
        <w:t xml:space="preserve">, </w:t>
      </w:r>
      <w:r w:rsidRPr="00F5061E">
        <w:rPr>
          <w:rFonts w:ascii="Garamond" w:eastAsia="Garamond" w:hAnsi="Garamond" w:cs="Garamond"/>
          <w:sz w:val="21"/>
        </w:rPr>
        <w:t>Champions Trophy-2010 (inter-institutional sports competition between leading management institutes) Table Tennis tournament representing Mumbai Institute of Management</w:t>
      </w:r>
    </w:p>
    <w:p w14:paraId="07B96E86" w14:textId="71E2DBC3" w:rsidR="000A116E" w:rsidRDefault="00F5061E">
      <w:pPr>
        <w:pStyle w:val="Heading1"/>
        <w:tabs>
          <w:tab w:val="center" w:pos="2381"/>
          <w:tab w:val="center" w:pos="9398"/>
        </w:tabs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</w:r>
    </w:p>
    <w:sectPr w:rsidR="000A116E">
      <w:pgSz w:w="11900" w:h="16840"/>
      <w:pgMar w:top="1152" w:right="443" w:bottom="1440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40625"/>
    <w:multiLevelType w:val="hybridMultilevel"/>
    <w:tmpl w:val="DBA4D526"/>
    <w:lvl w:ilvl="0" w:tplc="AF42E6DC">
      <w:start w:val="1"/>
      <w:numFmt w:val="bullet"/>
      <w:lvlText w:val="§"/>
      <w:lvlJc w:val="left"/>
      <w:pPr>
        <w:ind w:left="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CE6D4E">
      <w:start w:val="1"/>
      <w:numFmt w:val="bullet"/>
      <w:lvlText w:val="o"/>
      <w:lvlJc w:val="left"/>
      <w:pPr>
        <w:ind w:left="2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D447DE">
      <w:start w:val="1"/>
      <w:numFmt w:val="bullet"/>
      <w:lvlText w:val="▪"/>
      <w:lvlJc w:val="left"/>
      <w:pPr>
        <w:ind w:left="3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7C2EC0">
      <w:start w:val="1"/>
      <w:numFmt w:val="bullet"/>
      <w:lvlText w:val="•"/>
      <w:lvlJc w:val="left"/>
      <w:pPr>
        <w:ind w:left="3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D07B34">
      <w:start w:val="1"/>
      <w:numFmt w:val="bullet"/>
      <w:lvlText w:val="o"/>
      <w:lvlJc w:val="left"/>
      <w:pPr>
        <w:ind w:left="4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66AD04">
      <w:start w:val="1"/>
      <w:numFmt w:val="bullet"/>
      <w:lvlText w:val="▪"/>
      <w:lvlJc w:val="left"/>
      <w:pPr>
        <w:ind w:left="5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E4ACD0">
      <w:start w:val="1"/>
      <w:numFmt w:val="bullet"/>
      <w:lvlText w:val="•"/>
      <w:lvlJc w:val="left"/>
      <w:pPr>
        <w:ind w:left="6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ACFEBC">
      <w:start w:val="1"/>
      <w:numFmt w:val="bullet"/>
      <w:lvlText w:val="o"/>
      <w:lvlJc w:val="left"/>
      <w:pPr>
        <w:ind w:left="6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54F70C">
      <w:start w:val="1"/>
      <w:numFmt w:val="bullet"/>
      <w:lvlText w:val="▪"/>
      <w:lvlJc w:val="left"/>
      <w:pPr>
        <w:ind w:left="7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7A72ED"/>
    <w:multiLevelType w:val="hybridMultilevel"/>
    <w:tmpl w:val="985EBBE4"/>
    <w:lvl w:ilvl="0" w:tplc="B41AD1B0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3CDAAA">
      <w:start w:val="1"/>
      <w:numFmt w:val="bullet"/>
      <w:lvlText w:val="o"/>
      <w:lvlJc w:val="left"/>
      <w:pPr>
        <w:ind w:left="1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EE359E">
      <w:start w:val="1"/>
      <w:numFmt w:val="bullet"/>
      <w:lvlText w:val="▪"/>
      <w:lvlJc w:val="left"/>
      <w:pPr>
        <w:ind w:left="1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087098">
      <w:start w:val="1"/>
      <w:numFmt w:val="bullet"/>
      <w:lvlText w:val="•"/>
      <w:lvlJc w:val="left"/>
      <w:pPr>
        <w:ind w:left="2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DA137A">
      <w:start w:val="1"/>
      <w:numFmt w:val="bullet"/>
      <w:lvlText w:val="o"/>
      <w:lvlJc w:val="left"/>
      <w:pPr>
        <w:ind w:left="3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66C656">
      <w:start w:val="1"/>
      <w:numFmt w:val="bullet"/>
      <w:lvlText w:val="▪"/>
      <w:lvlJc w:val="left"/>
      <w:pPr>
        <w:ind w:left="4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CE691A">
      <w:start w:val="1"/>
      <w:numFmt w:val="bullet"/>
      <w:lvlText w:val="•"/>
      <w:lvlJc w:val="left"/>
      <w:pPr>
        <w:ind w:left="4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92BDF6">
      <w:start w:val="1"/>
      <w:numFmt w:val="bullet"/>
      <w:lvlText w:val="o"/>
      <w:lvlJc w:val="left"/>
      <w:pPr>
        <w:ind w:left="5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72E934">
      <w:start w:val="1"/>
      <w:numFmt w:val="bullet"/>
      <w:lvlText w:val="▪"/>
      <w:lvlJc w:val="left"/>
      <w:pPr>
        <w:ind w:left="6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112152">
    <w:abstractNumId w:val="0"/>
  </w:num>
  <w:num w:numId="2" w16cid:durableId="28489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6E"/>
    <w:rsid w:val="000A116E"/>
    <w:rsid w:val="007E6784"/>
    <w:rsid w:val="00AA0BED"/>
    <w:rsid w:val="00E42AEF"/>
    <w:rsid w:val="00F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F028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57"/>
      <w:jc w:val="center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A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AEF"/>
    <w:rPr>
      <w:rFonts w:ascii="Consolas" w:eastAsia="Calibri" w:hAnsi="Consolas" w:cs="Calibri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2A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Dr. Kunal_Dhamesha resume.docx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Dr. Kunal_Dhamesha resume.docx</dc:title>
  <dc:subject/>
  <dc:creator>Kim, Sammie</dc:creator>
  <cp:keywords/>
  <cp:lastModifiedBy>Kim, Sammie</cp:lastModifiedBy>
  <cp:revision>3</cp:revision>
  <dcterms:created xsi:type="dcterms:W3CDTF">2025-10-02T19:54:00Z</dcterms:created>
  <dcterms:modified xsi:type="dcterms:W3CDTF">2025-10-02T20:06:00Z</dcterms:modified>
</cp:coreProperties>
</file>