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Data Center Deal Comparables</w:t>
      </w:r>
    </w:p>
    <w:p>
      <w:pPr>
        <w:spacing w:after="160"/>
      </w:pPr>
      <w:r>
        <w:rPr>
          <w:i/>
          <w:sz w:val="20"/>
        </w:rPr>
        <w:t>Selected U.S. benchmarks for host-community negotiations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Deal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MW basis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Taxes / PILOT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Community value and timing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Power and infrastructure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Water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Neighbor protections</w:t>
            </w:r>
          </w:p>
        </w:tc>
        <w:tc>
          <w:tcPr>
            <w:tcW w:type="dxa" w:w="1800"/>
            <w:shd w:val="clear" w:fill="404040"/>
          </w:tcPr>
          <w:p>
            <w:r/>
            <w:r>
              <w:rPr>
                <w:b/>
                <w:color w:val="FFFFFF"/>
                <w:sz w:val="16"/>
              </w:rPr>
              <w:t>Transparency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5"/>
              </w:rPr>
              <w:t>DeForest, WI — QTS (negotiated terms; project collapsed)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Not publicly disclosed ($12B campus, up to 1,600 acres)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Contractual minimum taxable-value floor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$50M community fund (education, housing, workforce)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Developer pays 100% of project grid infrastructure; 750 MW new renewables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Private-well guarantees, quarter-mile setback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Buyout at 110% of assessed value for materially affected homes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Secret process; deal died when terms surfaced</w:t>
            </w:r>
          </w:p>
        </w:tc>
      </w:tr>
      <w:tr>
        <w:tc>
          <w:tcPr>
            <w:tcW w:type="dxa" w:w="1800"/>
            <w:shd w:val="clear" w:fill="F2F2F2"/>
          </w:tcPr>
          <w:p>
            <w:r/>
            <w:r>
              <w:rPr>
                <w:b/>
                <w:sz w:val="15"/>
              </w:rPr>
              <w:t>West Feliciana Parish, LA — Hut 8 (executed agreement)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330 MW contracted utility demand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PILOT/lease structure via parish Industrial Development Board (not full taxation); developer-donated property leased back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~$90M/yr projected PILOT revenue (about $273,000 per MW of contracted utility demand per year); property-tax credits to households authorized by state law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Developer-funded substation and generation; ratepayer protections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Closed-loop recycling, no aquifer impact; $16M wells and mains deeded to public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No standalone terms publicly documented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No NDA; parish publicly pitches the deal as the model</w:t>
            </w:r>
          </w:p>
        </w:tc>
      </w:tr>
      <w:tr>
        <w:tc>
          <w:tcPr>
            <w:tcW w:type="dxa" w:w="1800"/>
          </w:tcPr>
          <w:p>
            <w:r/>
            <w:r>
              <w:rPr>
                <w:b/>
                <w:sz w:val="15"/>
              </w:rPr>
              <w:t>STAMP campus, Genesee County, NY — Stream (proposal stage)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500 MW reported demand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Requested exemptions per GCEDC's March 2026 cost-benefit analysis (Stream US Data Centers LLC): about $1.43B in sales-tax exemptions (roughly $716M local plus roughly $716M state) and about $31.2M in mortgage-tax exemptions (roughly $15.6M local plus roughly $15.6M state); $285M PILOT over 30 years. (Stream says the sales-tax request is a failsafe if the state internet-data-center exemption does not apply.)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~$9.5M/yr PILOT and host payments over 30 years (about $19,000/MW/yr); ~125 permanent jobs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Not publicly detailed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Not publicly detailed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Not publicly detailed</w:t>
            </w:r>
          </w:p>
        </w:tc>
        <w:tc>
          <w:tcPr>
            <w:tcW w:type="dxa" w:w="1800"/>
          </w:tcPr>
          <w:p>
            <w:r/>
            <w:r>
              <w:rPr>
                <w:sz w:val="15"/>
              </w:rPr>
              <w:t>The cautionary case for negotiating late</w:t>
            </w:r>
          </w:p>
        </w:tc>
      </w:tr>
      <w:tr>
        <w:tc>
          <w:tcPr>
            <w:tcW w:type="dxa" w:w="1800"/>
            <w:shd w:val="clear" w:fill="F2F2F2"/>
          </w:tcPr>
          <w:p>
            <w:r/>
            <w:r>
              <w:rPr>
                <w:b/>
                <w:sz w:val="15"/>
              </w:rPr>
              <w:t>New York State Host Community Investment Framework (voluntary guidance, Sept 2026)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Per MW of utility demand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Recommends at least $1M in community investment per MW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Benchmark, not a payment; flexible upfront-or-lifetime investment target negotiated locally (not necessarily cash to the host community)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Guidance only; terms set locally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sz w:val="15"/>
              </w:rPr>
              <w:t>—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