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C47EB" w14:textId="77777777" w:rsidR="00FE0382" w:rsidRDefault="00652DDD">
      <w:pPr>
        <w:pStyle w:val="Heading1"/>
        <w:rPr>
          <w:color w:val="0066CC"/>
        </w:rPr>
      </w:pPr>
      <w:r>
        <w:rPr>
          <w:color w:val="0066CC"/>
        </w:rPr>
        <w:t xml:space="preserve">                                    </w:t>
      </w:r>
      <w:r w:rsidR="008D4975">
        <w:rPr>
          <w:color w:val="0066CC"/>
        </w:rPr>
        <w:t>Statement of Applicability (</w:t>
      </w:r>
      <w:proofErr w:type="spellStart"/>
      <w:r w:rsidR="008D4975">
        <w:rPr>
          <w:color w:val="0066CC"/>
        </w:rPr>
        <w:t>SoA</w:t>
      </w:r>
      <w:proofErr w:type="spellEnd"/>
      <w:r w:rsidR="008D4975">
        <w:rPr>
          <w:color w:val="0066CC"/>
        </w:rPr>
        <w:t>)</w:t>
      </w:r>
    </w:p>
    <w:p w14:paraId="734FDDC8" w14:textId="77777777" w:rsidR="00652DDD" w:rsidRPr="00652DDD" w:rsidRDefault="00652DDD" w:rsidP="00652DDD"/>
    <w:p w14:paraId="59FC3292" w14:textId="77777777" w:rsidR="00FE0382" w:rsidRDefault="008D4975">
      <w:r>
        <w:rPr>
          <w:b/>
          <w:color w:val="333333"/>
          <w:sz w:val="24"/>
        </w:rPr>
        <w:t>Purpose</w:t>
      </w:r>
    </w:p>
    <w:p w14:paraId="3B2D010D" w14:textId="77777777" w:rsidR="00FE0382" w:rsidRDefault="008D4975">
      <w:pPr>
        <w:ind w:left="240"/>
      </w:pPr>
      <w:r>
        <w:t>The Statement of Applicability (SoA) defines the set of security controls selected from ISO/IEC 27001:2022 Annex A that are applicable to the organization’s Information Security Management System (ISMS).</w:t>
      </w:r>
    </w:p>
    <w:p w14:paraId="488E2CC9" w14:textId="77777777" w:rsidR="00FE0382" w:rsidRDefault="008D4975">
      <w:r>
        <w:rPr>
          <w:b/>
          <w:color w:val="333333"/>
          <w:sz w:val="24"/>
        </w:rPr>
        <w:t>Basis for Control Selection</w:t>
      </w:r>
    </w:p>
    <w:p w14:paraId="1158E56D" w14:textId="77777777" w:rsidR="00FE0382" w:rsidRDefault="008D4975">
      <w:pPr>
        <w:ind w:left="240"/>
      </w:pPr>
      <w:r>
        <w:t>The selection of controls is based on:</w:t>
      </w:r>
      <w:r>
        <w:br/>
        <w:t>• Business and operational requirements</w:t>
      </w:r>
      <w:r>
        <w:br/>
        <w:t>• Regulatory and contractual obligations</w:t>
      </w:r>
      <w:r>
        <w:br/>
        <w:t>• Results of the information security risk assessment</w:t>
      </w:r>
      <w:r>
        <w:br/>
        <w:t>• Expectations of interested parties</w:t>
      </w:r>
    </w:p>
    <w:p w14:paraId="1A66483D" w14:textId="77777777" w:rsidR="00FE0382" w:rsidRDefault="008D4975">
      <w:r>
        <w:rPr>
          <w:b/>
          <w:color w:val="333333"/>
          <w:sz w:val="24"/>
        </w:rPr>
        <w:t>Control Applicability</w:t>
      </w:r>
    </w:p>
    <w:p w14:paraId="60EE0421" w14:textId="77777777" w:rsidR="00FE0382" w:rsidRDefault="008D4975">
      <w:pPr>
        <w:ind w:left="240"/>
      </w:pPr>
      <w:r>
        <w:t>Each control from Annex A is evaluated and marked as either:</w:t>
      </w:r>
      <w:r>
        <w:br/>
        <w:t>• Applicable – Control is required and implemented</w:t>
      </w:r>
      <w:r>
        <w:br/>
        <w:t>• Not Applicable – Control is excluded with documented justification</w:t>
      </w:r>
    </w:p>
    <w:p w14:paraId="26215A21" w14:textId="77777777" w:rsidR="00FE0382" w:rsidRDefault="008D4975">
      <w:r>
        <w:rPr>
          <w:b/>
          <w:color w:val="333333"/>
          <w:sz w:val="24"/>
        </w:rPr>
        <w:t>Implementation Approach</w:t>
      </w:r>
    </w:p>
    <w:p w14:paraId="688B6C4B" w14:textId="77777777" w:rsidR="00FE0382" w:rsidRDefault="008D4975">
      <w:pPr>
        <w:ind w:left="240"/>
      </w:pPr>
      <w:r>
        <w:t>Applicable controls are implemented through:</w:t>
      </w:r>
      <w:r>
        <w:br/>
        <w:t>• Information security policies</w:t>
      </w:r>
      <w:r>
        <w:br/>
        <w:t>• Technical safeguards (e.g., access control, encryption)</w:t>
      </w:r>
      <w:r>
        <w:br/>
        <w:t>• Operational procedures and monitoring mechanisms</w:t>
      </w:r>
    </w:p>
    <w:p w14:paraId="47C65DF3" w14:textId="77777777" w:rsidR="00FE0382" w:rsidRDefault="008D4975">
      <w:r>
        <w:rPr>
          <w:b/>
          <w:color w:val="333333"/>
          <w:sz w:val="24"/>
        </w:rPr>
        <w:t>Governance and Maintenance</w:t>
      </w:r>
    </w:p>
    <w:p w14:paraId="200F11EA" w14:textId="77777777" w:rsidR="00FE0382" w:rsidRDefault="008D4975">
      <w:pPr>
        <w:ind w:left="240"/>
      </w:pPr>
      <w:r>
        <w:t>The SoA is reviewed periodically and updated whenever:</w:t>
      </w:r>
      <w:r>
        <w:br/>
        <w:t>• New risks are identified</w:t>
      </w:r>
      <w:r>
        <w:br/>
        <w:t>• Significant business or technology changes occur</w:t>
      </w:r>
      <w:r>
        <w:br/>
        <w:t>• Regulatory or contractual requirements change</w:t>
      </w:r>
    </w:p>
    <w:p w14:paraId="7D2F014A" w14:textId="77777777" w:rsidR="00FE0382" w:rsidRDefault="008D4975">
      <w:r>
        <w:rPr>
          <w:b/>
          <w:color w:val="333333"/>
          <w:sz w:val="24"/>
        </w:rPr>
        <w:t>Role in Certification</w:t>
      </w:r>
    </w:p>
    <w:p w14:paraId="0F51786F" w14:textId="77777777" w:rsidR="00FE0382" w:rsidRDefault="008D4975">
      <w:pPr>
        <w:ind w:left="240"/>
      </w:pPr>
      <w:r>
        <w:t>The SoA serves as a key reference document for:</w:t>
      </w:r>
      <w:r>
        <w:br/>
        <w:t>• ISO/IEC 27001 certification audits</w:t>
      </w:r>
      <w:r>
        <w:br/>
        <w:t>• Internal audits and management reviews</w:t>
      </w:r>
      <w:r>
        <w:br/>
        <w:t>• Demonstrating alignment between risk treatment and control implementation</w:t>
      </w:r>
    </w:p>
    <w:sectPr w:rsidR="00FE03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9201455">
    <w:abstractNumId w:val="8"/>
  </w:num>
  <w:num w:numId="2" w16cid:durableId="867723034">
    <w:abstractNumId w:val="6"/>
  </w:num>
  <w:num w:numId="3" w16cid:durableId="1876959685">
    <w:abstractNumId w:val="5"/>
  </w:num>
  <w:num w:numId="4" w16cid:durableId="1980262902">
    <w:abstractNumId w:val="4"/>
  </w:num>
  <w:num w:numId="5" w16cid:durableId="439646211">
    <w:abstractNumId w:val="7"/>
  </w:num>
  <w:num w:numId="6" w16cid:durableId="374089753">
    <w:abstractNumId w:val="3"/>
  </w:num>
  <w:num w:numId="7" w16cid:durableId="1727559732">
    <w:abstractNumId w:val="2"/>
  </w:num>
  <w:num w:numId="8" w16cid:durableId="430442581">
    <w:abstractNumId w:val="1"/>
  </w:num>
  <w:num w:numId="9" w16cid:durableId="1256329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C6D"/>
    <w:rsid w:val="0006063C"/>
    <w:rsid w:val="0015074B"/>
    <w:rsid w:val="0029639D"/>
    <w:rsid w:val="00326F90"/>
    <w:rsid w:val="00652DDD"/>
    <w:rsid w:val="008D4975"/>
    <w:rsid w:val="00AA1D8D"/>
    <w:rsid w:val="00B47730"/>
    <w:rsid w:val="00CB0664"/>
    <w:rsid w:val="00FC693F"/>
    <w:rsid w:val="00FE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F91376"/>
  <w14:defaultImageDpi w14:val="300"/>
  <w15:docId w15:val="{B39B1218-2E7A-41A8-82B6-670699281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SAHIL CHAURASIA</cp:lastModifiedBy>
  <cp:revision>2</cp:revision>
  <dcterms:created xsi:type="dcterms:W3CDTF">2026-02-03T21:17:00Z</dcterms:created>
  <dcterms:modified xsi:type="dcterms:W3CDTF">2026-02-03T21:17:00Z</dcterms:modified>
  <cp:category/>
</cp:coreProperties>
</file>