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C78FC" w:rsidRPr="008C78FC" w:rsidRDefault="008C78FC" w:rsidP="008C78FC">
      <w:pPr>
        <w:spacing w:after="0" w:line="240" w:lineRule="auto"/>
        <w:jc w:val="center"/>
        <w:rPr>
          <w:rFonts w:eastAsia="Times New Roman"/>
          <w:sz w:val="32"/>
          <w:szCs w:val="20"/>
        </w:rPr>
      </w:pPr>
      <w:r>
        <w:rPr>
          <w:sz w:val="16"/>
          <w:highlight w:val="yellow"/>
        </w:rPr>
        <w:t xml:space="preserve">REVISION COPY — colour key: </w:t>
      </w:r>
      <w:r>
        <w:rPr>
          <w:sz w:val="16"/>
          <w:highlight w:val="yellow"/>
        </w:rPr>
        <w:t xml:space="preserve">yellow = correction of an error or unsupported claim; </w:t>
      </w:r>
      <w:r>
        <w:rPr>
          <w:sz w:val="16"/>
          <w:highlight w:val="green"/>
        </w:rPr>
        <w:t xml:space="preserve">green = new content added in response to the reviewers; </w:t>
      </w:r>
      <w:r>
        <w:rPr>
          <w:sz w:val="16"/>
          <w:highlight w:val="cyan"/>
        </w:rPr>
        <w:t xml:space="preserve">turquoise = reworded claim, softened wording or renamed term (Recall@1 → Success@1; tables renumbered after the new Table 1). </w:t>
      </w:r>
      <w:r>
        <w:rPr>
          <w:sz w:val="16"/>
          <w:highlight w:val="yellow"/>
        </w:rPr>
        <w:t>Each change carries a comment naming the reviewer point. Accept the highlights, delete the comments and this note before submission.</w:t>
      </w:r>
    </w:p>
    <w:p w:rsidR="00785FC5" w:rsidRDefault="00785FC5" w:rsidP="00910C6C">
      <w:pPr>
        <w:spacing w:after="380" w:line="240" w:lineRule="auto"/>
        <w:jc w:val="center"/>
        <w:rPr>
          <w:rFonts w:eastAsia="Times New Roman"/>
          <w:sz w:val="35"/>
        </w:rPr>
      </w:pPr>
      <w:r w:rsidRPr="00785FC5">
        <w:rPr>
          <w:rFonts w:eastAsia="Times New Roman"/>
          <w:sz w:val="35"/>
        </w:rPr>
        <w:t xml:space="preserve">The Code-Mixing Penalty and the Reference Problem: </w:t>
      </w:r>
      <w:r>
        <w:rPr>
          <w:rFonts w:eastAsia="Times New Roman"/>
          <w:sz w:val="35"/>
        </w:rPr>
        <w:t xml:space="preserve">                  </w:t>
      </w:r>
      <w:r w:rsidRPr="00785FC5">
        <w:rPr>
          <w:rFonts w:eastAsia="Times New Roman"/>
          <w:sz w:val="35"/>
        </w:rPr>
        <w:t xml:space="preserve">A Measurement Study of Hinglish Clinical </w:t>
      </w:r>
      <w:r w:rsidR="00910C6C">
        <w:rPr>
          <w:rFonts w:eastAsia="Times New Roman"/>
          <w:sz w:val="35"/>
        </w:rPr>
        <w:t xml:space="preserve">                             </w:t>
      </w:r>
      <w:r w:rsidRPr="00785FC5">
        <w:rPr>
          <w:rFonts w:eastAsia="Times New Roman"/>
          <w:sz w:val="35"/>
        </w:rPr>
        <w:t>Retrieval-Augmented Generation</w:t>
      </w:r>
    </w:p>
    <w:p w:rsidR="00785FC5" w:rsidRPr="008C78FC" w:rsidRDefault="00785FC5" w:rsidP="008C78FC">
      <w:pPr>
        <w:spacing w:after="0" w:line="276" w:lineRule="auto"/>
        <w:jc w:val="center"/>
        <w:rPr>
          <w:rFonts w:eastAsia="Times New Roman"/>
          <w:sz w:val="28"/>
          <w:szCs w:val="20"/>
        </w:rPr>
      </w:pPr>
    </w:p>
    <w:p w:rsidR="00AD0E67" w:rsidRDefault="00871784" w:rsidP="008C78FC">
      <w:pPr>
        <w:spacing w:before="240" w:line="276" w:lineRule="auto"/>
        <w:jc w:val="center"/>
        <w:rPr>
          <w:rFonts w:eastAsia="Times New Roman"/>
          <w:sz w:val="22"/>
          <w:vertAlign w:val="superscript"/>
        </w:rPr>
      </w:pPr>
      <w:proofErr w:type="spellStart"/>
      <w:r>
        <w:rPr>
          <w:rFonts w:eastAsia="Times New Roman"/>
          <w:sz w:val="22"/>
        </w:rPr>
        <w:t>Devika</w:t>
      </w:r>
      <w:proofErr w:type="spellEnd"/>
      <w:r w:rsidR="00651BF3">
        <w:rPr>
          <w:rFonts w:eastAsia="Times New Roman"/>
          <w:sz w:val="22"/>
        </w:rPr>
        <w:t xml:space="preserve"> Jonjale¹*</w:t>
      </w:r>
      <w:r w:rsidR="00556B55" w:rsidRPr="009961F1">
        <w:rPr>
          <w:rFonts w:eastAsia="Times New Roman"/>
          <w:sz w:val="22"/>
          <w:vertAlign w:val="superscript"/>
        </w:rPr>
        <w:t>†</w:t>
      </w:r>
      <w:r w:rsidR="009961F1">
        <w:rPr>
          <w:rFonts w:eastAsia="Times New Roman"/>
          <w:sz w:val="22"/>
        </w:rPr>
        <w:t xml:space="preserve"> and Saachi Shinde¹*</w:t>
      </w:r>
      <w:r w:rsidR="009961F1" w:rsidRPr="009961F1">
        <w:rPr>
          <w:rFonts w:eastAsia="Times New Roman"/>
          <w:sz w:val="22"/>
          <w:vertAlign w:val="superscript"/>
        </w:rPr>
        <w:t>†</w:t>
      </w:r>
    </w:p>
    <w:p w:rsidR="008C78FC" w:rsidRDefault="008C78FC" w:rsidP="008C78FC">
      <w:pPr>
        <w:spacing w:line="276" w:lineRule="auto"/>
        <w:jc w:val="center"/>
      </w:pPr>
      <w:commentRangeStart w:id="51"/>
      <w:r w:rsidRPr="008C78FC">
        <w:rPr>
          <w:rFonts w:eastAsia="Times New Roman"/>
          <w:sz w:val="22"/>
        </w:rPr>
        <w:t xml:space="preserve">Mentor: Prof. Dr. Rajesh </w:t>
      </w:r>
      <w:commentRangeEnd w:id="51"/>
      <w:r>
        <w:rPr>
          <w:rStyle w:val="CommentReference"/>
        </w:rPr>
        <w:commentReference w:id="51"/>
      </w:r>
      <w:proofErr w:type="spellStart"/>
      <w:r w:rsidRPr="008C78FC">
        <w:rPr>
          <w:rFonts w:eastAsia="Times New Roman"/>
          <w:sz w:val="22"/>
        </w:rPr>
        <w:t>Maurya</w:t>
      </w:r>
      <w:proofErr w:type="spellEnd"/>
    </w:p>
    <w:p w:rsidR="00651BF3" w:rsidRDefault="00871784" w:rsidP="008C78FC">
      <w:pPr>
        <w:spacing w:before="240" w:after="0" w:line="276" w:lineRule="auto"/>
        <w:jc w:val="center"/>
        <w:rPr>
          <w:rFonts w:eastAsia="Times New Roman"/>
        </w:rPr>
      </w:pPr>
      <w:r>
        <w:rPr>
          <w:rFonts w:eastAsia="Times New Roman"/>
        </w:rPr>
        <w:t>¹M.Sc. Data Science,</w:t>
      </w:r>
    </w:p>
    <w:p w:rsidR="00AD0E67" w:rsidRDefault="00871784" w:rsidP="00093712">
      <w:pPr>
        <w:spacing w:after="0" w:line="276" w:lineRule="auto"/>
        <w:jc w:val="center"/>
        <w:rPr>
          <w:rFonts w:eastAsia="Times New Roman"/>
        </w:rPr>
      </w:pPr>
      <w:r>
        <w:rPr>
          <w:rFonts w:eastAsia="Times New Roman"/>
        </w:rPr>
        <w:t xml:space="preserve">NMIMS </w:t>
      </w:r>
      <w:proofErr w:type="spellStart"/>
      <w:r>
        <w:rPr>
          <w:rFonts w:eastAsia="Times New Roman"/>
        </w:rPr>
        <w:t>Nilkamal</w:t>
      </w:r>
      <w:proofErr w:type="spellEnd"/>
      <w:r>
        <w:rPr>
          <w:rFonts w:eastAsia="Times New Roman"/>
        </w:rPr>
        <w:t xml:space="preserve"> School of Mathematics, Applied Statistics &amp; Analytics, Mumbai, India.</w:t>
      </w:r>
    </w:p>
    <w:p w:rsidR="00AD0E67" w:rsidRDefault="00871784" w:rsidP="00093712">
      <w:pPr>
        <w:spacing w:before="340" w:after="0" w:line="276" w:lineRule="auto"/>
        <w:jc w:val="center"/>
        <w:rPr>
          <w:rFonts w:eastAsia="Times New Roman"/>
        </w:rPr>
      </w:pPr>
      <w:r>
        <w:rPr>
          <w:rFonts w:eastAsia="Times New Roman"/>
        </w:rPr>
        <w:t xml:space="preserve">*Corresponding authors. E-mails: </w:t>
      </w:r>
      <w:hyperlink r:id="rId8">
        <w:r>
          <w:rPr>
            <w:color w:val="0000FF"/>
            <w:u w:val="single"/>
          </w:rPr>
          <w:t>devikajonjale04@gmail.com</w:t>
        </w:r>
      </w:hyperlink>
      <w:r>
        <w:rPr>
          <w:rFonts w:eastAsia="Times New Roman"/>
        </w:rPr>
        <w:t xml:space="preserve">; </w:t>
      </w:r>
      <w:hyperlink r:id="rId9">
        <w:r>
          <w:rPr>
            <w:color w:val="0000FF"/>
            <w:u w:val="single"/>
          </w:rPr>
          <w:t>saachi.shinde28@gmail.com</w:t>
        </w:r>
      </w:hyperlink>
      <w:r>
        <w:rPr>
          <w:rFonts w:eastAsia="Times New Roman"/>
        </w:rPr>
        <w:t>.</w:t>
      </w:r>
    </w:p>
    <w:p w:rsidR="00095A29" w:rsidRDefault="00095A29" w:rsidP="00093712">
      <w:pPr>
        <w:spacing w:after="0" w:line="276" w:lineRule="auto"/>
        <w:jc w:val="center"/>
      </w:pPr>
      <w:r>
        <w:t xml:space="preserve">† </w:t>
      </w:r>
      <w:r w:rsidRPr="00095A29">
        <w:rPr>
          <w:rFonts w:eastAsia="Times New Roman"/>
        </w:rPr>
        <w:t>Both</w:t>
      </w:r>
      <w:r w:rsidRPr="00095A29">
        <w:t xml:space="preserve"> authors contributed equally to this work. Author order is alphabetical.</w:t>
      </w:r>
    </w:p>
    <w:p w:rsidR="00AD0E67" w:rsidRDefault="00871784">
      <w:pPr>
        <w:spacing w:before="480" w:after="60"/>
        <w:jc w:val="center"/>
      </w:pPr>
      <w:r>
        <w:rPr>
          <w:rFonts w:eastAsia="Times New Roman"/>
          <w:b/>
          <w:sz w:val="21"/>
        </w:rPr>
        <w:t>Abstract</w:t>
      </w:r>
    </w:p>
    <w:p w:rsidR="00AD0E67" w:rsidRPr="00C64A8F" w:rsidRDefault="00871784" w:rsidP="00C64A8F">
      <w:pPr>
        <w:spacing w:after="140" w:line="224" w:lineRule="exact"/>
        <w:ind w:left="605" w:right="605"/>
        <w:rPr>
          <w:rFonts w:eastAsia="Times New Roman"/>
          <w:szCs w:val="24"/>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eastAsia="Times New Roman"/>
          <w:szCs w:val="24"/>
        </w:rPr>
        <w:t xml:space="preserve">Patients in multilingual communities routinely describe symptoms in romanised, code-switched language, while the clinical literature that could answer them is written in formal English. We present a measurement study of retrieval-augmented generation (RAG) for Hinglish patient questions grounded in English clinical case reports, built on 3,015 query–case pairs that link the MMCQS question set to the MultiCaRe corpus through a label-leakage gate. </w:t>
      </w:r>
      <w:commentRangeStart w:id="0"/>
      <w:r>
        <w:rPr>
          <w:rFonts w:eastAsia="Times New Roman"/>
          <w:szCs w:val="24"/>
          <w:highlight w:val="cyan"/>
        </w:rPr>
        <w:t xml:space="preserve">Four pre-specified null hypotheses are tested. </w:t>
      </w:r>
      <w:commentRangeEnd w:id="0"/>
      <w:r>
        <w:rPr>
          <w:rStyle w:val="CommentReference"/>
        </w:rPr>
        <w:commentReference w:id="0"/>
      </w:r>
      <w:r>
        <w:rPr>
          <w:rFonts w:eastAsia="Times New Roman"/>
          <w:szCs w:val="24"/>
          <w:highlight w:val="green"/>
        </w:rPr>
        <w:t xml:space="preserve">Code-mixing imposes a retrieval penalty that is positive in all 28 system–metric combinations tested and significant in 26, </w:t>
      </w:r>
      <w:r>
        <w:rPr>
          <w:rFonts w:eastAsia="Times New Roman"/>
          <w:szCs w:val="24"/>
        </w:rPr>
        <w:t>roughly 4.4 times larger for lexical retrieval than for dense cross-lingual embedding</w:t>
      </w:r>
      <w:r>
        <w:rPr>
          <w:rFonts w:eastAsia="Times New Roman"/>
          <w:szCs w:val="24"/>
          <w:highlight w:val="green"/>
        </w:rPr>
        <w:t xml:space="preserve"> at rank 1 and wider at depth</w:t>
      </w:r>
      <w:r>
        <w:rPr>
          <w:rFonts w:eastAsia="Times New Roman"/>
          <w:szCs w:val="24"/>
        </w:rPr>
        <w:t>: BM25 is the best system on English queries and the worst on Hinglish. MuRIL, pretrained on Devanagari Hindi, retrieves at chance on romanised input</w:t>
      </w:r>
      <w:r>
        <w:rPr>
          <w:rFonts w:eastAsia="Times New Roman"/>
          <w:szCs w:val="24"/>
          <w:highlight w:val="green"/>
        </w:rPr>
        <w:t xml:space="preserve">, and transliterating the queries into Devanagari recovers only 6.5% of its gap; translating them into English helps dense retrieval but harms lexical retrieval, because the English arm of the comparison is a clinician-written summary rather than a translation. </w:t>
      </w:r>
      <w:r>
        <w:rPr>
          <w:rFonts w:eastAsia="Times New Roman"/>
          <w:szCs w:val="24"/>
          <w:highlight w:val="yellow"/>
        </w:rPr>
        <w:t xml:space="preserve">Scored against the evidence it was given, grounding significantly increases concept precision; scored against a reference neither arm saw, the gain shrinks or disappears, so it is reported as a reference-dependent effect rather than a general improvement in answer quality. Grounded factual support is stable across code-mixing intensity while the ungrounded arm degrades. </w:t>
      </w:r>
      <w:r>
        <w:rPr>
          <w:rFonts w:eastAsia="Times New Roman"/>
          <w:szCs w:val="24"/>
        </w:rPr>
        <w:t xml:space="preserve">Evidence provenance significantly changes refusal behaviour (Cochran’s Q = 9.09, p = 0.028), but its effect on answer quality </w:t>
      </w:r>
      <w:r>
        <w:rPr>
          <w:rFonts w:eastAsia="Times New Roman"/>
          <w:szCs w:val="24"/>
          <w:highlight w:val="yellow"/>
        </w:rPr>
        <w:t xml:space="preserve">could not be tested adequately and remains provisional. </w:t>
      </w:r>
      <w:r>
        <w:rPr>
          <w:rFonts w:eastAsia="Times New Roman"/>
          <w:szCs w:val="24"/>
        </w:rPr>
        <w:t>All the corrections, negative results, and the evaluation hazards are given in full.</w:t>
      </w:r>
    </w:p>
    <w:p w:rsidR="00AD0E67" w:rsidRDefault="00871784">
      <w:pPr>
        <w:spacing w:after="480" w:line="220" w:lineRule="exact"/>
        <w:ind w:left="605" w:right="605"/>
        <w:jc w:val="left"/>
        <w:rPr>
          <w:rFonts w:eastAsia="Times New Roman"/>
          <w:szCs w:val="24"/>
        </w:rPr>
      </w:pPr>
      <w:r w:rsidRPr="00651BF3">
        <w:rPr>
          <w:rFonts w:eastAsia="Times New Roman"/>
          <w:b/>
          <w:szCs w:val="24"/>
        </w:rPr>
        <w:t xml:space="preserve">Keywords: </w:t>
      </w:r>
      <w:r w:rsidRPr="00651BF3">
        <w:rPr>
          <w:rFonts w:eastAsia="Times New Roman"/>
          <w:szCs w:val="24"/>
        </w:rPr>
        <w:t>Hinglish, code-mixing, retrieval-augmented generation, clinical question answering, cross-lingual retrieval, evaluation methodology</w:t>
      </w:r>
      <w:r w:rsidR="00D626F3">
        <w:rPr>
          <w:rFonts w:eastAsia="Times New Roman"/>
          <w:szCs w:val="24"/>
        </w:rPr>
        <w:t>.</w:t>
      </w:r>
    </w:p>
    <w:p w:rsidR="00AD0E67" w:rsidRDefault="00871784">
      <w:pPr>
        <w:pStyle w:val="ICCSDIHeading1"/>
      </w:pPr>
      <w:r>
        <w:rPr>
          <w:rFonts w:eastAsia="Times New Roman"/>
        </w:rPr>
        <w:t>1</w:t>
      </w:r>
      <w:r w:rsidR="00330BC1">
        <w:rPr>
          <w:rFonts w:eastAsia="Times New Roman"/>
        </w:rPr>
        <w:t>.</w:t>
      </w:r>
      <w:r>
        <w:rPr>
          <w:rFonts w:eastAsia="Times New Roman"/>
        </w:rPr>
        <w:t xml:space="preserve">  Introduction</w:t>
      </w:r>
    </w:p>
    <w:p w:rsidR="00F001A4" w:rsidRDefault="00556B55" w:rsidP="00F001A4">
      <w:pPr>
        <w:keepLines/>
      </w:pPr>
      <w:commentRangeStart w:id="1"/>
      <w:r>
        <w:rPr>
          <w:b/>
          <w:highlight w:val="green"/>
        </w:rPr>
        <w:t xml:space="preserve">Problem. </w:t>
      </w:r>
      <w:commentRangeEnd w:id="1"/>
      <w:r>
        <w:rPr>
          <w:rStyle w:val="CommentReference"/>
        </w:rPr>
        <w:commentReference w:id="1"/>
      </w:r>
      <w:r>
        <w:t>A patient types</w:t>
      </w:r>
      <w:r w:rsidR="00F001A4">
        <w:t xml:space="preserve">: “Doctor, </w:t>
      </w:r>
      <w:proofErr w:type="spellStart"/>
      <w:r w:rsidR="00F001A4">
        <w:t>meri</w:t>
      </w:r>
      <w:proofErr w:type="spellEnd"/>
      <w:r w:rsidR="00F001A4">
        <w:t xml:space="preserve"> </w:t>
      </w:r>
      <w:proofErr w:type="spellStart"/>
      <w:r w:rsidR="00F001A4">
        <w:t>beti</w:t>
      </w:r>
      <w:proofErr w:type="spellEnd"/>
      <w:r w:rsidR="00F001A4">
        <w:t xml:space="preserve"> </w:t>
      </w:r>
      <w:proofErr w:type="spellStart"/>
      <w:proofErr w:type="gramStart"/>
      <w:r w:rsidR="00F001A4">
        <w:t>ko</w:t>
      </w:r>
      <w:proofErr w:type="spellEnd"/>
      <w:proofErr w:type="gramEnd"/>
      <w:r w:rsidR="00F001A4">
        <w:t xml:space="preserve"> skin par rash ho </w:t>
      </w:r>
      <w:proofErr w:type="spellStart"/>
      <w:r w:rsidR="00F001A4">
        <w:t>gaya</w:t>
      </w:r>
      <w:proofErr w:type="spellEnd"/>
      <w:r w:rsidR="00F001A4">
        <w:t xml:space="preserve"> </w:t>
      </w:r>
      <w:proofErr w:type="spellStart"/>
      <w:r w:rsidR="00F001A4">
        <w:t>hai</w:t>
      </w:r>
      <w:proofErr w:type="spellEnd"/>
      <w:r w:rsidR="00F001A4">
        <w:t xml:space="preserve">, </w:t>
      </w:r>
      <w:proofErr w:type="spellStart"/>
      <w:r w:rsidR="00F001A4">
        <w:t>aur</w:t>
      </w:r>
      <w:proofErr w:type="spellEnd"/>
      <w:r w:rsidR="00F001A4">
        <w:t xml:space="preserve"> </w:t>
      </w:r>
      <w:proofErr w:type="spellStart"/>
      <w:r w:rsidR="00F001A4">
        <w:t>khujli</w:t>
      </w:r>
      <w:proofErr w:type="spellEnd"/>
      <w:r w:rsidR="00F001A4">
        <w:t xml:space="preserve"> ho </w:t>
      </w:r>
      <w:proofErr w:type="spellStart"/>
      <w:r w:rsidR="00F001A4">
        <w:t>rahi</w:t>
      </w:r>
      <w:proofErr w:type="spellEnd"/>
      <w:r w:rsidR="00F001A4">
        <w:t xml:space="preserve"> </w:t>
      </w:r>
      <w:proofErr w:type="spellStart"/>
      <w:r w:rsidR="00F001A4">
        <w:t>hai</w:t>
      </w:r>
      <w:proofErr w:type="spellEnd"/>
      <w:r w:rsidR="00F001A4">
        <w:t xml:space="preserve">.” The case report that could give an answer is: “erythematous </w:t>
      </w:r>
      <w:proofErr w:type="spellStart"/>
      <w:r w:rsidR="00F001A4">
        <w:t>maculopapular</w:t>
      </w:r>
      <w:proofErr w:type="spellEnd"/>
      <w:r w:rsidR="00F001A4">
        <w:t xml:space="preserve"> rash with pruritus.” The clinical content is included in the evidence, but the surface form of the question is not what the system expects. </w:t>
      </w:r>
    </w:p>
    <w:p w:rsidR="00F001A4" w:rsidRDefault="00F001A4" w:rsidP="00F001A4">
      <w:pPr>
        <w:keepLines/>
      </w:pPr>
      <w:r>
        <w:t>In fact, many patients describe their symptoms online in a register that is a mix of Hindi and En</w:t>
      </w:r>
      <w:r w:rsidR="00556B55">
        <w:t>glish, commonly referred to as “Hinglish”</w:t>
      </w:r>
      <w:r>
        <w:t xml:space="preserve"> (Hindi-English), and clinical literature is written in formal English with most retrieval pipelines being developed and tested using only monolingual queries.</w:t>
      </w:r>
    </w:p>
    <w:p w:rsidR="00003D4D" w:rsidRDefault="00F001A4" w:rsidP="00F001A4">
      <w:pPr>
        <w:keepLines/>
      </w:pPr>
      <w:r>
        <w:t xml:space="preserve">Retrieval-augmented generation (RAG) holds the potential to solve this: retrieve a case in English that matches the patient's circumstances, then generate an answer </w:t>
      </w:r>
      <w:commentRangeStart w:id="2"/>
      <w:r>
        <w:rPr>
          <w:highlight w:val="yellow"/>
        </w:rPr>
        <w:t>grounded in that case, in the patient's own language</w:t>
      </w:r>
      <w:commentRangeEnd w:id="2"/>
      <w:r>
        <w:rPr>
          <w:rStyle w:val="CommentReference"/>
        </w:rPr>
        <w:commentReference w:id="2"/>
      </w:r>
      <w:r>
        <w:t>. The question of whether that promise will hold true for code-mixed data is an empirical one, with two distinct components: is code-mixed surface form hindering retrieval, and does grounding improve the factual quality of the generated answer?</w:t>
      </w:r>
    </w:p>
    <w:p>
      <w:pPr>
        <w:keepLines/>
      </w:pPr>
      <w:commentRangeStart w:id="3"/>
      <w:r>
        <w:rPr>
          <w:b/>
          <w:highlight w:val="green"/>
        </w:rPr>
        <w:t>Gap.</w:t>
      </w:r>
      <w:commentRangeEnd w:id="3"/>
      <w:r>
        <w:rPr>
          <w:rStyle w:val="CommentReference"/>
        </w:rPr>
        <w:commentReference w:id="3"/>
      </w:r>
      <w:r>
        <w:rPr>
          <w:highlight w:val="green"/>
        </w:rPr>
        <w:t xml:space="preserve"> Neither component is isolated in existing evaluations. First, code-mixed queries are rarely compared against gold English versions of the same question, so the retrieval cost of code-mixing is confounded with topic. Second, grounding studies regularly score answers against the very evidence on which the grounded arm was conditioned, a reference the ungrounded arm never saw. Third, grounding and code-mixing robustness are seldom tested as hypotheses fixed in advance, or replicated across generator families.</w:t>
      </w:r>
    </w:p>
    <w:p>
      <w:pPr>
        <w:keepLines/>
      </w:pPr>
      <w:commentRangeStart w:id="4"/>
      <w:r>
        <w:rPr>
          <w:b/>
          <w:highlight w:val="green"/>
        </w:rPr>
        <w:t>Research questions.</w:t>
      </w:r>
      <w:commentRangeEnd w:id="4"/>
      <w:r>
        <w:rPr>
          <w:rStyle w:val="CommentReference"/>
        </w:rPr>
        <w:commentReference w:id="4"/>
      </w:r>
      <w:r>
        <w:rPr>
          <w:highlight w:val="green"/>
        </w:rPr>
        <w:t xml:space="preserve"> RQ1: how much does romanised code-mixing cost at the retrieval stage, and does the cost depend on the retrieval method (H04)? RQ2: does grounding change factual support, and is that change robust to code-mixing intensity (H01, H02)? RQ3: does the provenance of the evidence matter (H03)?</w:t>
      </w:r>
    </w:p>
    <w:p w:rsidR="00F001A4" w:rsidRDefault="00F001A4" w:rsidP="00F001A4">
      <w:pPr>
        <w:keepLines/>
      </w:pPr>
    </w:p>
    <w:p w:rsidR="00F001A4" w:rsidRDefault="00F001A4" w:rsidP="00F001A4">
      <w:pPr>
        <w:keepLines/>
      </w:pPr>
      <w:proofErr w:type="spellStart"/>
      <w:proofErr w:type="spellEnd"/>
      <w:commentRangeStart w:id="5"/>
      <w:r>
        <w:rPr>
          <w:b/>
          <w:highlight w:val="green"/>
        </w:rPr>
        <w:t>Approach.</w:t>
      </w:r>
      <w:commentRangeEnd w:id="5"/>
      <w:r>
        <w:rPr>
          <w:rStyle w:val="CommentReference"/>
        </w:rPr>
        <w:commentReference w:id="5"/>
      </w:r>
      <w:r>
        <w:rPr>
          <w:highlight w:val="green"/>
        </w:rPr>
        <w:t xml:space="preserve"> </w:t>
      </w:r>
      <w:r>
        <w:t xml:space="preserve">This paper is a measurement paper and not a system-improvement paper. We build a Hinglish clinical RAG pipeline purposefully from standard components (3,015 Hinglish patient questions from MMCQS [1] with case reports from MultiCaRe [2] together with embedding over a FAISS index and grounded prompting of an instruction tuned generator), so as to reflect the setting and not the particular architecture. </w:t>
      </w:r>
      <w:r>
        <w:rPr>
          <w:highlight w:val="green"/>
        </w:rPr>
        <w:t>The design choices are justified by what each isolates: LaBSE [3] because cross-lingual alignment is its training objective; BM25 [12] and reciprocal-rank fusion [13] as the standard lexical baseline and a parameter-free way of combining the two signals; paired Hinglish–English queries because they hold content fixed while the surface form varies; and two scoring references, one the grounded arm saw and one neither arm saw, because the difference between them is the circularity this paper measures.</w:t>
      </w:r>
    </w:p>
    <w:p w:rsidR="008D5227" w:rsidRDefault="008D5227" w:rsidP="00F001A4">
      <w:pPr>
        <w:keepLines/>
      </w:pPr>
      <w:r>
        <w:t xml:space="preserve">The four null hypotheses tested are: (H01) grounding does not influence factual </w:t>
      </w:r>
      <w:commentRangeStart w:id="6"/>
      <w:r>
        <w:rPr>
          <w:highlight w:val="cyan"/>
        </w:rPr>
        <w:t>support</w:t>
      </w:r>
      <w:commentRangeEnd w:id="6"/>
      <w:r>
        <w:rPr>
          <w:rStyle w:val="CommentReference"/>
        </w:rPr>
        <w:commentReference w:id="6"/>
      </w:r>
      <w:r>
        <w:t xml:space="preserve">; (H02) the intensity of code-mixing has no effect on the factual difference between grounded and ungrounded; (H03) authoritative case evidence does not significantly influence the factual correctness over general biomedical text; and (H04) the retrieval quality is not different from code-mixed query as compared to the English equivalent. </w:t>
      </w:r>
      <w:r>
        <w:rPr>
          <w:highlight w:val="yellow"/>
        </w:rPr>
        <w:t>H01–H03 were specified in the project proposal and public repository before any data were analysed (commit 0917322, 9 February 2026); H04 was formulated after the initial retrieval experiments and is reported as a post-hoc hypothesis, tested confirmatorily on the full matched set (Sect. 4).</w:t>
      </w:r>
    </w:p>
    <w:p w:rsidR="009518A3" w:rsidRDefault="009518A3" w:rsidP="00F001A4">
      <w:pPr>
        <w:keepLines/>
      </w:pPr>
      <w:r w:rsidRPr="009518A3">
        <w:t>Not all of the project's original claims held up to scrutiny, and we report these corrections as findings in their own right: a code-mixing index that misclassified common English words, an index configuration that silently truncated every case narrative, a published context-selection heuristic that never fires on this data, and an evaluation protocol whose circular reference inflates the apparent benefit of grounding. Rejecting a null hypothesis is the positive outcome; it means the corresponding effect is real.</w:t>
      </w:r>
    </w:p>
    <w:p w:rsidR="00AD0E67" w:rsidRDefault="00871784" w:rsidP="00FB146D">
      <w:pPr>
        <w:keepLines/>
        <w:spacing w:after="0"/>
        <w:rPr>
          <w:rFonts w:eastAsia="Times New Roman"/>
        </w:rPr>
      </w:pPr>
      <w:commentRangeStart w:id="7"/>
      <w:r>
        <w:rPr>
          <w:rFonts w:eastAsia="Times New Roman"/>
          <w:b/>
          <w:highlight w:val="green"/>
        </w:rPr>
        <w:t>Contributions.</w:t>
      </w:r>
      <w:commentRangeEnd w:id="7"/>
      <w:r>
        <w:rPr>
          <w:rStyle w:val="CommentReference"/>
        </w:rPr>
        <w:commentReference w:id="7"/>
      </w:r>
      <w:r>
        <w:rPr>
          <w:rFonts w:eastAsia="Times New Roman"/>
          <w:highlight w:val="green"/>
        </w:rPr>
        <w:t xml:space="preserve"> </w:t>
      </w:r>
      <w:r>
        <w:rPr>
          <w:rFonts w:eastAsia="Times New Roman"/>
        </w:rPr>
        <w:t xml:space="preserve">The study makes three contributions. First, it quantifies the retrieval-stage code-mixing penalty, measured against gold </w:t>
      </w:r>
      <w:r>
        <w:rPr>
          <w:rFonts w:eastAsia="Times New Roman"/>
          <w:highlight w:val="yellow"/>
        </w:rPr>
        <w:t>English summaries</w:t>
      </w:r>
      <w:r>
        <w:rPr>
          <w:rFonts w:eastAsia="Times New Roman"/>
        </w:rPr>
        <w:t xml:space="preserve"> of the same questions behind a label-leakage gate, together with the lexical/dense asymmetry and its script-mismatch mechanism</w:t>
      </w:r>
      <w:r>
        <w:rPr>
          <w:rFonts w:eastAsia="Times New Roman"/>
          <w:highlight w:val="green"/>
        </w:rPr>
        <w:t>: the penalty is positive in all 28 system–metric combinations, 4.4 times larger for lexical than for dense retrieval at rank 1, transliteration recovers only 6.5% of MuRIL’s gap, and translation helps dense but not lexical retrieval</w:t>
      </w:r>
      <w:r>
        <w:rPr>
          <w:rFonts w:eastAsia="Times New Roman"/>
        </w:rPr>
        <w:t xml:space="preserve"> (Sect. 5.1). Second, it provides </w:t>
      </w:r>
      <w:r>
        <w:rPr>
          <w:rFonts w:eastAsia="Times New Roman"/>
          <w:highlight w:val="cyan"/>
        </w:rPr>
        <w:t>pre-specified</w:t>
      </w:r>
      <w:r>
        <w:rPr>
          <w:rFonts w:eastAsia="Times New Roman"/>
        </w:rPr>
        <w:t xml:space="preserve"> hypothesis tests for the grounding effect and for code-mixing robustness</w:t>
      </w:r>
      <w:r>
        <w:rPr>
          <w:rFonts w:eastAsia="Times New Roman"/>
          <w:highlight w:val="cyan"/>
        </w:rPr>
        <w:t>, reported under the tests that were planned and replicated across two generator families under oracle evidence</w:t>
      </w:r>
      <w:r>
        <w:rPr>
          <w:rFonts w:eastAsia="Times New Roman"/>
        </w:rPr>
        <w:t xml:space="preserve"> (Sects. 5.3 and 5.4). Third, it demonstrates that evaluation design changes the reported benefit of grounding</w:t>
      </w:r>
      <w:r>
        <w:rPr>
          <w:rFonts w:eastAsia="Times New Roman"/>
          <w:highlight w:val="green"/>
        </w:rPr>
        <w:t xml:space="preserve"> — positive in five of five conditions against the evidence reference and in one of five against an unbiased one —</w:t>
      </w:r>
      <w:r>
        <w:rPr>
          <w:rFonts w:eastAsia="Times New Roman"/>
        </w:rPr>
        <w:t xml:space="preserve"> and supplies the degenerate baselines </w:t>
      </w:r>
      <w:r>
        <w:rPr>
          <w:rFonts w:eastAsia="Times New Roman"/>
          <w:highlight w:val="green"/>
        </w:rPr>
        <w:t xml:space="preserve">and the extractor audit </w:t>
      </w:r>
      <w:r>
        <w:rPr>
          <w:rFonts w:eastAsia="Times New Roman"/>
        </w:rPr>
        <w:t>required to detect such artefacts (Sects. 5.2 and 5.3).</w:t>
      </w:r>
    </w:p>
    <w:p w:rsidR="00FB146D" w:rsidRPr="00FB146D" w:rsidRDefault="00FB146D" w:rsidP="00FB146D">
      <w:pPr>
        <w:pStyle w:val="ICCSDIHeading1"/>
        <w:spacing w:before="0" w:after="0"/>
        <w:rPr>
          <w:rFonts w:eastAsia="Times New Roman"/>
          <w:sz w:val="22"/>
          <w:szCs w:val="18"/>
        </w:rPr>
      </w:pPr>
    </w:p>
    <w:p w:rsidR="00AD0E67" w:rsidRDefault="00871784" w:rsidP="0096304F">
      <w:pPr>
        <w:pStyle w:val="ICCSDIHeading1"/>
        <w:spacing w:before="0"/>
      </w:pPr>
      <w:r>
        <w:rPr>
          <w:rFonts w:eastAsia="Times New Roman"/>
        </w:rPr>
        <w:t>2</w:t>
      </w:r>
      <w:r w:rsidR="00330BC1">
        <w:rPr>
          <w:rFonts w:eastAsia="Times New Roman"/>
        </w:rPr>
        <w:t>.</w:t>
      </w:r>
      <w:r>
        <w:rPr>
          <w:rFonts w:eastAsia="Times New Roman"/>
        </w:rPr>
        <w:t xml:space="preserve">  Related Work and Research Gap</w:t>
      </w:r>
    </w:p>
    <w:p w:rsidR="00AD0E67" w:rsidRDefault="00871784">
      <w:pPr>
        <w:keepLines/>
      </w:pPr>
      <w:r>
        <w:rPr>
          <w:rFonts w:eastAsia="Times New Roman"/>
        </w:rPr>
        <w:t xml:space="preserve">Work on code-mixed clinical language has concentrated on the query side of the encounter. </w:t>
      </w:r>
      <w:proofErr w:type="spellStart"/>
      <w:r>
        <w:rPr>
          <w:rFonts w:eastAsia="Times New Roman"/>
        </w:rPr>
        <w:t>MedSumm</w:t>
      </w:r>
      <w:proofErr w:type="spellEnd"/>
      <w:r>
        <w:rPr>
          <w:rFonts w:eastAsia="Times New Roman"/>
        </w:rPr>
        <w:t xml:space="preserve"> [1] introduced the MMCQS corpus, pairing Hinglish patient questions with human-written English summaries and textual image descriptions, and proposed multimodal </w:t>
      </w:r>
      <w:proofErr w:type="spellStart"/>
      <w:r>
        <w:rPr>
          <w:rFonts w:eastAsia="Times New Roman"/>
        </w:rPr>
        <w:t>summarisation</w:t>
      </w:r>
      <w:proofErr w:type="spellEnd"/>
      <w:r>
        <w:rPr>
          <w:rFonts w:eastAsia="Times New Roman"/>
        </w:rPr>
        <w:t xml:space="preserve"> of those queries; </w:t>
      </w:r>
      <w:proofErr w:type="spellStart"/>
      <w:r>
        <w:rPr>
          <w:rFonts w:eastAsia="Times New Roman"/>
        </w:rPr>
        <w:t>HealthAlignSumm</w:t>
      </w:r>
      <w:proofErr w:type="spellEnd"/>
      <w:r>
        <w:rPr>
          <w:rFonts w:eastAsia="Times New Roman"/>
        </w:rPr>
        <w:t xml:space="preserve"> [4] extended this line with alignment-based training for multimodal </w:t>
      </w:r>
      <w:proofErr w:type="spellStart"/>
      <w:r>
        <w:rPr>
          <w:rFonts w:eastAsia="Times New Roman"/>
        </w:rPr>
        <w:t>summarisation</w:t>
      </w:r>
      <w:proofErr w:type="spellEnd"/>
      <w:r>
        <w:rPr>
          <w:rFonts w:eastAsia="Times New Roman"/>
        </w:rPr>
        <w:t xml:space="preserve"> of code-mixed healthcare dialogues. The present study uses the MMCQS questions and gold English summaries as matched query pairs and the image descriptions only as a scoring reference; no images are processed at any stage, and the task studied is retrieval and grounded generation rather than </w:t>
      </w:r>
      <w:proofErr w:type="spellStart"/>
      <w:r>
        <w:rPr>
          <w:rFonts w:eastAsia="Times New Roman"/>
        </w:rPr>
        <w:t>summarisation</w:t>
      </w:r>
      <w:proofErr w:type="spellEnd"/>
      <w:r>
        <w:rPr>
          <w:rFonts w:eastAsia="Times New Roman"/>
        </w:rPr>
        <w:t>.</w:t>
      </w:r>
    </w:p>
    <w:p w:rsidR="0088113B" w:rsidRDefault="00871784">
      <w:pPr>
        <w:keepLines/>
        <w:rPr>
          <w:rFonts w:eastAsia="Times New Roman"/>
        </w:rPr>
      </w:pPr>
      <w:r>
        <w:rPr>
          <w:rFonts w:eastAsia="Times New Roman"/>
        </w:rPr>
        <w:t xml:space="preserve">A second body of work develops retrieval-augmented generation for medicine. </w:t>
      </w:r>
      <w:proofErr w:type="spellStart"/>
      <w:r>
        <w:rPr>
          <w:rFonts w:eastAsia="Times New Roman"/>
        </w:rPr>
        <w:t>Xiong</w:t>
      </w:r>
      <w:proofErr w:type="spellEnd"/>
      <w:r>
        <w:rPr>
          <w:rFonts w:eastAsia="Times New Roman"/>
        </w:rPr>
        <w:t xml:space="preserve"> et al. [5] benchmark medical RAG across corpora, retrievers and generators; </w:t>
      </w:r>
      <w:proofErr w:type="spellStart"/>
      <w:r>
        <w:rPr>
          <w:rFonts w:eastAsia="Times New Roman"/>
        </w:rPr>
        <w:t>MMed</w:t>
      </w:r>
      <w:proofErr w:type="spellEnd"/>
      <w:r>
        <w:rPr>
          <w:rFonts w:eastAsia="Times New Roman"/>
        </w:rPr>
        <w:t xml:space="preserve">-RAG [6] adds domain-aware retrieval and adaptive context selection for medical vision-language models; and factuality-targeted augmentation has been applied to radiology reporting [7] and to clinical pipelines such as </w:t>
      </w:r>
      <w:proofErr w:type="spellStart"/>
      <w:r>
        <w:rPr>
          <w:rFonts w:eastAsia="Times New Roman"/>
        </w:rPr>
        <w:t>AlzheimerRAG</w:t>
      </w:r>
      <w:proofErr w:type="spellEnd"/>
      <w:r>
        <w:rPr>
          <w:rFonts w:eastAsia="Times New Roman"/>
        </w:rPr>
        <w:t xml:space="preserve"> [8]. Vision-language assistants such as </w:t>
      </w:r>
      <w:proofErr w:type="spellStart"/>
      <w:r>
        <w:rPr>
          <w:rFonts w:eastAsia="Times New Roman"/>
        </w:rPr>
        <w:t>LLaVA</w:t>
      </w:r>
      <w:proofErr w:type="spellEnd"/>
      <w:r>
        <w:rPr>
          <w:rFonts w:eastAsia="Times New Roman"/>
        </w:rPr>
        <w:t xml:space="preserve">-Med [9] generate without a retrieval stage. </w:t>
      </w:r>
    </w:p>
    <w:p w:rsidR="00AD0E67" w:rsidRDefault="00871784">
      <w:pPr>
        <w:keepLines/>
      </w:pPr>
      <w:r>
        <w:rPr>
          <w:rFonts w:eastAsia="Times New Roman"/>
        </w:rPr>
        <w:t>Across this line the query language is uniformly English, and reported grounding benefits are frequently computed against the retrieved evidence itself, a reference the grounded arm was conditioned on and the ungrounded arm never saw. Section 5.3 quantifies how much of the apparent benefit this circularity contributes in our setting, and Sect. 5.6 tests whether the adaptive context-selection heuristic of [6] transfers to it.</w:t>
      </w:r>
    </w:p>
    <w:p w:rsidR="008A5555" w:rsidRDefault="00871784">
      <w:pPr>
        <w:keepLines/>
        <w:rPr>
          <w:rFonts w:eastAsia="Times New Roman"/>
        </w:rPr>
      </w:pPr>
      <w:r>
        <w:rPr>
          <w:rFonts w:eastAsia="Times New Roman"/>
        </w:rPr>
        <w:t xml:space="preserve">Code-switching has also become an evaluation axis in its own right outside medicine. </w:t>
      </w:r>
      <w:proofErr w:type="spellStart"/>
      <w:r>
        <w:rPr>
          <w:rFonts w:eastAsia="Times New Roman"/>
        </w:rPr>
        <w:t>CroCoSum</w:t>
      </w:r>
      <w:proofErr w:type="spellEnd"/>
      <w:r>
        <w:rPr>
          <w:rFonts w:eastAsia="Times New Roman"/>
        </w:rPr>
        <w:t xml:space="preserve"> [10] benchmarks cross-lingual code-switched </w:t>
      </w:r>
      <w:proofErr w:type="spellStart"/>
      <w:r>
        <w:rPr>
          <w:rFonts w:eastAsia="Times New Roman"/>
        </w:rPr>
        <w:t>summarisation</w:t>
      </w:r>
      <w:proofErr w:type="spellEnd"/>
      <w:r>
        <w:rPr>
          <w:rFonts w:eastAsia="Times New Roman"/>
        </w:rPr>
        <w:t xml:space="preserve">, and </w:t>
      </w:r>
      <w:proofErr w:type="spellStart"/>
      <w:r>
        <w:rPr>
          <w:rFonts w:eastAsia="Times New Roman"/>
        </w:rPr>
        <w:t>HiFactMix</w:t>
      </w:r>
      <w:proofErr w:type="spellEnd"/>
      <w:r>
        <w:rPr>
          <w:rFonts w:eastAsia="Times New Roman"/>
        </w:rPr>
        <w:t xml:space="preserve"> [11] pairs a Hinglish benchmark with a graph-aware model for political claim verification; neither addresses the clinical domain or isolates the retrieval stage. </w:t>
      </w:r>
    </w:p>
    <w:p w:rsidR="00AD0E67" w:rsidRDefault="00871784">
      <w:pPr>
        <w:keepLines/>
      </w:pPr>
      <w:r>
        <w:rPr>
          <w:rFonts w:eastAsia="Times New Roman"/>
        </w:rPr>
        <w:t xml:space="preserve">On the retrieval side, lexical rankers such as BM25 [12] depend on surface-form overlap, which </w:t>
      </w:r>
      <w:proofErr w:type="spellStart"/>
      <w:r>
        <w:rPr>
          <w:rFonts w:eastAsia="Times New Roman"/>
        </w:rPr>
        <w:t>romanisation</w:t>
      </w:r>
      <w:proofErr w:type="spellEnd"/>
      <w:r>
        <w:rPr>
          <w:rFonts w:eastAsia="Times New Roman"/>
        </w:rPr>
        <w:t xml:space="preserve"> removes; dense cross-lingual encoders such as </w:t>
      </w:r>
      <w:proofErr w:type="spellStart"/>
      <w:r>
        <w:rPr>
          <w:rFonts w:eastAsia="Times New Roman"/>
        </w:rPr>
        <w:t>LaBSE</w:t>
      </w:r>
      <w:proofErr w:type="spellEnd"/>
      <w:r>
        <w:rPr>
          <w:rFonts w:eastAsia="Times New Roman"/>
        </w:rPr>
        <w:t xml:space="preserve"> [3] place translations near one another in a shared space, and reciprocal-rank fusion [13] combines the two signals; encoders </w:t>
      </w:r>
      <w:proofErr w:type="spellStart"/>
      <w:r>
        <w:rPr>
          <w:rFonts w:eastAsia="Times New Roman"/>
        </w:rPr>
        <w:t>pretrained</w:t>
      </w:r>
      <w:proofErr w:type="spellEnd"/>
      <w:r>
        <w:rPr>
          <w:rFonts w:eastAsia="Times New Roman"/>
        </w:rPr>
        <w:t xml:space="preserve"> on Indian languages, notably </w:t>
      </w:r>
      <w:proofErr w:type="spellStart"/>
      <w:r>
        <w:rPr>
          <w:rFonts w:eastAsia="Times New Roman"/>
        </w:rPr>
        <w:t>MuRIL</w:t>
      </w:r>
      <w:proofErr w:type="spellEnd"/>
      <w:r>
        <w:rPr>
          <w:rFonts w:eastAsia="Times New Roman"/>
        </w:rPr>
        <w:t xml:space="preserve"> [14], target </w:t>
      </w:r>
      <w:proofErr w:type="spellStart"/>
      <w:r>
        <w:rPr>
          <w:rFonts w:eastAsia="Times New Roman"/>
        </w:rPr>
        <w:t>Devanagari</w:t>
      </w:r>
      <w:proofErr w:type="spellEnd"/>
      <w:r>
        <w:rPr>
          <w:rFonts w:eastAsia="Times New Roman"/>
        </w:rPr>
        <w:t xml:space="preserve"> Hindi, raising the script-mismatch question that Sect. 5.1 answers empirically. One boundary is explicit: the present system is text-only. Earlier project documents mentioned multimodal components, but none was implemented or evaluated here and no multimodal claim is made.</w:t>
      </w:r>
    </w:p>
    <w:p w:rsidR="00AD0E67" w:rsidRDefault="00871784">
      <w:pPr>
        <w:keepLines/>
      </w:pPr>
      <w:proofErr w:type="spellStart"/>
      <w:proofErr w:type="spellEnd"/>
      <w:proofErr w:type="spellStart"/>
      <w:proofErr w:type="spellEnd"/>
      <w:r>
        <w:rPr>
          <w:rFonts w:eastAsia="Times New Roman"/>
        </w:rPr>
        <w:t xml:space="preserve">To our knowledge, no prior study of code-mixed clinical question answering (i) isolates the retrieval-stage penalty of romanisation by comparing code-mixed queries against gold </w:t>
      </w:r>
      <w:commentRangeStart w:id="8"/>
      <w:r>
        <w:rPr>
          <w:rFonts w:eastAsia="Times New Roman"/>
          <w:highlight w:val="yellow"/>
        </w:rPr>
        <w:t>English versions</w:t>
      </w:r>
      <w:commentRangeEnd w:id="8"/>
      <w:r>
        <w:rPr>
          <w:rStyle w:val="CommentReference"/>
        </w:rPr>
        <w:commentReference w:id="8"/>
      </w:r>
      <w:r>
        <w:rPr>
          <w:rFonts w:eastAsia="Times New Roman"/>
        </w:rPr>
        <w:t xml:space="preserve"> of the same questions under a label-leakage gate, (ii) tests grounding and code-mixing robustness as </w:t>
      </w:r>
      <w:r>
        <w:rPr>
          <w:rFonts w:eastAsia="Times New Roman"/>
          <w:highlight w:val="cyan"/>
        </w:rPr>
        <w:t>pre-specified</w:t>
      </w:r>
      <w:r>
        <w:rPr>
          <w:rFonts w:eastAsia="Times New Roman"/>
        </w:rPr>
        <w:t xml:space="preserve"> hypotheses across generator families, or (iii) measures how strongly the choice of scoring reference changes the reported grounding benefit. This paper does all three</w:t>
      </w:r>
      <w:r>
        <w:rPr>
          <w:rFonts w:eastAsia="Times New Roman"/>
          <w:highlight w:val="green"/>
        </w:rPr>
        <w:t>; Table 1 positions it against the closest prior work</w:t>
      </w:r>
      <w:r>
        <w:rPr>
          <w:rFonts w:eastAsia="Times New Roman"/>
        </w:rPr>
        <w:t>.</w:t>
      </w:r>
    </w:p>
    <w:p>
      <w:pPr>
        <w:pStyle w:val="ICCSDICaption"/>
        <w:keepLines/>
        <w:spacing w:before="0"/>
      </w:pPr>
      <w:commentRangeStart w:id="9"/>
      <w:r>
        <w:rPr>
          <w:highlight w:val="green"/>
        </w:rPr>
        <w:t>Table 1  Positioning against the closest prior work. ✓ = addressed; — = not addressed; ~ = partly. ‘Gold English pairs’ = the same question available in English for a matched comparison; ‘reference bias checked’ = the grounding benefit scored against a reference the grounded arm did not see.</w:t>
      </w:r>
      <w:commentRangeEnd w:id="9"/>
      <w:r>
        <w:rPr>
          <w:rStyle w:val="CommentReference"/>
        </w:rPr>
        <w:commentReference w:id="9"/>
      </w:r>
    </w:p>
    <w:tbl>
      <w:tblPr>
        <w:tblW w:w="0" w:type="auto"/>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597"/>
      </w:tblGrid>
      <w:tr w:rsidR="00AD0E67">
        <w:trPr>
          <w:cantSplit/>
          <w:jc w:val="center"/>
        </w:trPr>
        <w:tc>
          <w:tcPr>
            <w:tcW w:w="8597" w:type="dxa"/>
            <w:tcMar>
              <w:top w:w="0" w:type="dxa"/>
              <w:left w:w="0" w:type="dxa"/>
              <w:bottom w:w="0" w:type="dxa"/>
              <w:right w:w="0" w:type="dxa"/>
            </w:tcMar>
          </w:tcPr>
          <w:tbl>
            <w:tblPr>
              <w:tblW w:w="0" w:type="auto"/>
              <w:jc w:val="center"/>
              <w:tblLayout w:type="fixed"/>
              <w:tblLook w:val="04A0" w:firstRow="1" w:lastRow="0" w:firstColumn="1" w:lastColumn="0" w:noHBand="0" w:noVBand="1"/>
            </w:tblPr>
            <w:tblGrid>
              <w:gridCol w:w="2450"/>
              <w:gridCol w:w="1150"/>
              <w:gridCol w:w="1050"/>
              <w:gridCol w:w="1250"/>
              <w:gridCol w:w="1250"/>
              <w:gridCol w:w="1450"/>
            </w:tblGrid>
            <w:tr w:rsidR="00AD0E67">
              <w:trPr>
                <w:cantSplit/>
                <w:tblHeader/>
                <w:jc w:val="center"/>
              </w:trPr>
              <w:tc>
                <w:tcPr>
                  <w:tcW w:w="2450" w:type="dxa"/>
                  <w:tcBorders>
                    <w:top w:val="single" w:sz="10" w:space="0" w:color="000000"/>
                    <w:bottom w:val="single" w:sz="8" w:space="0" w:color="000000"/>
                  </w:tcBorders>
                  <w:shd w:val="clear" w:color="auto" w:fill="EDEDED"/>
                  <w:tcMar>
                    <w:top w:w="55" w:type="dxa"/>
                    <w:left w:w="75" w:type="dxa"/>
                    <w:bottom w:w="55" w:type="dxa"/>
                    <w:right w:w="75" w:type="dxa"/>
                  </w:tcMar>
                  <w:vAlign w:val="center"/>
                </w:tcPr>
                <w:p w:rsidR="00AD0E67" w:rsidRDefault="00871784">
                  <w:pPr>
                    <w:spacing w:after="0"/>
                    <w:jc w:val="left"/>
                  </w:pPr>
                  <w:r>
                    <w:rPr>
                      <w:rFonts w:eastAsia="Times New Roman"/>
                      <w:b/>
                      <w:sz w:val="18"/>
                    </w:rPr>
                    <w:t>Work</w:t>
                  </w:r>
                </w:p>
              </w:tc>
              <w:tc>
                <w:tcPr>
                  <w:tcW w:w="1150" w:type="dxa"/>
                  <w:tcBorders>
                    <w:top w:val="single" w:sz="10" w:space="0" w:color="000000"/>
                    <w:bottom w:val="single" w:sz="8" w:space="0" w:color="000000"/>
                  </w:tcBorders>
                  <w:shd w:val="clear" w:color="auto" w:fill="EDEDED"/>
                  <w:tcMar>
                    <w:top w:w="55" w:type="dxa"/>
                    <w:left w:w="75" w:type="dxa"/>
                    <w:bottom w:w="55" w:type="dxa"/>
                    <w:right w:w="75" w:type="dxa"/>
                  </w:tcMar>
                  <w:vAlign w:val="center"/>
                </w:tcPr>
                <w:p w:rsidR="00AD0E67" w:rsidRDefault="00871784">
                  <w:pPr>
                    <w:spacing w:after="0"/>
                    <w:jc w:val="center"/>
                  </w:pPr>
                  <w:r>
                    <w:rPr>
                      <w:rFonts w:eastAsia="Times New Roman"/>
                      <w:b/>
                      <w:sz w:val="18"/>
                    </w:rPr>
                    <w:t>Code-mixed queries</w:t>
                  </w:r>
                </w:p>
              </w:tc>
              <w:tc>
                <w:tcPr>
                  <w:tcW w:w="1050" w:type="dxa"/>
                  <w:tcBorders>
                    <w:top w:val="single" w:sz="10" w:space="0" w:color="000000"/>
                    <w:bottom w:val="single" w:sz="8" w:space="0" w:color="000000"/>
                  </w:tcBorders>
                  <w:shd w:val="clear" w:color="auto" w:fill="EDEDED"/>
                  <w:tcMar>
                    <w:top w:w="55" w:type="dxa"/>
                    <w:left w:w="75" w:type="dxa"/>
                    <w:bottom w:w="55" w:type="dxa"/>
                    <w:right w:w="75" w:type="dxa"/>
                  </w:tcMar>
                  <w:vAlign w:val="center"/>
                </w:tcPr>
                <w:p w:rsidR="00AD0E67" w:rsidRDefault="00871784">
                  <w:pPr>
                    <w:spacing w:after="0"/>
                    <w:jc w:val="center"/>
                  </w:pPr>
                  <w:r>
                    <w:rPr>
                      <w:rFonts w:eastAsia="Times New Roman"/>
                      <w:b/>
                      <w:sz w:val="18"/>
                    </w:rPr>
                    <w:t>Clinical domain</w:t>
                  </w:r>
                </w:p>
              </w:tc>
              <w:tc>
                <w:tcPr>
                  <w:tcW w:w="1250" w:type="dxa"/>
                  <w:tcBorders>
                    <w:top w:val="single" w:sz="10" w:space="0" w:color="000000"/>
                    <w:bottom w:val="single" w:sz="8" w:space="0" w:color="000000"/>
                  </w:tcBorders>
                  <w:shd w:val="clear" w:color="auto" w:fill="EDEDED"/>
                  <w:tcMar>
                    <w:top w:w="55" w:type="dxa"/>
                    <w:left w:w="75" w:type="dxa"/>
                    <w:bottom w:w="55" w:type="dxa"/>
                    <w:right w:w="75" w:type="dxa"/>
                  </w:tcMar>
                  <w:vAlign w:val="center"/>
                </w:tcPr>
                <w:p w:rsidR="00AD0E67" w:rsidRDefault="00871784">
                  <w:pPr>
                    <w:spacing w:after="0"/>
                    <w:jc w:val="center"/>
                  </w:pPr>
                  <w:r>
                    <w:rPr>
                      <w:rFonts w:eastAsia="Times New Roman"/>
                      <w:b/>
                      <w:sz w:val="18"/>
                    </w:rPr>
                    <w:t>Retrieval stage isolated</w:t>
                  </w:r>
                </w:p>
              </w:tc>
              <w:tc>
                <w:tcPr>
                  <w:tcW w:w="1250" w:type="dxa"/>
                  <w:tcBorders>
                    <w:top w:val="single" w:sz="10" w:space="0" w:color="000000"/>
                    <w:bottom w:val="single" w:sz="8" w:space="0" w:color="000000"/>
                  </w:tcBorders>
                  <w:shd w:val="clear" w:color="auto" w:fill="EDEDED"/>
                  <w:tcMar>
                    <w:top w:w="55" w:type="dxa"/>
                    <w:left w:w="75" w:type="dxa"/>
                    <w:bottom w:w="55" w:type="dxa"/>
                    <w:right w:w="75" w:type="dxa"/>
                  </w:tcMar>
                  <w:vAlign w:val="center"/>
                </w:tcPr>
                <w:p w:rsidR="00AD0E67" w:rsidRDefault="00871784">
                  <w:pPr>
                    <w:spacing w:after="0"/>
                    <w:jc w:val="center"/>
                  </w:pPr>
                  <w:r>
                    <w:rPr>
                      <w:rFonts w:eastAsia="Times New Roman"/>
                      <w:b/>
                      <w:sz w:val="18"/>
                    </w:rPr>
                    <w:t>Gold English pairs</w:t>
                  </w:r>
                </w:p>
              </w:tc>
              <w:tc>
                <w:tcPr>
                  <w:tcW w:w="1450" w:type="dxa"/>
                  <w:tcBorders>
                    <w:top w:val="single" w:sz="10" w:space="0" w:color="000000"/>
                    <w:bottom w:val="single" w:sz="8" w:space="0" w:color="000000"/>
                  </w:tcBorders>
                  <w:shd w:val="clear" w:color="auto" w:fill="EDEDED"/>
                  <w:tcMar>
                    <w:top w:w="55" w:type="dxa"/>
                    <w:left w:w="75" w:type="dxa"/>
                    <w:bottom w:w="55" w:type="dxa"/>
                    <w:right w:w="75" w:type="dxa"/>
                  </w:tcMar>
                  <w:vAlign w:val="center"/>
                </w:tcPr>
                <w:p w:rsidR="00AD0E67" w:rsidRDefault="00871784">
                  <w:pPr>
                    <w:spacing w:after="0"/>
                    <w:jc w:val="center"/>
                  </w:pPr>
                  <w:r>
                    <w:rPr>
                      <w:rFonts w:eastAsia="Times New Roman"/>
                      <w:b/>
                      <w:sz w:val="18"/>
                    </w:rPr>
                    <w:t>Reference bias checked</w:t>
                  </w:r>
                </w:p>
              </w:tc>
            </w:tr>
            <w:tr w:rsidR="00AD0E67">
              <w:trPr>
                <w:cantSplit/>
                <w:jc w:val="center"/>
              </w:trPr>
              <w:tc>
                <w:tcPr>
                  <w:tcW w:w="2450" w:type="dxa"/>
                  <w:tcMar>
                    <w:top w:w="45" w:type="dxa"/>
                    <w:left w:w="75" w:type="dxa"/>
                    <w:bottom w:w="45" w:type="dxa"/>
                    <w:right w:w="75" w:type="dxa"/>
                  </w:tcMar>
                  <w:vAlign w:val="center"/>
                </w:tcPr>
                <w:p w:rsidR="00AD0E67" w:rsidRDefault="00871784">
                  <w:pPr>
                    <w:spacing w:after="0"/>
                    <w:jc w:val="left"/>
                  </w:pPr>
                  <w:r>
                    <w:rPr>
                      <w:rFonts w:eastAsia="Times New Roman"/>
                      <w:sz w:val="18"/>
                      <w:highlight w:val="green"/>
                    </w:rPr>
                    <w:t>MedSumm [1]</w:t>
                  </w:r>
                </w:p>
              </w:tc>
              <w:tc>
                <w:tcPr>
                  <w:tcW w:w="1150" w:type="dxa"/>
                  <w:tcMar>
                    <w:top w:w="45" w:type="dxa"/>
                    <w:left w:w="75" w:type="dxa"/>
                    <w:bottom w:w="45" w:type="dxa"/>
                    <w:right w:w="75" w:type="dxa"/>
                  </w:tcMar>
                  <w:vAlign w:val="center"/>
                </w:tcPr>
                <w:p w:rsidR="00AD0E67" w:rsidRDefault="00871784">
                  <w:pPr>
                    <w:spacing w:after="0"/>
                    <w:jc w:val="center"/>
                  </w:pPr>
                  <w:r>
                    <w:rPr>
                      <w:rFonts w:eastAsia="Times New Roman"/>
                      <w:sz w:val="18"/>
                      <w:highlight w:val="green"/>
                    </w:rPr>
                    <w:t>✓</w:t>
                  </w:r>
                </w:p>
              </w:tc>
              <w:tc>
                <w:tcPr>
                  <w:tcW w:w="1050" w:type="dxa"/>
                  <w:tcMar>
                    <w:top w:w="45" w:type="dxa"/>
                    <w:left w:w="75" w:type="dxa"/>
                    <w:bottom w:w="45" w:type="dxa"/>
                    <w:right w:w="75" w:type="dxa"/>
                  </w:tcMar>
                  <w:vAlign w:val="center"/>
                </w:tcPr>
                <w:p w:rsidR="00AD0E67" w:rsidRDefault="00871784">
                  <w:pPr>
                    <w:spacing w:after="0"/>
                    <w:jc w:val="center"/>
                  </w:pPr>
                  <w:r>
                    <w:rPr>
                      <w:rFonts w:eastAsia="Times New Roman"/>
                      <w:sz w:val="18"/>
                      <w:highlight w:val="green"/>
                    </w:rPr>
                    <w:t>✓</w:t>
                  </w:r>
                </w:p>
              </w:tc>
              <w:tc>
                <w:tcPr>
                  <w:tcW w:w="1250" w:type="dxa"/>
                  <w:tcMar>
                    <w:top w:w="45" w:type="dxa"/>
                    <w:left w:w="75" w:type="dxa"/>
                    <w:bottom w:w="45" w:type="dxa"/>
                    <w:right w:w="75" w:type="dxa"/>
                  </w:tcMar>
                  <w:vAlign w:val="center"/>
                </w:tcPr>
                <w:p w:rsidR="00AD0E67" w:rsidRDefault="00871784">
                  <w:pPr>
                    <w:spacing w:after="0"/>
                    <w:jc w:val="center"/>
                  </w:pPr>
                  <w:r>
                    <w:rPr>
                      <w:rFonts w:eastAsia="Times New Roman"/>
                      <w:sz w:val="18"/>
                      <w:highlight w:val="green"/>
                    </w:rPr>
                    <w:t>—</w:t>
                  </w:r>
                </w:p>
              </w:tc>
              <w:tc>
                <w:tcPr>
                  <w:tcW w:w="1250" w:type="dxa"/>
                  <w:tcMar>
                    <w:top w:w="45" w:type="dxa"/>
                    <w:left w:w="75" w:type="dxa"/>
                    <w:bottom w:w="45" w:type="dxa"/>
                    <w:right w:w="75" w:type="dxa"/>
                  </w:tcMar>
                  <w:vAlign w:val="center"/>
                </w:tcPr>
                <w:p w:rsidR="00AD0E67" w:rsidRDefault="00871784">
                  <w:pPr>
                    <w:spacing w:after="0"/>
                    <w:jc w:val="center"/>
                  </w:pPr>
                  <w:r>
                    <w:rPr>
                      <w:rFonts w:eastAsia="Times New Roman"/>
                      <w:sz w:val="18"/>
                      <w:highlight w:val="green"/>
                    </w:rPr>
                    <w:t>✓ (summaries)</w:t>
                  </w:r>
                </w:p>
              </w:tc>
              <w:tc>
                <w:tcPr>
                  <w:tcW w:w="1450" w:type="dxa"/>
                  <w:tcMar>
                    <w:top w:w="45" w:type="dxa"/>
                    <w:left w:w="75" w:type="dxa"/>
                    <w:bottom w:w="45" w:type="dxa"/>
                    <w:right w:w="75" w:type="dxa"/>
                  </w:tcMar>
                  <w:vAlign w:val="center"/>
                </w:tcPr>
                <w:p w:rsidR="00AD0E67" w:rsidRDefault="00871784">
                  <w:pPr>
                    <w:spacing w:after="0"/>
                    <w:jc w:val="center"/>
                  </w:pPr>
                  <w:r>
                    <w:rPr>
                      <w:rFonts w:eastAsia="Times New Roman"/>
                      <w:sz w:val="18"/>
                      <w:highlight w:val="green"/>
                    </w:rPr>
                    <w:t>—</w:t>
                  </w:r>
                </w:p>
              </w:tc>
            </w:tr>
            <w:tr w:rsidR="00AD0E67">
              <w:trPr>
                <w:cantSplit/>
                <w:jc w:val="center"/>
              </w:trPr>
              <w:tc>
                <w:tcPr>
                  <w:tcW w:w="2450" w:type="dxa"/>
                  <w:tcMar>
                    <w:top w:w="45" w:type="dxa"/>
                    <w:left w:w="75" w:type="dxa"/>
                    <w:bottom w:w="45" w:type="dxa"/>
                    <w:right w:w="75" w:type="dxa"/>
                  </w:tcMar>
                  <w:vAlign w:val="center"/>
                </w:tcPr>
                <w:p w:rsidR="00AD0E67" w:rsidRDefault="00871784">
                  <w:pPr>
                    <w:spacing w:after="0"/>
                    <w:jc w:val="left"/>
                  </w:pPr>
                  <w:r>
                    <w:rPr>
                      <w:rFonts w:eastAsia="Times New Roman"/>
                      <w:sz w:val="18"/>
                      <w:highlight w:val="green"/>
                    </w:rPr>
                    <w:t>HealthAlignSumm [4]</w:t>
                  </w:r>
                </w:p>
              </w:tc>
              <w:tc>
                <w:tcPr>
                  <w:tcW w:w="1150" w:type="dxa"/>
                  <w:tcMar>
                    <w:top w:w="45" w:type="dxa"/>
                    <w:left w:w="75" w:type="dxa"/>
                    <w:bottom w:w="45" w:type="dxa"/>
                    <w:right w:w="75" w:type="dxa"/>
                  </w:tcMar>
                  <w:vAlign w:val="center"/>
                </w:tcPr>
                <w:p w:rsidR="00AD0E67" w:rsidRDefault="00871784">
                  <w:pPr>
                    <w:spacing w:after="0"/>
                    <w:jc w:val="center"/>
                  </w:pPr>
                  <w:r>
                    <w:rPr>
                      <w:rFonts w:eastAsia="Times New Roman"/>
                      <w:sz w:val="18"/>
                      <w:highlight w:val="green"/>
                    </w:rPr>
                    <w:t>✓</w:t>
                  </w:r>
                </w:p>
              </w:tc>
              <w:tc>
                <w:tcPr>
                  <w:tcW w:w="1050" w:type="dxa"/>
                  <w:tcMar>
                    <w:top w:w="45" w:type="dxa"/>
                    <w:left w:w="75" w:type="dxa"/>
                    <w:bottom w:w="45" w:type="dxa"/>
                    <w:right w:w="75" w:type="dxa"/>
                  </w:tcMar>
                  <w:vAlign w:val="center"/>
                </w:tcPr>
                <w:p w:rsidR="00AD0E67" w:rsidRDefault="00871784">
                  <w:pPr>
                    <w:spacing w:after="0"/>
                    <w:jc w:val="center"/>
                  </w:pPr>
                  <w:r>
                    <w:rPr>
                      <w:rFonts w:eastAsia="Times New Roman"/>
                      <w:sz w:val="18"/>
                      <w:highlight w:val="green"/>
                    </w:rPr>
                    <w:t>✓</w:t>
                  </w:r>
                </w:p>
              </w:tc>
              <w:tc>
                <w:tcPr>
                  <w:tcW w:w="1250" w:type="dxa"/>
                  <w:tcMar>
                    <w:top w:w="45" w:type="dxa"/>
                    <w:left w:w="75" w:type="dxa"/>
                    <w:bottom w:w="45" w:type="dxa"/>
                    <w:right w:w="75" w:type="dxa"/>
                  </w:tcMar>
                  <w:vAlign w:val="center"/>
                </w:tcPr>
                <w:p w:rsidR="00AD0E67" w:rsidRDefault="00871784">
                  <w:pPr>
                    <w:spacing w:after="0"/>
                    <w:jc w:val="center"/>
                  </w:pPr>
                  <w:r>
                    <w:rPr>
                      <w:rFonts w:eastAsia="Times New Roman"/>
                      <w:sz w:val="18"/>
                      <w:highlight w:val="green"/>
                    </w:rPr>
                    <w:t>—</w:t>
                  </w:r>
                </w:p>
              </w:tc>
              <w:tc>
                <w:tcPr>
                  <w:tcW w:w="1250" w:type="dxa"/>
                  <w:tcMar>
                    <w:top w:w="45" w:type="dxa"/>
                    <w:left w:w="75" w:type="dxa"/>
                    <w:bottom w:w="45" w:type="dxa"/>
                    <w:right w:w="75" w:type="dxa"/>
                  </w:tcMar>
                  <w:vAlign w:val="center"/>
                </w:tcPr>
                <w:p w:rsidR="00AD0E67" w:rsidRDefault="00871784">
                  <w:pPr>
                    <w:spacing w:after="0"/>
                    <w:jc w:val="center"/>
                  </w:pPr>
                  <w:r>
                    <w:rPr>
                      <w:rFonts w:eastAsia="Times New Roman"/>
                      <w:sz w:val="18"/>
                      <w:highlight w:val="green"/>
                    </w:rPr>
                    <w:t>—</w:t>
                  </w:r>
                </w:p>
              </w:tc>
              <w:tc>
                <w:tcPr>
                  <w:tcW w:w="1450" w:type="dxa"/>
                  <w:tcMar>
                    <w:top w:w="45" w:type="dxa"/>
                    <w:left w:w="75" w:type="dxa"/>
                    <w:bottom w:w="45" w:type="dxa"/>
                    <w:right w:w="75" w:type="dxa"/>
                  </w:tcMar>
                  <w:vAlign w:val="center"/>
                </w:tcPr>
                <w:p w:rsidR="00AD0E67" w:rsidRDefault="00871784">
                  <w:pPr>
                    <w:spacing w:after="0"/>
                    <w:jc w:val="center"/>
                  </w:pPr>
                  <w:r>
                    <w:rPr>
                      <w:rFonts w:eastAsia="Times New Roman"/>
                      <w:sz w:val="18"/>
                      <w:highlight w:val="green"/>
                    </w:rPr>
                    <w:t>—</w:t>
                  </w:r>
                </w:p>
              </w:tc>
            </w:tr>
            <w:tr w:rsidR="00AD0E67">
              <w:trPr>
                <w:cantSplit/>
                <w:jc w:val="center"/>
              </w:trPr>
              <w:tc>
                <w:tcPr>
                  <w:tcW w:w="2450" w:type="dxa"/>
                  <w:tcMar>
                    <w:top w:w="45" w:type="dxa"/>
                    <w:left w:w="75" w:type="dxa"/>
                    <w:bottom w:w="45" w:type="dxa"/>
                    <w:right w:w="75" w:type="dxa"/>
                  </w:tcMar>
                  <w:vAlign w:val="center"/>
                </w:tcPr>
                <w:p w:rsidR="00AD0E67" w:rsidRDefault="00871784">
                  <w:pPr>
                    <w:spacing w:after="0"/>
                    <w:jc w:val="left"/>
                  </w:pPr>
                  <w:r>
                    <w:rPr>
                      <w:rFonts w:eastAsia="Times New Roman"/>
                      <w:sz w:val="18"/>
                      <w:highlight w:val="green"/>
                    </w:rPr>
                    <w:t>Xiong et al. [5]</w:t>
                  </w:r>
                </w:p>
              </w:tc>
              <w:tc>
                <w:tcPr>
                  <w:tcW w:w="1150" w:type="dxa"/>
                  <w:tcMar>
                    <w:top w:w="45" w:type="dxa"/>
                    <w:left w:w="75" w:type="dxa"/>
                    <w:bottom w:w="45" w:type="dxa"/>
                    <w:right w:w="75" w:type="dxa"/>
                  </w:tcMar>
                  <w:vAlign w:val="center"/>
                </w:tcPr>
                <w:p w:rsidR="00AD0E67" w:rsidRDefault="00871784">
                  <w:pPr>
                    <w:spacing w:after="0"/>
                    <w:jc w:val="center"/>
                  </w:pPr>
                  <w:r>
                    <w:rPr>
                      <w:rFonts w:eastAsia="Times New Roman"/>
                      <w:sz w:val="18"/>
                      <w:highlight w:val="green"/>
                    </w:rPr>
                    <w:t>—</w:t>
                  </w:r>
                </w:p>
              </w:tc>
              <w:tc>
                <w:tcPr>
                  <w:tcW w:w="1050" w:type="dxa"/>
                  <w:tcMar>
                    <w:top w:w="45" w:type="dxa"/>
                    <w:left w:w="75" w:type="dxa"/>
                    <w:bottom w:w="45" w:type="dxa"/>
                    <w:right w:w="75" w:type="dxa"/>
                  </w:tcMar>
                  <w:vAlign w:val="center"/>
                </w:tcPr>
                <w:p w:rsidR="00AD0E67" w:rsidRDefault="00871784">
                  <w:pPr>
                    <w:spacing w:after="0"/>
                    <w:jc w:val="center"/>
                  </w:pPr>
                  <w:r>
                    <w:rPr>
                      <w:rFonts w:eastAsia="Times New Roman"/>
                      <w:sz w:val="18"/>
                      <w:highlight w:val="green"/>
                    </w:rPr>
                    <w:t>✓</w:t>
                  </w:r>
                </w:p>
              </w:tc>
              <w:tc>
                <w:tcPr>
                  <w:tcW w:w="1250" w:type="dxa"/>
                  <w:tcMar>
                    <w:top w:w="45" w:type="dxa"/>
                    <w:left w:w="75" w:type="dxa"/>
                    <w:bottom w:w="45" w:type="dxa"/>
                    <w:right w:w="75" w:type="dxa"/>
                  </w:tcMar>
                  <w:vAlign w:val="center"/>
                </w:tcPr>
                <w:p w:rsidR="00AD0E67" w:rsidRDefault="00871784">
                  <w:pPr>
                    <w:spacing w:after="0"/>
                    <w:jc w:val="center"/>
                  </w:pPr>
                  <w:r>
                    <w:rPr>
                      <w:rFonts w:eastAsia="Times New Roman"/>
                      <w:sz w:val="18"/>
                      <w:highlight w:val="green"/>
                    </w:rPr>
                    <w:t>✓</w:t>
                  </w:r>
                </w:p>
              </w:tc>
              <w:tc>
                <w:tcPr>
                  <w:tcW w:w="1250" w:type="dxa"/>
                  <w:tcMar>
                    <w:top w:w="45" w:type="dxa"/>
                    <w:left w:w="75" w:type="dxa"/>
                    <w:bottom w:w="45" w:type="dxa"/>
                    <w:right w:w="75" w:type="dxa"/>
                  </w:tcMar>
                  <w:vAlign w:val="center"/>
                </w:tcPr>
                <w:p w:rsidR="00AD0E67" w:rsidRDefault="00871784">
                  <w:pPr>
                    <w:spacing w:after="0"/>
                    <w:jc w:val="center"/>
                  </w:pPr>
                  <w:r>
                    <w:rPr>
                      <w:rFonts w:eastAsia="Times New Roman"/>
                      <w:sz w:val="18"/>
                      <w:highlight w:val="green"/>
                    </w:rPr>
                    <w:t>—</w:t>
                  </w:r>
                </w:p>
              </w:tc>
              <w:tc>
                <w:tcPr>
                  <w:tcW w:w="1450" w:type="dxa"/>
                  <w:tcMar>
                    <w:top w:w="45" w:type="dxa"/>
                    <w:left w:w="75" w:type="dxa"/>
                    <w:bottom w:w="45" w:type="dxa"/>
                    <w:right w:w="75" w:type="dxa"/>
                  </w:tcMar>
                  <w:vAlign w:val="center"/>
                </w:tcPr>
                <w:p w:rsidR="00AD0E67" w:rsidRDefault="00871784">
                  <w:pPr>
                    <w:spacing w:after="0"/>
                    <w:jc w:val="center"/>
                  </w:pPr>
                  <w:r>
                    <w:rPr>
                      <w:rFonts w:eastAsia="Times New Roman"/>
                      <w:sz w:val="18"/>
                      <w:highlight w:val="green"/>
                    </w:rPr>
                    <w:t>—</w:t>
                  </w:r>
                </w:p>
              </w:tc>
            </w:tr>
            <w:tr w:rsidR="00AD0E67">
              <w:trPr>
                <w:cantSplit/>
                <w:jc w:val="center"/>
              </w:trPr>
              <w:tc>
                <w:tcPr>
                  <w:tcW w:w="2450" w:type="dxa"/>
                  <w:tcMar>
                    <w:top w:w="45" w:type="dxa"/>
                    <w:left w:w="75" w:type="dxa"/>
                    <w:bottom w:w="45" w:type="dxa"/>
                    <w:right w:w="75" w:type="dxa"/>
                  </w:tcMar>
                  <w:vAlign w:val="center"/>
                </w:tcPr>
                <w:p w:rsidR="00AD0E67" w:rsidRDefault="00871784">
                  <w:pPr>
                    <w:spacing w:after="0"/>
                    <w:jc w:val="left"/>
                  </w:pPr>
                  <w:r>
                    <w:rPr>
                      <w:rFonts w:eastAsia="Times New Roman"/>
                      <w:sz w:val="18"/>
                      <w:highlight w:val="green"/>
                    </w:rPr>
                    <w:t>MMed-RAG [6]</w:t>
                  </w:r>
                </w:p>
              </w:tc>
              <w:tc>
                <w:tcPr>
                  <w:tcW w:w="1150" w:type="dxa"/>
                  <w:tcMar>
                    <w:top w:w="45" w:type="dxa"/>
                    <w:left w:w="75" w:type="dxa"/>
                    <w:bottom w:w="45" w:type="dxa"/>
                    <w:right w:w="75" w:type="dxa"/>
                  </w:tcMar>
                  <w:vAlign w:val="center"/>
                </w:tcPr>
                <w:p w:rsidR="00AD0E67" w:rsidRDefault="00871784">
                  <w:pPr>
                    <w:spacing w:after="0"/>
                    <w:jc w:val="center"/>
                  </w:pPr>
                  <w:r>
                    <w:rPr>
                      <w:rFonts w:eastAsia="Times New Roman"/>
                      <w:sz w:val="18"/>
                      <w:highlight w:val="green"/>
                    </w:rPr>
                    <w:t>—</w:t>
                  </w:r>
                </w:p>
              </w:tc>
              <w:tc>
                <w:tcPr>
                  <w:tcW w:w="1050" w:type="dxa"/>
                  <w:tcMar>
                    <w:top w:w="45" w:type="dxa"/>
                    <w:left w:w="75" w:type="dxa"/>
                    <w:bottom w:w="45" w:type="dxa"/>
                    <w:right w:w="75" w:type="dxa"/>
                  </w:tcMar>
                  <w:vAlign w:val="center"/>
                </w:tcPr>
                <w:p w:rsidR="00AD0E67" w:rsidRDefault="00871784">
                  <w:pPr>
                    <w:spacing w:after="0"/>
                    <w:jc w:val="center"/>
                  </w:pPr>
                  <w:r>
                    <w:rPr>
                      <w:rFonts w:eastAsia="Times New Roman"/>
                      <w:sz w:val="18"/>
                      <w:highlight w:val="green"/>
                    </w:rPr>
                    <w:t>✓</w:t>
                  </w:r>
                </w:p>
              </w:tc>
              <w:tc>
                <w:tcPr>
                  <w:tcW w:w="1250" w:type="dxa"/>
                  <w:tcMar>
                    <w:top w:w="45" w:type="dxa"/>
                    <w:left w:w="75" w:type="dxa"/>
                    <w:bottom w:w="45" w:type="dxa"/>
                    <w:right w:w="75" w:type="dxa"/>
                  </w:tcMar>
                  <w:vAlign w:val="center"/>
                </w:tcPr>
                <w:p w:rsidR="00AD0E67" w:rsidRDefault="00871784">
                  <w:pPr>
                    <w:spacing w:after="0"/>
                    <w:jc w:val="center"/>
                  </w:pPr>
                  <w:r>
                    <w:rPr>
                      <w:rFonts w:eastAsia="Times New Roman"/>
                      <w:sz w:val="18"/>
                      <w:highlight w:val="green"/>
                    </w:rPr>
                    <w:t>~</w:t>
                  </w:r>
                </w:p>
              </w:tc>
              <w:tc>
                <w:tcPr>
                  <w:tcW w:w="1250" w:type="dxa"/>
                  <w:tcMar>
                    <w:top w:w="45" w:type="dxa"/>
                    <w:left w:w="75" w:type="dxa"/>
                    <w:bottom w:w="45" w:type="dxa"/>
                    <w:right w:w="75" w:type="dxa"/>
                  </w:tcMar>
                  <w:vAlign w:val="center"/>
                </w:tcPr>
                <w:p w:rsidR="00AD0E67" w:rsidRDefault="00871784">
                  <w:pPr>
                    <w:spacing w:after="0"/>
                    <w:jc w:val="center"/>
                  </w:pPr>
                  <w:r>
                    <w:rPr>
                      <w:rFonts w:eastAsia="Times New Roman"/>
                      <w:sz w:val="18"/>
                      <w:highlight w:val="green"/>
                    </w:rPr>
                    <w:t>—</w:t>
                  </w:r>
                </w:p>
              </w:tc>
              <w:tc>
                <w:tcPr>
                  <w:tcW w:w="1450" w:type="dxa"/>
                  <w:tcMar>
                    <w:top w:w="45" w:type="dxa"/>
                    <w:left w:w="75" w:type="dxa"/>
                    <w:bottom w:w="45" w:type="dxa"/>
                    <w:right w:w="75" w:type="dxa"/>
                  </w:tcMar>
                  <w:vAlign w:val="center"/>
                </w:tcPr>
                <w:p w:rsidR="00AD0E67" w:rsidRDefault="00871784">
                  <w:pPr>
                    <w:spacing w:after="0"/>
                    <w:jc w:val="center"/>
                  </w:pPr>
                  <w:r>
                    <w:rPr>
                      <w:rFonts w:eastAsia="Times New Roman"/>
                      <w:sz w:val="18"/>
                      <w:highlight w:val="green"/>
                    </w:rPr>
                    <w:t>—</w:t>
                  </w:r>
                </w:p>
              </w:tc>
            </w:tr>
            <w:tr w:rsidR="00AD0E67">
              <w:trPr>
                <w:cantSplit/>
                <w:jc w:val="center"/>
              </w:trPr>
              <w:tc>
                <w:tcPr>
                  <w:tcW w:w="2450" w:type="dxa"/>
                  <w:tcMar>
                    <w:top w:w="45" w:type="dxa"/>
                    <w:left w:w="75" w:type="dxa"/>
                    <w:bottom w:w="45" w:type="dxa"/>
                    <w:right w:w="75" w:type="dxa"/>
                  </w:tcMar>
                  <w:vAlign w:val="center"/>
                </w:tcPr>
                <w:p w:rsidR="00AD0E67" w:rsidRDefault="00871784">
                  <w:pPr>
                    <w:spacing w:after="0"/>
                    <w:jc w:val="left"/>
                  </w:pPr>
                  <w:r>
                    <w:rPr>
                      <w:rFonts w:eastAsia="Times New Roman"/>
                      <w:sz w:val="18"/>
                      <w:highlight w:val="green"/>
                    </w:rPr>
                    <w:t>CroCoSum [10]</w:t>
                  </w:r>
                </w:p>
              </w:tc>
              <w:tc>
                <w:tcPr>
                  <w:tcW w:w="1150" w:type="dxa"/>
                  <w:tcMar>
                    <w:top w:w="45" w:type="dxa"/>
                    <w:left w:w="75" w:type="dxa"/>
                    <w:bottom w:w="45" w:type="dxa"/>
                    <w:right w:w="75" w:type="dxa"/>
                  </w:tcMar>
                  <w:vAlign w:val="center"/>
                </w:tcPr>
                <w:p w:rsidR="00AD0E67" w:rsidRDefault="00871784">
                  <w:pPr>
                    <w:spacing w:after="0"/>
                    <w:jc w:val="center"/>
                  </w:pPr>
                  <w:r>
                    <w:rPr>
                      <w:rFonts w:eastAsia="Times New Roman"/>
                      <w:sz w:val="18"/>
                      <w:highlight w:val="green"/>
                    </w:rPr>
                    <w:t>✓</w:t>
                  </w:r>
                </w:p>
              </w:tc>
              <w:tc>
                <w:tcPr>
                  <w:tcW w:w="1050" w:type="dxa"/>
                  <w:tcMar>
                    <w:top w:w="45" w:type="dxa"/>
                    <w:left w:w="75" w:type="dxa"/>
                    <w:bottom w:w="45" w:type="dxa"/>
                    <w:right w:w="75" w:type="dxa"/>
                  </w:tcMar>
                  <w:vAlign w:val="center"/>
                </w:tcPr>
                <w:p w:rsidR="00AD0E67" w:rsidRDefault="00871784">
                  <w:pPr>
                    <w:spacing w:after="0"/>
                    <w:jc w:val="center"/>
                  </w:pPr>
                  <w:r>
                    <w:rPr>
                      <w:rFonts w:eastAsia="Times New Roman"/>
                      <w:sz w:val="18"/>
                      <w:highlight w:val="green"/>
                    </w:rPr>
                    <w:t>—</w:t>
                  </w:r>
                </w:p>
              </w:tc>
              <w:tc>
                <w:tcPr>
                  <w:tcW w:w="1250" w:type="dxa"/>
                  <w:tcMar>
                    <w:top w:w="45" w:type="dxa"/>
                    <w:left w:w="75" w:type="dxa"/>
                    <w:bottom w:w="45" w:type="dxa"/>
                    <w:right w:w="75" w:type="dxa"/>
                  </w:tcMar>
                  <w:vAlign w:val="center"/>
                </w:tcPr>
                <w:p w:rsidR="00AD0E67" w:rsidRDefault="00871784">
                  <w:pPr>
                    <w:spacing w:after="0"/>
                    <w:jc w:val="center"/>
                  </w:pPr>
                  <w:r>
                    <w:rPr>
                      <w:rFonts w:eastAsia="Times New Roman"/>
                      <w:sz w:val="18"/>
                      <w:highlight w:val="green"/>
                    </w:rPr>
                    <w:t>—</w:t>
                  </w:r>
                </w:p>
              </w:tc>
              <w:tc>
                <w:tcPr>
                  <w:tcW w:w="1250" w:type="dxa"/>
                  <w:tcMar>
                    <w:top w:w="45" w:type="dxa"/>
                    <w:left w:w="75" w:type="dxa"/>
                    <w:bottom w:w="45" w:type="dxa"/>
                    <w:right w:w="75" w:type="dxa"/>
                  </w:tcMar>
                  <w:vAlign w:val="center"/>
                </w:tcPr>
                <w:p w:rsidR="00AD0E67" w:rsidRDefault="00871784">
                  <w:pPr>
                    <w:spacing w:after="0"/>
                    <w:jc w:val="center"/>
                  </w:pPr>
                  <w:r>
                    <w:rPr>
                      <w:rFonts w:eastAsia="Times New Roman"/>
                      <w:sz w:val="18"/>
                      <w:highlight w:val="green"/>
                    </w:rPr>
                    <w:t>✓</w:t>
                  </w:r>
                </w:p>
              </w:tc>
              <w:tc>
                <w:tcPr>
                  <w:tcW w:w="1450" w:type="dxa"/>
                  <w:tcMar>
                    <w:top w:w="45" w:type="dxa"/>
                    <w:left w:w="75" w:type="dxa"/>
                    <w:bottom w:w="45" w:type="dxa"/>
                    <w:right w:w="75" w:type="dxa"/>
                  </w:tcMar>
                  <w:vAlign w:val="center"/>
                </w:tcPr>
                <w:p w:rsidR="00AD0E67" w:rsidRDefault="00871784">
                  <w:pPr>
                    <w:spacing w:after="0"/>
                    <w:jc w:val="center"/>
                  </w:pPr>
                  <w:r>
                    <w:rPr>
                      <w:rFonts w:eastAsia="Times New Roman"/>
                      <w:sz w:val="18"/>
                      <w:highlight w:val="green"/>
                    </w:rPr>
                    <w:t>—</w:t>
                  </w:r>
                </w:p>
              </w:tc>
            </w:tr>
            <w:tr w:rsidR="00AD0E67">
              <w:trPr>
                <w:cantSplit/>
                <w:jc w:val="center"/>
              </w:trPr>
              <w:tc>
                <w:tcPr>
                  <w:tcW w:w="2450" w:type="dxa"/>
                  <w:tcMar>
                    <w:top w:w="45" w:type="dxa"/>
                    <w:left w:w="75" w:type="dxa"/>
                    <w:bottom w:w="45" w:type="dxa"/>
                    <w:right w:w="75" w:type="dxa"/>
                  </w:tcMar>
                  <w:vAlign w:val="center"/>
                </w:tcPr>
                <w:p w:rsidR="00AD0E67" w:rsidRDefault="00871784">
                  <w:pPr>
                    <w:spacing w:after="0"/>
                    <w:jc w:val="left"/>
                  </w:pPr>
                  <w:r>
                    <w:rPr>
                      <w:rFonts w:eastAsia="Times New Roman"/>
                      <w:sz w:val="18"/>
                      <w:highlight w:val="green"/>
                    </w:rPr>
                    <w:t>HiFactMix [11]</w:t>
                  </w:r>
                </w:p>
              </w:tc>
              <w:tc>
                <w:tcPr>
                  <w:tcW w:w="1150" w:type="dxa"/>
                  <w:tcMar>
                    <w:top w:w="45" w:type="dxa"/>
                    <w:left w:w="75" w:type="dxa"/>
                    <w:bottom w:w="45" w:type="dxa"/>
                    <w:right w:w="75" w:type="dxa"/>
                  </w:tcMar>
                  <w:vAlign w:val="center"/>
                </w:tcPr>
                <w:p w:rsidR="00AD0E67" w:rsidRDefault="00871784">
                  <w:pPr>
                    <w:spacing w:after="0"/>
                    <w:jc w:val="center"/>
                  </w:pPr>
                  <w:r>
                    <w:rPr>
                      <w:rFonts w:eastAsia="Times New Roman"/>
                      <w:sz w:val="18"/>
                      <w:highlight w:val="green"/>
                    </w:rPr>
                    <w:t>✓</w:t>
                  </w:r>
                </w:p>
              </w:tc>
              <w:tc>
                <w:tcPr>
                  <w:tcW w:w="1050" w:type="dxa"/>
                  <w:tcMar>
                    <w:top w:w="45" w:type="dxa"/>
                    <w:left w:w="75" w:type="dxa"/>
                    <w:bottom w:w="45" w:type="dxa"/>
                    <w:right w:w="75" w:type="dxa"/>
                  </w:tcMar>
                  <w:vAlign w:val="center"/>
                </w:tcPr>
                <w:p w:rsidR="00AD0E67" w:rsidRDefault="00871784">
                  <w:pPr>
                    <w:spacing w:after="0"/>
                    <w:jc w:val="center"/>
                  </w:pPr>
                  <w:r>
                    <w:rPr>
                      <w:rFonts w:eastAsia="Times New Roman"/>
                      <w:sz w:val="18"/>
                      <w:highlight w:val="green"/>
                    </w:rPr>
                    <w:t>—</w:t>
                  </w:r>
                </w:p>
              </w:tc>
              <w:tc>
                <w:tcPr>
                  <w:tcW w:w="1250" w:type="dxa"/>
                  <w:tcMar>
                    <w:top w:w="45" w:type="dxa"/>
                    <w:left w:w="75" w:type="dxa"/>
                    <w:bottom w:w="45" w:type="dxa"/>
                    <w:right w:w="75" w:type="dxa"/>
                  </w:tcMar>
                  <w:vAlign w:val="center"/>
                </w:tcPr>
                <w:p w:rsidR="00AD0E67" w:rsidRDefault="00871784">
                  <w:pPr>
                    <w:spacing w:after="0"/>
                    <w:jc w:val="center"/>
                  </w:pPr>
                  <w:r>
                    <w:rPr>
                      <w:rFonts w:eastAsia="Times New Roman"/>
                      <w:sz w:val="18"/>
                      <w:highlight w:val="green"/>
                    </w:rPr>
                    <w:t>~</w:t>
                  </w:r>
                </w:p>
              </w:tc>
              <w:tc>
                <w:tcPr>
                  <w:tcW w:w="1250" w:type="dxa"/>
                  <w:tcMar>
                    <w:top w:w="45" w:type="dxa"/>
                    <w:left w:w="75" w:type="dxa"/>
                    <w:bottom w:w="45" w:type="dxa"/>
                    <w:right w:w="75" w:type="dxa"/>
                  </w:tcMar>
                  <w:vAlign w:val="center"/>
                </w:tcPr>
                <w:p w:rsidR="00AD0E67" w:rsidRDefault="00871784">
                  <w:pPr>
                    <w:spacing w:after="0"/>
                    <w:jc w:val="center"/>
                  </w:pPr>
                  <w:r>
                    <w:rPr>
                      <w:rFonts w:eastAsia="Times New Roman"/>
                      <w:sz w:val="18"/>
                      <w:highlight w:val="green"/>
                    </w:rPr>
                    <w:t>—</w:t>
                  </w:r>
                </w:p>
              </w:tc>
              <w:tc>
                <w:tcPr>
                  <w:tcW w:w="1450" w:type="dxa"/>
                  <w:tcMar>
                    <w:top w:w="45" w:type="dxa"/>
                    <w:left w:w="75" w:type="dxa"/>
                    <w:bottom w:w="45" w:type="dxa"/>
                    <w:right w:w="75" w:type="dxa"/>
                  </w:tcMar>
                  <w:vAlign w:val="center"/>
                </w:tcPr>
                <w:p w:rsidR="00AD0E67" w:rsidRDefault="00871784">
                  <w:pPr>
                    <w:spacing w:after="0"/>
                    <w:jc w:val="center"/>
                  </w:pPr>
                  <w:r>
                    <w:rPr>
                      <w:rFonts w:eastAsia="Times New Roman"/>
                      <w:sz w:val="18"/>
                      <w:highlight w:val="green"/>
                    </w:rPr>
                    <w:t>—</w:t>
                  </w:r>
                </w:p>
              </w:tc>
            </w:tr>
            <w:tr w:rsidR="00AD0E67">
              <w:trPr>
                <w:cantSplit/>
                <w:jc w:val="center"/>
              </w:trPr>
              <w:tc>
                <w:tcPr>
                  <w:tcW w:w="2450" w:type="dxa"/>
                  <w:tcBorders>
                    <w:bottom w:val="single" w:sz="10" w:space="0" w:color="000000"/>
                  </w:tcBorders>
                  <w:tcMar>
                    <w:top w:w="45" w:type="dxa"/>
                    <w:left w:w="75" w:type="dxa"/>
                    <w:bottom w:w="45" w:type="dxa"/>
                    <w:right w:w="75" w:type="dxa"/>
                  </w:tcMar>
                  <w:vAlign w:val="center"/>
                </w:tcPr>
                <w:p w:rsidR="00AD0E67" w:rsidRDefault="00871784">
                  <w:pPr>
                    <w:spacing w:after="0"/>
                    <w:jc w:val="left"/>
                  </w:pPr>
                  <w:r>
                    <w:rPr>
                      <w:rFonts w:eastAsia="Times New Roman"/>
                      <w:b/>
                      <w:sz w:val="18"/>
                      <w:highlight w:val="green"/>
                    </w:rPr>
                    <w:t>This work</w:t>
                  </w:r>
                </w:p>
              </w:tc>
              <w:tc>
                <w:tcPr>
                  <w:tcW w:w="1150" w:type="dxa"/>
                  <w:tcBorders>
                    <w:bottom w:val="single" w:sz="10" w:space="0" w:color="000000"/>
                  </w:tcBorders>
                  <w:tcMar>
                    <w:top w:w="45" w:type="dxa"/>
                    <w:left w:w="75" w:type="dxa"/>
                    <w:bottom w:w="45" w:type="dxa"/>
                    <w:right w:w="75" w:type="dxa"/>
                  </w:tcMar>
                  <w:vAlign w:val="center"/>
                </w:tcPr>
                <w:p w:rsidR="00AD0E67" w:rsidRDefault="00871784">
                  <w:pPr>
                    <w:spacing w:after="0"/>
                    <w:jc w:val="center"/>
                  </w:pPr>
                  <w:r>
                    <w:rPr>
                      <w:rFonts w:eastAsia="Times New Roman"/>
                      <w:sz w:val="18"/>
                      <w:highlight w:val="green"/>
                    </w:rPr>
                    <w:t>✓</w:t>
                  </w:r>
                </w:p>
              </w:tc>
              <w:tc>
                <w:tcPr>
                  <w:tcW w:w="1050" w:type="dxa"/>
                  <w:tcBorders>
                    <w:bottom w:val="single" w:sz="10" w:space="0" w:color="000000"/>
                  </w:tcBorders>
                  <w:tcMar>
                    <w:top w:w="45" w:type="dxa"/>
                    <w:left w:w="75" w:type="dxa"/>
                    <w:bottom w:w="45" w:type="dxa"/>
                    <w:right w:w="75" w:type="dxa"/>
                  </w:tcMar>
                  <w:vAlign w:val="center"/>
                </w:tcPr>
                <w:p w:rsidR="00AD0E67" w:rsidRDefault="00871784">
                  <w:pPr>
                    <w:spacing w:after="0"/>
                    <w:jc w:val="center"/>
                  </w:pPr>
                  <w:r>
                    <w:rPr>
                      <w:rFonts w:eastAsia="Times New Roman"/>
                      <w:sz w:val="18"/>
                      <w:highlight w:val="green"/>
                    </w:rPr>
                    <w:t>✓</w:t>
                  </w:r>
                </w:p>
              </w:tc>
              <w:tc>
                <w:tcPr>
                  <w:tcW w:w="1250" w:type="dxa"/>
                  <w:tcBorders>
                    <w:bottom w:val="single" w:sz="10" w:space="0" w:color="000000"/>
                  </w:tcBorders>
                  <w:tcMar>
                    <w:top w:w="45" w:type="dxa"/>
                    <w:left w:w="75" w:type="dxa"/>
                    <w:bottom w:w="45" w:type="dxa"/>
                    <w:right w:w="75" w:type="dxa"/>
                  </w:tcMar>
                  <w:vAlign w:val="center"/>
                </w:tcPr>
                <w:p w:rsidR="00AD0E67" w:rsidRDefault="00871784">
                  <w:pPr>
                    <w:spacing w:after="0"/>
                    <w:jc w:val="center"/>
                  </w:pPr>
                  <w:r>
                    <w:rPr>
                      <w:rFonts w:eastAsia="Times New Roman"/>
                      <w:sz w:val="18"/>
                      <w:highlight w:val="green"/>
                    </w:rPr>
                    <w:t>✓</w:t>
                  </w:r>
                </w:p>
              </w:tc>
              <w:tc>
                <w:tcPr>
                  <w:tcW w:w="1250" w:type="dxa"/>
                  <w:tcBorders>
                    <w:bottom w:val="single" w:sz="10" w:space="0" w:color="000000"/>
                  </w:tcBorders>
                  <w:tcMar>
                    <w:top w:w="45" w:type="dxa"/>
                    <w:left w:w="75" w:type="dxa"/>
                    <w:bottom w:w="45" w:type="dxa"/>
                    <w:right w:w="75" w:type="dxa"/>
                  </w:tcMar>
                  <w:vAlign w:val="center"/>
                </w:tcPr>
                <w:p w:rsidR="00AD0E67" w:rsidRDefault="00871784">
                  <w:pPr>
                    <w:spacing w:after="0"/>
                    <w:jc w:val="center"/>
                  </w:pPr>
                  <w:r>
                    <w:rPr>
                      <w:rFonts w:eastAsia="Times New Roman"/>
                      <w:sz w:val="18"/>
                      <w:highlight w:val="green"/>
                    </w:rPr>
                    <w:t>✓ (summaries)</w:t>
                  </w:r>
                </w:p>
              </w:tc>
              <w:tc>
                <w:tcPr>
                  <w:tcW w:w="1450" w:type="dxa"/>
                  <w:tcBorders>
                    <w:bottom w:val="single" w:sz="10" w:space="0" w:color="000000"/>
                  </w:tcBorders>
                  <w:tcMar>
                    <w:top w:w="45" w:type="dxa"/>
                    <w:left w:w="75" w:type="dxa"/>
                    <w:bottom w:w="45" w:type="dxa"/>
                    <w:right w:w="75" w:type="dxa"/>
                  </w:tcMar>
                  <w:vAlign w:val="center"/>
                </w:tcPr>
                <w:p w:rsidR="00AD0E67" w:rsidRDefault="00871784">
                  <w:pPr>
                    <w:spacing w:after="0"/>
                    <w:jc w:val="center"/>
                  </w:pPr>
                  <w:r>
                    <w:rPr>
                      <w:rFonts w:eastAsia="Times New Roman"/>
                      <w:sz w:val="18"/>
                      <w:highlight w:val="green"/>
                    </w:rPr>
                    <w:t>✓</w:t>
                  </w:r>
                </w:p>
              </w:tc>
            </w:tr>
          </w:tbl>
          <w:p w:rsidR="00AD0E67" w:rsidRDefault="00AD0E67">
            <w:pPr>
              <w:spacing w:after="0" w:line="60" w:lineRule="exact"/>
            </w:pPr>
          </w:p>
        </w:tc>
      </w:tr>
    </w:tbl>
    <w:p w:rsidR="00AD0E67" w:rsidRDefault="00871784">
      <w:pPr>
        <w:pStyle w:val="ICCSDIHeading1"/>
      </w:pPr>
      <w:r>
        <w:rPr>
          <w:rFonts w:eastAsia="Times New Roman"/>
        </w:rPr>
        <w:lastRenderedPageBreak/>
        <w:t>3</w:t>
      </w:r>
      <w:r w:rsidR="00330BC1">
        <w:rPr>
          <w:rFonts w:eastAsia="Times New Roman"/>
        </w:rPr>
        <w:t>.</w:t>
      </w:r>
      <w:r>
        <w:rPr>
          <w:rFonts w:eastAsia="Times New Roman"/>
        </w:rPr>
        <w:t xml:space="preserve">  Materials and Methods</w:t>
      </w:r>
    </w:p>
    <w:p w:rsidR="00AD0E67" w:rsidRDefault="00871784" w:rsidP="0096304F">
      <w:pPr>
        <w:keepLines/>
        <w:spacing w:after="0"/>
        <w:rPr>
          <w:rFonts w:eastAsia="Times New Roman"/>
        </w:rPr>
      </w:pPr>
      <w:r>
        <w:rPr>
          <w:rFonts w:eastAsia="Times New Roman"/>
        </w:rPr>
        <w:t>The pipeline is intentionally standard; every design choice that turned out to matter (chunking, sequence limits, the code-mixing index, the scoring reference) is reported with its measured consequence in Sect. 5. All symbols are defined at first use.</w:t>
      </w:r>
    </w:p>
    <w:p w:rsidR="0096304F" w:rsidRPr="00200DCA" w:rsidRDefault="0096304F" w:rsidP="0096304F">
      <w:pPr>
        <w:pStyle w:val="ICCSDIHeading2"/>
        <w:spacing w:before="0" w:after="0"/>
        <w:rPr>
          <w:rFonts w:eastAsia="Times New Roman"/>
          <w:sz w:val="16"/>
          <w:szCs w:val="16"/>
        </w:rPr>
      </w:pPr>
    </w:p>
    <w:p w:rsidR="00AD0E67" w:rsidRDefault="00871784" w:rsidP="0096304F">
      <w:pPr>
        <w:pStyle w:val="ICCSDIHeading2"/>
        <w:spacing w:before="0"/>
      </w:pPr>
      <w:r>
        <w:rPr>
          <w:rFonts w:eastAsia="Times New Roman"/>
        </w:rPr>
        <w:t>3</w:t>
      </w:r>
      <w:r w:rsidR="007233A8">
        <w:rPr>
          <w:rFonts w:eastAsia="Times New Roman"/>
        </w:rPr>
        <w:t xml:space="preserve">.1 </w:t>
      </w:r>
      <w:r>
        <w:rPr>
          <w:rFonts w:eastAsia="Times New Roman"/>
        </w:rPr>
        <w:t>Problem Formulation</w:t>
      </w:r>
    </w:p>
    <w:p w:rsidR="007233A8" w:rsidRDefault="007233A8" w:rsidP="007233A8">
      <w:pPr>
        <w:spacing w:after="0" w:line="240" w:lineRule="auto"/>
        <w:rPr>
          <w:rFonts w:eastAsia="Times New Roman" w:cs="Times New Roman"/>
          <w:szCs w:val="20"/>
          <w:lang w:val="en-IN" w:eastAsia="en-IN" w:bidi="mr-IN"/>
        </w:rPr>
      </w:pPr>
      <w:proofErr w:type="spellStart"/>
      <w:proofErr w:type="spellEnd"/>
      <w:proofErr w:type="spellStart"/>
      <w:proofErr w:type="spellEnd"/>
      <w:proofErr w:type="spellStart"/>
      <w:proofErr w:type="spellEnd"/>
      <w:proofErr w:type="gramStart"/>
      <w:proofErr w:type="gramEnd"/>
      <w:proofErr w:type="spellStart"/>
      <w:proofErr w:type="spellEnd"/>
      <w:r>
        <w:rPr>
          <w:rFonts w:eastAsia="Times New Roman" w:cs="Times New Roman"/>
          <w:szCs w:val="20"/>
          <w:lang w:val="en-IN" w:eastAsia="en-IN" w:bidi="mr-IN"/>
        </w:rPr>
        <w:t>The evaluation items are pairs (</w:t>
      </w:r>
      <w:r>
        <w:rPr>
          <w:rFonts w:eastAsia="Times New Roman" w:cs="Times New Roman"/>
          <w:i/>
          <w:szCs w:val="20"/>
          <w:lang w:val="en-IN" w:eastAsia="en-IN" w:bidi="mr-IN"/>
        </w:rPr>
        <w:t>q</w:t>
      </w:r>
      <w:r>
        <w:rPr>
          <w:rFonts w:eastAsia="Times New Roman" w:cs="Times New Roman"/>
          <w:szCs w:val="20"/>
          <w:lang w:val="en-IN" w:eastAsia="en-IN" w:bidi="mr-IN"/>
        </w:rPr>
        <w:t xml:space="preserve">, </w:t>
      </w:r>
      <w:r>
        <w:rPr>
          <w:rFonts w:eastAsia="Times New Roman" w:cs="Times New Roman"/>
          <w:i/>
          <w:szCs w:val="20"/>
          <w:lang w:val="en-IN" w:eastAsia="en-IN" w:bidi="mr-IN"/>
        </w:rPr>
        <w:t>q</w:t>
      </w:r>
      <w:r>
        <w:rPr>
          <w:rFonts w:eastAsia="Times New Roman" w:cs="Times New Roman"/>
          <w:szCs w:val="20"/>
          <w:vertAlign w:val="subscript"/>
          <w:lang w:val="en-IN" w:eastAsia="en-IN" w:bidi="mr-IN"/>
        </w:rPr>
        <w:t>E</w:t>
      </w:r>
      <w:r>
        <w:rPr>
          <w:rFonts w:eastAsia="Times New Roman" w:cs="Times New Roman"/>
          <w:szCs w:val="20"/>
          <w:lang w:val="en-IN" w:eastAsia="en-IN" w:bidi="mr-IN"/>
        </w:rPr>
        <w:t xml:space="preserve">): a Hinglish patient question </w:t>
      </w:r>
      <w:r>
        <w:rPr>
          <w:rFonts w:eastAsia="Times New Roman" w:cs="Times New Roman"/>
          <w:i/>
          <w:szCs w:val="20"/>
          <w:lang w:val="en-IN" w:eastAsia="en-IN" w:bidi="mr-IN"/>
        </w:rPr>
        <w:t>q</w:t>
      </w:r>
      <w:r>
        <w:rPr>
          <w:rFonts w:eastAsia="Times New Roman" w:cs="Times New Roman"/>
          <w:szCs w:val="20"/>
          <w:lang w:val="en-IN" w:eastAsia="en-IN" w:bidi="mr-IN"/>
        </w:rPr>
        <w:t xml:space="preserve"> together with its gold, human-written English </w:t>
      </w:r>
      <w:commentRangeStart w:id="10"/>
      <w:r>
        <w:rPr>
          <w:rFonts w:eastAsia="Times New Roman" w:cs="Times New Roman"/>
          <w:szCs w:val="20"/>
          <w:highlight w:val="yellow"/>
          <w:lang w:val="en-IN" w:eastAsia="en-IN" w:bidi="mr-IN"/>
        </w:rPr>
        <w:t xml:space="preserve">summary </w:t>
      </w:r>
      <w:commentRangeEnd w:id="10"/>
      <w:r>
        <w:rPr>
          <w:rStyle w:val="CommentReference"/>
        </w:rPr>
        <w:commentReference w:id="10"/>
      </w:r>
      <w:r>
        <w:rPr>
          <w:rFonts w:eastAsia="Times New Roman" w:cs="Times New Roman"/>
          <w:i/>
          <w:szCs w:val="20"/>
          <w:highlight w:val="yellow"/>
          <w:lang w:val="en-IN" w:eastAsia="en-IN" w:bidi="mr-IN"/>
        </w:rPr>
        <w:t>q</w:t>
      </w:r>
      <w:r>
        <w:rPr>
          <w:rFonts w:eastAsia="Times New Roman" w:cs="Times New Roman"/>
          <w:szCs w:val="20"/>
          <w:highlight w:val="yellow"/>
          <w:vertAlign w:val="subscript"/>
          <w:lang w:val="en-IN" w:eastAsia="en-IN" w:bidi="mr-IN"/>
        </w:rPr>
        <w:t>E</w:t>
      </w:r>
      <w:r>
        <w:rPr>
          <w:rFonts w:eastAsia="Times New Roman" w:cs="Times New Roman"/>
          <w:szCs w:val="20"/>
          <w:highlight w:val="yellow"/>
          <w:lang w:val="en-IN" w:eastAsia="en-IN" w:bidi="mr-IN"/>
        </w:rPr>
        <w:t xml:space="preserve"> — a clinician-style condensation of the same question (median 20 words against 92 for </w:t>
      </w:r>
      <w:r>
        <w:rPr>
          <w:rFonts w:eastAsia="Times New Roman" w:cs="Times New Roman"/>
          <w:i/>
          <w:szCs w:val="20"/>
          <w:highlight w:val="yellow"/>
          <w:lang w:val="en-IN" w:eastAsia="en-IN" w:bidi="mr-IN"/>
        </w:rPr>
        <w:t>q</w:t>
      </w:r>
      <w:r>
        <w:rPr>
          <w:rFonts w:eastAsia="Times New Roman" w:cs="Times New Roman"/>
          <w:szCs w:val="20"/>
          <w:highlight w:val="yellow"/>
          <w:lang w:val="en-IN" w:eastAsia="en-IN" w:bidi="mr-IN"/>
        </w:rPr>
        <w:t>; Sect. 5.1 measures the consequence)</w:t>
      </w:r>
      <w:r>
        <w:rPr>
          <w:rFonts w:eastAsia="Times New Roman" w:cs="Times New Roman"/>
          <w:szCs w:val="20"/>
          <w:lang w:val="en-IN" w:eastAsia="en-IN" w:bidi="mr-IN"/>
        </w:rPr>
        <w:t xml:space="preserve">. The evidence corpus comprises 10,000 English MultiCaRe case narratives drawn from 18 condition groups, segmented into 41,746 passages. A retrieval system </w:t>
      </w:r>
      <w:r>
        <w:rPr>
          <w:rFonts w:eastAsia="Times New Roman" w:cs="Times New Roman"/>
          <w:i/>
          <w:szCs w:val="20"/>
          <w:lang w:val="en-IN" w:eastAsia="en-IN" w:bidi="mr-IN"/>
        </w:rPr>
        <w:t>s</w:t>
      </w:r>
      <w:r>
        <w:rPr>
          <w:rFonts w:eastAsia="Times New Roman" w:cs="Times New Roman"/>
          <w:szCs w:val="20"/>
          <w:lang w:val="en-IN" w:eastAsia="en-IN" w:bidi="mr-IN"/>
        </w:rPr>
        <w:t xml:space="preserve"> maps a query onto a ranked list of cases; </w:t>
      </w:r>
      <w:r>
        <w:rPr>
          <w:rFonts w:eastAsia="Times New Roman" w:cs="Times New Roman"/>
          <w:szCs w:val="20"/>
          <w:highlight w:val="cyan"/>
          <w:lang w:val="en-IN" w:eastAsia="en-IN" w:bidi="mr-IN"/>
        </w:rPr>
        <w:t>Success@1</w:t>
      </w:r>
      <w:r>
        <w:rPr>
          <w:rFonts w:eastAsia="Times New Roman" w:cs="Times New Roman"/>
          <w:i/>
          <w:szCs w:val="20"/>
          <w:highlight w:val="cyan"/>
          <w:vertAlign w:val="subscript"/>
          <w:lang w:val="en-IN" w:eastAsia="en-IN" w:bidi="mr-IN"/>
        </w:rPr>
        <w:t>s</w:t>
      </w:r>
      <w:r>
        <w:rPr>
          <w:rFonts w:eastAsia="Times New Roman" w:cs="Times New Roman"/>
          <w:szCs w:val="20"/>
          <w:highlight w:val="cyan"/>
          <w:lang w:val="en-IN" w:eastAsia="en-IN" w:bidi="mr-IN"/>
        </w:rPr>
        <w:t>(·)</w:t>
      </w:r>
      <w:r>
        <w:rPr>
          <w:rFonts w:eastAsia="Times New Roman" w:cs="Times New Roman"/>
          <w:szCs w:val="20"/>
          <w:lang w:val="en-IN" w:eastAsia="en-IN" w:bidi="mr-IN"/>
        </w:rPr>
        <w:t xml:space="preserve"> is the proportion of queries for which the top-ranked case falls in the same condition group as the query</w:t>
      </w:r>
      <w:r>
        <w:rPr>
          <w:rFonts w:eastAsia="Times New Roman" w:cs="Times New Roman"/>
          <w:szCs w:val="20"/>
          <w:highlight w:val="cyan"/>
          <w:lang w:val="en-IN" w:eastAsia="en-IN" w:bidi="mr-IN"/>
        </w:rPr>
        <w:t xml:space="preserve"> (a hit rate: with a median of 597 relevant cases per query it is not recall, and it is named accordingly)</w:t>
      </w:r>
      <w:r>
        <w:rPr>
          <w:rFonts w:eastAsia="Times New Roman" w:cs="Times New Roman"/>
          <w:szCs w:val="20"/>
          <w:lang w:val="en-IN" w:eastAsia="en-IN" w:bidi="mr-IN"/>
        </w:rPr>
        <w:t>. This condition-group criterion is deliberately coarse (Sect. 6.1), but it is the same across both languages, which is exactly what the penalty estimand requires. The per-system code-mixing penalty is</w:t>
      </w:r>
    </w:p>
    <w:p w:rsidR="007233A8" w:rsidRPr="007233A8" w:rsidRDefault="007233A8" w:rsidP="007233A8">
      <w:pPr>
        <w:spacing w:after="0" w:line="240" w:lineRule="auto"/>
        <w:rPr>
          <w:rFonts w:eastAsia="Times New Roman" w:cs="Times New Roman"/>
          <w:sz w:val="6"/>
          <w:szCs w:val="6"/>
          <w:lang w:val="en-IN" w:eastAsia="en-IN" w:bidi="mr-IN"/>
        </w:rPr>
      </w:pPr>
    </w:p>
    <w:p w:rsidR="007233A8" w:rsidRDefault="007233A8" w:rsidP="007233A8">
      <w:pPr>
        <w:spacing w:after="0" w:line="240" w:lineRule="auto"/>
        <w:jc w:val="left"/>
        <w:rPr>
          <w:rFonts w:eastAsia="Times New Roman" w:cs="Times New Roman"/>
          <w:szCs w:val="20"/>
          <w:lang w:val="en-IN" w:eastAsia="en-IN" w:bidi="mr-IN"/>
        </w:rPr>
      </w:pPr>
      <w:r w:rsidRPr="007233A8">
        <w:rPr>
          <w:rFonts w:eastAsia="Times New Roman" w:cs="Times New Roman"/>
          <w:b/>
          <w:bCs/>
          <w:sz w:val="22"/>
          <w:lang w:val="en-IN" w:eastAsia="en-IN" w:bidi="mr-IN"/>
        </w:rPr>
        <w:ptab w:relativeTo="margin" w:alignment="center" w:leader="none"/>
      </w:r>
      <w:proofErr w:type="spellStart"/>
      <w:r w:rsidRPr="007233A8">
        <w:rPr>
          <w:rFonts w:eastAsia="Times New Roman" w:cs="Times New Roman"/>
          <w:b/>
          <w:bCs/>
          <w:sz w:val="22"/>
          <w:lang w:val="en-IN" w:eastAsia="en-IN" w:bidi="mr-IN"/>
        </w:rPr>
        <w:t>Δ</w:t>
      </w:r>
      <w:r w:rsidRPr="007233A8">
        <w:rPr>
          <w:rFonts w:eastAsia="Times New Roman" w:cs="Times New Roman"/>
          <w:b/>
          <w:bCs/>
          <w:i/>
          <w:iCs/>
          <w:sz w:val="22"/>
          <w:vertAlign w:val="subscript"/>
          <w:lang w:val="en-IN" w:eastAsia="en-IN" w:bidi="mr-IN"/>
        </w:rPr>
        <w:t>s</w:t>
      </w:r>
      <w:proofErr w:type="spellEnd"/>
      <w:r w:rsidRPr="007233A8">
        <w:rPr>
          <w:rFonts w:eastAsia="Times New Roman" w:cs="Times New Roman"/>
          <w:b/>
          <w:bCs/>
          <w:sz w:val="22"/>
          <w:lang w:val="en-IN" w:eastAsia="en-IN" w:bidi="mr-IN"/>
        </w:rPr>
        <w:t xml:space="preserve"> = </w:t>
      </w:r>
      <w:proofErr w:type="gramStart"/>
      <w:r w:rsidRPr="007233A8">
        <w:rPr>
          <w:rFonts w:eastAsia="Times New Roman" w:cs="Times New Roman"/>
          <w:b/>
          <w:bCs/>
          <w:sz w:val="22"/>
          <w:highlight w:val="cyan"/>
          <w:lang w:val="en-IN" w:eastAsia="en-IN" w:bidi="mr-IN"/>
        </w:rPr>
        <w:t>Success@1</w:t>
      </w:r>
      <w:r w:rsidRPr="007233A8">
        <w:rPr>
          <w:rFonts w:eastAsia="Times New Roman" w:cs="Times New Roman"/>
          <w:b/>
          <w:bCs/>
          <w:i/>
          <w:iCs/>
          <w:sz w:val="22"/>
          <w:vertAlign w:val="subscript"/>
          <w:lang w:val="en-IN" w:eastAsia="en-IN" w:bidi="mr-IN"/>
        </w:rPr>
        <w:t>s</w:t>
      </w:r>
      <w:r w:rsidRPr="007233A8">
        <w:rPr>
          <w:rFonts w:eastAsia="Times New Roman" w:cs="Times New Roman"/>
          <w:b/>
          <w:bCs/>
          <w:sz w:val="22"/>
          <w:lang w:val="en-IN" w:eastAsia="en-IN" w:bidi="mr-IN"/>
        </w:rPr>
        <w:t>(</w:t>
      </w:r>
      <w:proofErr w:type="spellStart"/>
      <w:proofErr w:type="gramEnd"/>
      <w:r w:rsidRPr="007233A8">
        <w:rPr>
          <w:rFonts w:eastAsia="Times New Roman" w:cs="Times New Roman"/>
          <w:b/>
          <w:bCs/>
          <w:i/>
          <w:iCs/>
          <w:sz w:val="22"/>
          <w:lang w:val="en-IN" w:eastAsia="en-IN" w:bidi="mr-IN"/>
        </w:rPr>
        <w:t>q</w:t>
      </w:r>
      <w:r w:rsidRPr="007233A8">
        <w:rPr>
          <w:rFonts w:eastAsia="Times New Roman" w:cs="Times New Roman"/>
          <w:b/>
          <w:bCs/>
          <w:i/>
          <w:iCs/>
          <w:sz w:val="22"/>
          <w:vertAlign w:val="subscript"/>
          <w:lang w:val="en-IN" w:eastAsia="en-IN" w:bidi="mr-IN"/>
        </w:rPr>
        <w:t>E</w:t>
      </w:r>
      <w:proofErr w:type="spellEnd"/>
      <w:r w:rsidRPr="007233A8">
        <w:rPr>
          <w:rFonts w:eastAsia="Times New Roman" w:cs="Times New Roman"/>
          <w:b/>
          <w:bCs/>
          <w:sz w:val="22"/>
          <w:highlight w:val="cyan"/>
          <w:lang w:val="en-IN" w:eastAsia="en-IN" w:bidi="mr-IN"/>
        </w:rPr>
        <w:t>) − Success@1</w:t>
      </w:r>
      <w:r w:rsidRPr="007233A8">
        <w:rPr>
          <w:rFonts w:eastAsia="Times New Roman" w:cs="Times New Roman"/>
          <w:b/>
          <w:bCs/>
          <w:i/>
          <w:iCs/>
          <w:sz w:val="22"/>
          <w:vertAlign w:val="subscript"/>
          <w:lang w:val="en-IN" w:eastAsia="en-IN" w:bidi="mr-IN"/>
        </w:rPr>
        <w:t>s</w:t>
      </w:r>
      <w:r w:rsidRPr="007233A8">
        <w:rPr>
          <w:rFonts w:eastAsia="Times New Roman" w:cs="Times New Roman"/>
          <w:b/>
          <w:bCs/>
          <w:sz w:val="22"/>
          <w:lang w:val="en-IN" w:eastAsia="en-IN" w:bidi="mr-IN"/>
        </w:rPr>
        <w:t>(</w:t>
      </w:r>
      <w:r w:rsidRPr="007233A8">
        <w:rPr>
          <w:rFonts w:eastAsia="Times New Roman" w:cs="Times New Roman"/>
          <w:b/>
          <w:bCs/>
          <w:i/>
          <w:iCs/>
          <w:sz w:val="22"/>
          <w:lang w:val="en-IN" w:eastAsia="en-IN" w:bidi="mr-IN"/>
        </w:rPr>
        <w:t>q</w:t>
      </w:r>
      <w:r w:rsidRPr="007233A8">
        <w:rPr>
          <w:rFonts w:eastAsia="Times New Roman" w:cs="Times New Roman"/>
          <w:b/>
          <w:bCs/>
          <w:sz w:val="22"/>
          <w:lang w:val="en-IN" w:eastAsia="en-IN" w:bidi="mr-IN"/>
        </w:rPr>
        <w:t>)</w:t>
      </w:r>
      <w:r w:rsidRPr="007233A8">
        <w:rPr>
          <w:rFonts w:eastAsia="Times New Roman" w:cs="Times New Roman"/>
          <w:szCs w:val="20"/>
          <w:lang w:val="en-IN" w:eastAsia="en-IN" w:bidi="mr-IN"/>
        </w:rPr>
        <w:ptab w:relativeTo="margin" w:alignment="right" w:leader="none"/>
      </w:r>
      <w:r w:rsidRPr="007233A8">
        <w:rPr>
          <w:rFonts w:eastAsia="Times New Roman" w:cs="Times New Roman"/>
          <w:szCs w:val="20"/>
          <w:lang w:val="en-IN" w:eastAsia="en-IN" w:bidi="mr-IN"/>
        </w:rPr>
        <w:t>(1)</w:t>
      </w:r>
    </w:p>
    <w:p w:rsidR="007233A8" w:rsidRPr="007233A8" w:rsidRDefault="007233A8" w:rsidP="007233A8">
      <w:pPr>
        <w:spacing w:after="0" w:line="240" w:lineRule="auto"/>
        <w:jc w:val="left"/>
        <w:rPr>
          <w:rFonts w:eastAsia="Times New Roman" w:cs="Times New Roman"/>
          <w:sz w:val="6"/>
          <w:szCs w:val="6"/>
          <w:lang w:val="en-IN" w:eastAsia="en-IN" w:bidi="mr-IN"/>
        </w:rPr>
      </w:pPr>
    </w:p>
    <w:p w:rsidR="007233A8" w:rsidRPr="007233A8" w:rsidRDefault="007233A8" w:rsidP="007233A8">
      <w:pPr>
        <w:spacing w:after="0" w:line="240" w:lineRule="auto"/>
        <w:rPr>
          <w:rFonts w:eastAsia="Times New Roman" w:cs="Times New Roman"/>
          <w:szCs w:val="20"/>
          <w:lang w:val="en-IN" w:eastAsia="en-IN" w:bidi="mr-IN"/>
        </w:rPr>
      </w:pPr>
      <w:proofErr w:type="gramStart"/>
      <w:proofErr w:type="gramEnd"/>
      <w:proofErr w:type="spellStart"/>
      <w:proofErr w:type="spellEnd"/>
      <w:proofErr w:type="gramStart"/>
      <w:proofErr w:type="gramEnd"/>
      <w:proofErr w:type="spellStart"/>
      <w:proofErr w:type="spellEnd"/>
      <w:proofErr w:type="spellStart"/>
      <w:proofErr w:type="spellEnd"/>
      <w:proofErr w:type="spellStart"/>
      <w:proofErr w:type="spellEnd"/>
      <w:r>
        <w:rPr>
          <w:rFonts w:eastAsia="Times New Roman" w:cs="Times New Roman"/>
          <w:szCs w:val="20"/>
          <w:lang w:val="en-IN" w:eastAsia="en-IN" w:bidi="mr-IN"/>
        </w:rPr>
        <w:t>where a positive Δ</w:t>
      </w:r>
      <w:r>
        <w:rPr>
          <w:rFonts w:eastAsia="Times New Roman" w:cs="Times New Roman"/>
          <w:i/>
          <w:szCs w:val="20"/>
          <w:lang w:val="en-IN" w:eastAsia="en-IN" w:bidi="mr-IN"/>
        </w:rPr>
        <w:t>s</w:t>
      </w:r>
      <w:r>
        <w:rPr>
          <w:rFonts w:eastAsia="Times New Roman" w:cs="Times New Roman"/>
          <w:szCs w:val="20"/>
          <w:lang w:val="en-IN" w:eastAsia="en-IN" w:bidi="mr-IN"/>
        </w:rPr>
        <w:t xml:space="preserve"> indicates that the deployed, code-mixed form retrieves worse than its English equivalent. An instruction-tuned generator </w:t>
      </w:r>
      <w:r>
        <w:rPr>
          <w:rFonts w:eastAsia="Times New Roman" w:cs="Times New Roman"/>
          <w:i/>
          <w:szCs w:val="20"/>
          <w:lang w:val="en-IN" w:eastAsia="en-IN" w:bidi="mr-IN"/>
        </w:rPr>
        <w:t>g</w:t>
      </w:r>
      <w:r>
        <w:rPr>
          <w:rFonts w:eastAsia="Times New Roman" w:cs="Times New Roman"/>
          <w:szCs w:val="20"/>
          <w:lang w:val="en-IN" w:eastAsia="en-IN" w:bidi="mr-IN"/>
        </w:rPr>
        <w:t xml:space="preserve"> produces a zero-shot answer </w:t>
      </w:r>
      <w:r>
        <w:rPr>
          <w:rFonts w:eastAsia="Times New Roman" w:cs="Times New Roman"/>
          <w:i/>
          <w:szCs w:val="20"/>
          <w:lang w:val="en-IN" w:eastAsia="en-IN" w:bidi="mr-IN"/>
        </w:rPr>
        <w:t>a</w:t>
      </w:r>
      <w:r>
        <w:rPr>
          <w:rFonts w:eastAsia="Times New Roman" w:cs="Times New Roman"/>
          <w:szCs w:val="20"/>
          <w:vertAlign w:val="subscript"/>
          <w:lang w:val="en-IN" w:eastAsia="en-IN" w:bidi="mr-IN"/>
        </w:rPr>
        <w:t>0</w:t>
      </w:r>
      <w:r>
        <w:rPr>
          <w:rFonts w:eastAsia="Times New Roman" w:cs="Times New Roman"/>
          <w:szCs w:val="20"/>
          <w:lang w:val="en-IN" w:eastAsia="en-IN" w:bidi="mr-IN"/>
        </w:rPr>
        <w:t xml:space="preserve"> = </w:t>
      </w:r>
      <w:r>
        <w:rPr>
          <w:rFonts w:eastAsia="Times New Roman" w:cs="Times New Roman"/>
          <w:i/>
          <w:szCs w:val="20"/>
          <w:lang w:val="en-IN" w:eastAsia="en-IN" w:bidi="mr-IN"/>
        </w:rPr>
        <w:t>g</w:t>
      </w:r>
      <w:r>
        <w:rPr>
          <w:rFonts w:eastAsia="Times New Roman" w:cs="Times New Roman"/>
          <w:szCs w:val="20"/>
          <w:lang w:val="en-IN" w:eastAsia="en-IN" w:bidi="mr-IN"/>
        </w:rPr>
        <w:t>(</w:t>
      </w:r>
      <w:r>
        <w:rPr>
          <w:rFonts w:eastAsia="Times New Roman" w:cs="Times New Roman"/>
          <w:i/>
          <w:szCs w:val="20"/>
          <w:lang w:val="en-IN" w:eastAsia="en-IN" w:bidi="mr-IN"/>
        </w:rPr>
        <w:t>q</w:t>
      </w:r>
      <w:r>
        <w:rPr>
          <w:rFonts w:eastAsia="Times New Roman" w:cs="Times New Roman"/>
          <w:szCs w:val="20"/>
          <w:lang w:val="en-IN" w:eastAsia="en-IN" w:bidi="mr-IN"/>
        </w:rPr>
        <w:t xml:space="preserve">) and a grounded answer </w:t>
      </w:r>
      <w:r>
        <w:rPr>
          <w:rFonts w:eastAsia="Times New Roman" w:cs="Times New Roman"/>
          <w:i/>
          <w:szCs w:val="20"/>
          <w:lang w:val="en-IN" w:eastAsia="en-IN" w:bidi="mr-IN"/>
        </w:rPr>
        <w:t>a</w:t>
      </w:r>
      <w:r>
        <w:rPr>
          <w:rFonts w:eastAsia="Times New Roman" w:cs="Times New Roman"/>
          <w:szCs w:val="20"/>
          <w:vertAlign w:val="subscript"/>
          <w:lang w:val="en-IN" w:eastAsia="en-IN" w:bidi="mr-IN"/>
        </w:rPr>
        <w:t>r</w:t>
      </w:r>
      <w:r>
        <w:rPr>
          <w:rFonts w:eastAsia="Times New Roman" w:cs="Times New Roman"/>
          <w:szCs w:val="20"/>
          <w:lang w:val="en-IN" w:eastAsia="en-IN" w:bidi="mr-IN"/>
        </w:rPr>
        <w:t xml:space="preserve"> = </w:t>
      </w:r>
      <w:r>
        <w:rPr>
          <w:rFonts w:eastAsia="Times New Roman" w:cs="Times New Roman"/>
          <w:i/>
          <w:szCs w:val="20"/>
          <w:lang w:val="en-IN" w:eastAsia="en-IN" w:bidi="mr-IN"/>
        </w:rPr>
        <w:t>g</w:t>
      </w:r>
      <w:r>
        <w:rPr>
          <w:rFonts w:eastAsia="Times New Roman" w:cs="Times New Roman"/>
          <w:szCs w:val="20"/>
          <w:lang w:val="en-IN" w:eastAsia="en-IN" w:bidi="mr-IN"/>
        </w:rPr>
        <w:t>(</w:t>
      </w:r>
      <w:r>
        <w:rPr>
          <w:rFonts w:eastAsia="Times New Roman" w:cs="Times New Roman"/>
          <w:i/>
          <w:szCs w:val="20"/>
          <w:lang w:val="en-IN" w:eastAsia="en-IN" w:bidi="mr-IN"/>
        </w:rPr>
        <w:t>q</w:t>
      </w:r>
      <w:r>
        <w:rPr>
          <w:rFonts w:eastAsia="Times New Roman" w:cs="Times New Roman"/>
          <w:szCs w:val="20"/>
          <w:lang w:val="en-IN" w:eastAsia="en-IN" w:bidi="mr-IN"/>
        </w:rPr>
        <w:t xml:space="preserve">, </w:t>
      </w:r>
      <w:r>
        <w:rPr>
          <w:rFonts w:eastAsia="Times New Roman" w:cs="Times New Roman"/>
          <w:i/>
          <w:szCs w:val="20"/>
          <w:lang w:val="en-IN" w:eastAsia="en-IN" w:bidi="mr-IN"/>
        </w:rPr>
        <w:t>c</w:t>
      </w:r>
      <w:r>
        <w:rPr>
          <w:rFonts w:eastAsia="Times New Roman" w:cs="Times New Roman"/>
          <w:szCs w:val="20"/>
          <w:lang w:val="en-IN" w:eastAsia="en-IN" w:bidi="mr-IN"/>
        </w:rPr>
        <w:t xml:space="preserve">) conditioned on a retrieved or oracle case </w:t>
      </w:r>
      <w:r>
        <w:rPr>
          <w:rFonts w:eastAsia="Times New Roman" w:cs="Times New Roman"/>
          <w:i/>
          <w:szCs w:val="20"/>
          <w:lang w:val="en-IN" w:eastAsia="en-IN" w:bidi="mr-IN"/>
        </w:rPr>
        <w:t>c</w:t>
      </w:r>
      <w:r>
        <w:rPr>
          <w:rFonts w:eastAsia="Times New Roman" w:cs="Times New Roman"/>
          <w:szCs w:val="20"/>
          <w:lang w:val="en-IN" w:eastAsia="en-IN" w:bidi="mr-IN"/>
        </w:rPr>
        <w:t>; both answers are in Hinglish. The answers are then scored by overlap with a fixed 26-concept clinical lexicon against a designated reference text: factual support is concept precision (the share of concepts the answer asserts that are actually present in the reference), concept recall is the share of reference concepts the answer asserts, and F1 combines the two. The estimands are the per-system penalty Δ</w:t>
      </w:r>
      <w:r>
        <w:rPr>
          <w:rFonts w:eastAsia="Times New Roman" w:cs="Times New Roman"/>
          <w:i/>
          <w:szCs w:val="20"/>
          <w:lang w:val="en-IN" w:eastAsia="en-IN" w:bidi="mr-IN"/>
        </w:rPr>
        <w:t>s</w:t>
      </w:r>
      <w:r>
        <w:rPr>
          <w:rFonts w:eastAsia="Times New Roman" w:cs="Times New Roman"/>
          <w:szCs w:val="20"/>
          <w:lang w:val="en-IN" w:eastAsia="en-IN" w:bidi="mr-IN"/>
        </w:rPr>
        <w:t xml:space="preserve">, paired within-query differences between arms scored identically, </w:t>
      </w:r>
      <w:commentRangeStart w:id="11"/>
      <w:r>
        <w:rPr>
          <w:rFonts w:eastAsia="Times New Roman" w:cs="Times New Roman"/>
          <w:szCs w:val="20"/>
          <w:highlight w:val="yellow"/>
          <w:lang w:val="en-IN" w:eastAsia="en-IN" w:bidi="mr-IN"/>
        </w:rPr>
        <w:t xml:space="preserve">the change in that paired difference across levels of the Hindi proportion of </w:t>
      </w:r>
      <w:commentRangeEnd w:id="11"/>
      <w:r>
        <w:rPr>
          <w:rStyle w:val="CommentReference"/>
        </w:rPr>
        <w:commentReference w:id="11"/>
      </w:r>
      <w:r>
        <w:rPr>
          <w:rFonts w:eastAsia="Times New Roman" w:cs="Times New Roman"/>
          <w:i/>
          <w:szCs w:val="20"/>
          <w:highlight w:val="yellow"/>
          <w:lang w:val="en-IN" w:eastAsia="en-IN" w:bidi="mr-IN"/>
        </w:rPr>
        <w:t>q</w:t>
      </w:r>
      <w:r>
        <w:rPr>
          <w:rFonts w:eastAsia="Times New Roman" w:cs="Times New Roman"/>
          <w:szCs w:val="20"/>
          <w:highlight w:val="yellow"/>
          <w:lang w:val="en-IN" w:eastAsia="en-IN" w:bidi="mr-IN"/>
        </w:rPr>
        <w:t xml:space="preserve"> (with per-arm correlations as its decomposition)</w:t>
      </w:r>
      <w:r>
        <w:rPr>
          <w:rFonts w:eastAsia="Times New Roman" w:cs="Times New Roman"/>
          <w:szCs w:val="20"/>
          <w:lang w:val="en-IN" w:eastAsia="en-IN" w:bidi="mr-IN"/>
        </w:rPr>
        <w:t>, and contrasts across matched evidence corpora.</w:t>
      </w:r>
    </w:p>
    <w:p w:rsidR="0096304F" w:rsidRPr="00200DCA" w:rsidRDefault="0096304F" w:rsidP="0096304F">
      <w:pPr>
        <w:pStyle w:val="ICCSDIHeading2"/>
        <w:spacing w:before="0" w:after="0"/>
        <w:rPr>
          <w:sz w:val="16"/>
          <w:szCs w:val="16"/>
        </w:rPr>
      </w:pPr>
    </w:p>
    <w:p w:rsidR="00AD0E67" w:rsidRDefault="00871784" w:rsidP="0096304F">
      <w:pPr>
        <w:pStyle w:val="ICCSDIHeading2"/>
        <w:spacing w:before="0"/>
      </w:pPr>
      <w:proofErr w:type="gramStart"/>
      <w:r>
        <w:rPr>
          <w:rFonts w:eastAsia="Times New Roman"/>
        </w:rPr>
        <w:t>3.2  Architecture</w:t>
      </w:r>
      <w:proofErr w:type="gramEnd"/>
    </w:p>
    <w:p w:rsidR="00AD0E67" w:rsidRDefault="00871784" w:rsidP="0096304F">
      <w:pPr>
        <w:keepLines/>
        <w:spacing w:after="0"/>
        <w:rPr>
          <w:rFonts w:eastAsia="Times New Roman"/>
        </w:rPr>
      </w:pPr>
      <w:r>
        <w:rPr>
          <w:rFonts w:eastAsia="Times New Roman"/>
        </w:rPr>
        <w:t xml:space="preserve">The deployed path embeds the Hinglish query with </w:t>
      </w:r>
      <w:proofErr w:type="spellStart"/>
      <w:r>
        <w:rPr>
          <w:rFonts w:eastAsia="Times New Roman"/>
        </w:rPr>
        <w:t>LaBSE</w:t>
      </w:r>
      <w:proofErr w:type="spellEnd"/>
      <w:r>
        <w:rPr>
          <w:rFonts w:eastAsia="Times New Roman"/>
        </w:rPr>
        <w:t xml:space="preserve"> [3] and searches a FAISS index of the 41,746 passages; passage scores are aggregated to cases and the top case is returned. Lexical baselines (TF-IDF and BM25 [12]) rank the full documents, and a hybrid system fuses the dense and BM25 rankings by reciprocal-rank fusion [13]. The retrieved case is injected into a grounded prompt instructing the generator to answer the patient in Hinglish using only the supplied evidence; the zero-shot arm receives the identical instruction without evidence. An oracle-evidence condition supplies a case filtered to the query’s own condition group, upper-bounding what retrieval could deliver; the real-retrieval condition uses the deployed path unchanged. The evaluation harness extracts lexicon concepts from each answer and reference and computes factual support, recall, </w:t>
      </w:r>
      <w:r>
        <w:rPr>
          <w:rFonts w:eastAsia="Times New Roman"/>
          <w:i/>
        </w:rPr>
        <w:t>F</w:t>
      </w:r>
      <w:r>
        <w:rPr>
          <w:rFonts w:eastAsia="Times New Roman"/>
          <w:vertAlign w:val="subscript"/>
        </w:rPr>
        <w:t>1</w:t>
      </w:r>
      <w:r>
        <w:rPr>
          <w:rFonts w:eastAsia="Times New Roman"/>
        </w:rPr>
        <w:t>, and refusal status, to which the statistical procedures of Sect. 4.2 are applied.</w:t>
      </w:r>
    </w:p>
    <w:p w:rsidR="00FB146D" w:rsidRPr="00FB146D" w:rsidRDefault="00FB146D" w:rsidP="00FB146D">
      <w:pPr>
        <w:pStyle w:val="ICCSDIHeading1"/>
        <w:spacing w:before="0" w:after="0"/>
        <w:rPr>
          <w:rFonts w:eastAsia="Times New Roman"/>
          <w:sz w:val="22"/>
          <w:szCs w:val="18"/>
        </w:rPr>
      </w:pPr>
    </w:p>
    <w:p w:rsidR="00AD0E67" w:rsidRDefault="00871784" w:rsidP="0096304F">
      <w:pPr>
        <w:pStyle w:val="ICCSDIHeading1"/>
        <w:spacing w:before="0"/>
      </w:pPr>
      <w:r>
        <w:rPr>
          <w:rFonts w:eastAsia="Times New Roman"/>
        </w:rPr>
        <w:t>4</w:t>
      </w:r>
      <w:r w:rsidR="00330BC1">
        <w:rPr>
          <w:rFonts w:eastAsia="Times New Roman"/>
        </w:rPr>
        <w:t>.</w:t>
      </w:r>
      <w:r>
        <w:rPr>
          <w:rFonts w:eastAsia="Times New Roman"/>
        </w:rPr>
        <w:t xml:space="preserve">  Experimental Design and Evaluation</w:t>
      </w:r>
    </w:p>
    <w:p w:rsidR="001A3D01" w:rsidRDefault="001A3D01" w:rsidP="001A3D01">
      <w:pPr>
        <w:keepLines/>
        <w:spacing w:after="0"/>
        <w:rPr>
          <w:rFonts w:eastAsia="Times New Roman"/>
        </w:rPr>
      </w:pPr>
      <w:proofErr w:type="spellStart"/>
      <w:proofErr w:type="spellEnd"/>
      <w:commentRangeStart w:id="12"/>
      <w:r>
        <w:rPr>
          <w:rFonts w:eastAsia="Times New Roman"/>
          <w:highlight w:val="yellow"/>
        </w:rPr>
        <w:t xml:space="preserve">The study tests four pre-specified null hypotheses. H01–H03 were fixed in the project proposal and the public repository before any analysis was run (commit 0917322, 9 February 2026; https://github.com/saaachis/hinglish-grounded-medical-rag/commit/0917322), and the first prototype followed on 4 March 2026. H04 was added after the initial retrieval experiments and is tested confirmatorily on the full matched set. This is a timestamped public record rather than a registry entry, and the deviations from the planned analysis are listed at the end of Sect. 4.2. </w:t>
      </w:r>
      <w:commentRangeEnd w:id="12"/>
      <w:r>
        <w:rPr>
          <w:rStyle w:val="CommentReference"/>
        </w:rPr>
        <w:commentReference w:id="12"/>
      </w:r>
      <w:r>
        <w:rPr>
          <w:rFonts w:eastAsia="Times New Roman"/>
        </w:rPr>
        <w:t>Rejecting a null is the positive result: it indicates that the corresponding effect is real. And the two-sided tests are conducted throughout, with false-discovery-rate correction applied within each hypothesis family (Benjamini–Hochberg, BH); cluster bootstraps deal with the non-independence introduced by repeated reference texts (Sect. 6.1).</w:t>
      </w:r>
    </w:p>
    <w:p w:rsidR="0096304F" w:rsidRPr="00200DCA" w:rsidRDefault="0096304F" w:rsidP="0096304F">
      <w:pPr>
        <w:pStyle w:val="ICCSDIHeading2"/>
        <w:spacing w:before="0" w:after="0"/>
        <w:rPr>
          <w:rFonts w:eastAsia="Times New Roman"/>
          <w:sz w:val="16"/>
          <w:szCs w:val="16"/>
        </w:rPr>
      </w:pPr>
    </w:p>
    <w:p w:rsidR="00AD0E67" w:rsidRDefault="00871784" w:rsidP="0096304F">
      <w:pPr>
        <w:pStyle w:val="ICCSDIHeading2"/>
        <w:spacing w:before="0"/>
      </w:pPr>
      <w:proofErr w:type="gramStart"/>
      <w:r>
        <w:rPr>
          <w:rFonts w:eastAsia="Times New Roman"/>
        </w:rPr>
        <w:t>4.1  Datasets</w:t>
      </w:r>
      <w:proofErr w:type="gramEnd"/>
      <w:r>
        <w:rPr>
          <w:rFonts w:eastAsia="Times New Roman"/>
        </w:rPr>
        <w:t xml:space="preserve"> and Preprocessing</w:t>
      </w:r>
    </w:p>
    <w:p w:rsidR="00EB4A66" w:rsidRDefault="00EB4A66">
      <w:pPr>
        <w:keepLines/>
        <w:rPr>
          <w:rFonts w:eastAsia="Times New Roman"/>
        </w:rPr>
      </w:pPr>
      <w:proofErr w:type="spellStart"/>
      <w:proofErr w:type="spellEnd"/>
      <w:r>
        <w:rPr>
          <w:rFonts w:eastAsia="Times New Roman"/>
        </w:rPr>
        <w:t xml:space="preserve">The queries come from MMCQS [1], a large repository of Hinglish patient questions, each accompanied by a human-written English summary and a textual image description; only these text fields are used in this study, and no images are processed. </w:t>
      </w:r>
      <w:commentRangeStart w:id="13"/>
      <w:r>
        <w:rPr>
          <w:rFonts w:eastAsia="Times New Roman"/>
          <w:highlight w:val="green"/>
        </w:rPr>
        <w:t xml:space="preserve">The summary is a clinician-style condensation of the question (median 20 words against 92 for the Hinglish query), not a translation; Sect. 5.1 measures what that difference contributes to the penalty. </w:t>
      </w:r>
      <w:commentRangeEnd w:id="13"/>
      <w:r>
        <w:rPr>
          <w:rStyle w:val="CommentReference"/>
        </w:rPr>
        <w:commentReference w:id="13"/>
      </w:r>
      <w:r>
        <w:rPr>
          <w:rFonts w:eastAsia="Times New Roman"/>
        </w:rPr>
        <w:t>Evidence comes from MultiCaRe [2], an open-access collection of clinical case reports: 61,316 cases pass filtering, of which 10,000 are indexed, balanced across 18 condition groups. The median case runs 554 words, and passage chunking yields 41,746 passages. Pairing then produces 3,015 query–case evaluation pairs at 100% query coverage.</w:t>
      </w:r>
    </w:p>
    <w:p w:rsidR="0088113B" w:rsidRDefault="00871784">
      <w:pPr>
        <w:keepLines/>
        <w:rPr>
          <w:rFonts w:eastAsia="Times New Roman"/>
        </w:rPr>
      </w:pPr>
      <w:r>
        <w:rPr>
          <w:rFonts w:eastAsia="Times New Roman"/>
        </w:rPr>
        <w:t>The choice of evidence corpus is itself a finding. An initial attempt to match MMCQS to Open-</w:t>
      </w:r>
      <w:proofErr w:type="spellStart"/>
      <w:r>
        <w:rPr>
          <w:rFonts w:eastAsia="Times New Roman"/>
        </w:rPr>
        <w:t>i</w:t>
      </w:r>
      <w:proofErr w:type="spellEnd"/>
      <w:r>
        <w:rPr>
          <w:rFonts w:eastAsia="Times New Roman"/>
        </w:rPr>
        <w:t xml:space="preserve"> radiology reports by TF-IDF similarity produced only 11 usable pairs: the corpora share almost no topical overlap. </w:t>
      </w:r>
    </w:p>
    <w:p w:rsidR="00AD0E67" w:rsidRDefault="00871784">
      <w:pPr>
        <w:keepLines/>
      </w:pPr>
      <w:r>
        <w:rPr>
          <w:rFonts w:eastAsia="Times New Roman"/>
        </w:rPr>
        <w:t xml:space="preserve">Switching the evidence base to </w:t>
      </w:r>
      <w:proofErr w:type="spellStart"/>
      <w:r>
        <w:rPr>
          <w:rFonts w:eastAsia="Times New Roman"/>
        </w:rPr>
        <w:t>MultiCaRe</w:t>
      </w:r>
      <w:proofErr w:type="spellEnd"/>
      <w:r>
        <w:rPr>
          <w:rFonts w:eastAsia="Times New Roman"/>
        </w:rPr>
        <w:t xml:space="preserve"> and matching with </w:t>
      </w:r>
      <w:proofErr w:type="spellStart"/>
      <w:r>
        <w:rPr>
          <w:rFonts w:eastAsia="Times New Roman"/>
        </w:rPr>
        <w:t>LaBSE</w:t>
      </w:r>
      <w:proofErr w:type="spellEnd"/>
      <w:r>
        <w:rPr>
          <w:rFonts w:eastAsia="Times New Roman"/>
        </w:rPr>
        <w:t xml:space="preserve"> similarity plus condition-aware filtering produced 3,015 pairs, a 274-fold increase. Pairing decisions of this kind can dominate everything downstream and deserve explicit reporting.</w:t>
      </w:r>
    </w:p>
    <w:p w:rsidR="00AD0E67" w:rsidRDefault="00871784" w:rsidP="00501969">
      <w:pPr>
        <w:keepLines/>
        <w:spacing w:after="0"/>
        <w:rPr>
          <w:rFonts w:eastAsia="Times New Roman"/>
        </w:rPr>
      </w:pPr>
      <w:r>
        <w:rPr>
          <w:rFonts w:eastAsia="Times New Roman"/>
        </w:rPr>
        <w:lastRenderedPageBreak/>
        <w:t>A leakage gate is required because MMCQS’s English summary embeds an image caption that names the query’s condition group in 96.2% of rows and reproduces the underscore-joined group label exactly in 33.6%; that is, the summary itself contains the relevance label. Any English-versus-Hinglish comparison that uses the full summary is therefore inflated by construction. All English-side queries use the caption-stripped summary, and an automated gate asserts that no label string survives.</w:t>
      </w:r>
    </w:p>
    <w:p w:rsidR="00501969" w:rsidRPr="00200DCA" w:rsidRDefault="00501969" w:rsidP="00501969">
      <w:pPr>
        <w:pStyle w:val="ICCSDIHeading2"/>
        <w:spacing w:before="0" w:after="0"/>
        <w:rPr>
          <w:rFonts w:eastAsia="Times New Roman"/>
          <w:sz w:val="16"/>
          <w:szCs w:val="16"/>
        </w:rPr>
      </w:pPr>
    </w:p>
    <w:p w:rsidR="00AD0E67" w:rsidRDefault="00871784" w:rsidP="00501969">
      <w:pPr>
        <w:pStyle w:val="ICCSDIHeading2"/>
        <w:spacing w:before="0"/>
      </w:pPr>
      <w:proofErr w:type="gramStart"/>
      <w:r>
        <w:rPr>
          <w:rFonts w:eastAsia="Times New Roman"/>
        </w:rPr>
        <w:t>4.2  Baselines</w:t>
      </w:r>
      <w:proofErr w:type="gramEnd"/>
      <w:r>
        <w:rPr>
          <w:rFonts w:eastAsia="Times New Roman"/>
        </w:rPr>
        <w:t xml:space="preserve"> and Evaluation Metrics</w:t>
      </w:r>
    </w:p>
    <w:p w:rsidR="00AD0E67" w:rsidRDefault="00871784">
      <w:pPr>
        <w:keepLines/>
      </w:pPr>
      <w:proofErr w:type="spellStart"/>
      <w:proofErr w:type="spellEnd"/>
      <w:proofErr w:type="spellStart"/>
      <w:proofErr w:type="spellEnd"/>
      <w:proofErr w:type="spellStart"/>
      <w:proofErr w:type="spellEnd"/>
      <w:proofErr w:type="spellStart"/>
      <w:proofErr w:type="spellEnd"/>
      <w:proofErr w:type="spellStart"/>
      <w:proofErr w:type="spellEnd"/>
      <w:r>
        <w:rPr>
          <w:rFonts w:eastAsia="Times New Roman"/>
        </w:rPr>
        <w:t xml:space="preserve">Four retrieval systems are compared on the passage-chunked index: TF-IDF, BM25 [12], dense LaBSE retrieval [3], and a hybrid fusing the BM25 and LaBSE rankings by reciprocal-rank fusion [13]. A supplementary single-vector index (one embedding per case) additionally hosts MuRIL [14] and multilingual-e5-base for the script-mismatch analysis. </w:t>
      </w:r>
      <w:commentRangeStart w:id="14"/>
      <w:r>
        <w:rPr>
          <w:rFonts w:eastAsia="Times New Roman"/>
          <w:highlight w:val="green"/>
        </w:rPr>
        <w:t xml:space="preserve">Two query-side remedies are tested as further baselines: transliterating the romanised query into Devanagari for MuRIL (a hand-verified lexicon covering 87% of Hindi token occurrences plus rule-based mapping for the remainder; a trained transliterator could not be installed in the environment, so the mapping is a lower bound), and translating it into English with gpt-oss-120b before retrieval, on a stratified 500-query subset. </w:t>
      </w:r>
      <w:commentRangeEnd w:id="14"/>
      <w:r>
        <w:rPr>
          <w:rStyle w:val="CommentReference"/>
        </w:rPr>
        <w:commentReference w:id="14"/>
      </w:r>
      <w:r>
        <w:rPr>
          <w:rFonts w:eastAsia="Times New Roman"/>
          <w:highlight w:val="cyan"/>
        </w:rPr>
        <w:t xml:space="preserve">The primary metric is Success@1 against condition-group relevance, the proportion of queries whose top-ranked case falls in the query’s condition group; Success@k for k ∈ {3, 5, 10}, MRR@10 and nDCG@10 are also reported. nDCG uses the corpus-level ideal ranking (the min(relevant, k) hits placed first), and a graded variant awards grade 2 to a same-group case that also shares at least one lexicon concept with the gold English question: an automatic proxy for finer relevance, not a clinical judgment. The random floor of Success@1 for condition-blind retrieval is 0.0626, rising to 0.4739 at rank 10. </w:t>
      </w:r>
      <w:r>
        <w:rPr>
          <w:rFonts w:eastAsia="Times New Roman"/>
        </w:rPr>
        <w:t>Because the relevance criterion is coarse, absolute Success@1 is a lower bound on true relevance (Sect. 6.1). The penalty Δ</w:t>
      </w:r>
      <w:r>
        <w:rPr>
          <w:rFonts w:eastAsia="Times New Roman"/>
          <w:i/>
        </w:rPr>
        <w:t>s</w:t>
      </w:r>
      <w:r>
        <w:rPr>
          <w:rFonts w:eastAsia="Times New Roman"/>
        </w:rPr>
        <w:t xml:space="preserve"> is tested per system </w:t>
      </w:r>
      <w:r>
        <w:rPr>
          <w:rFonts w:eastAsia="Times New Roman"/>
          <w:highlight w:val="green"/>
        </w:rPr>
        <w:t xml:space="preserve">and per metric, </w:t>
      </w:r>
      <w:r>
        <w:rPr>
          <w:rFonts w:eastAsia="Times New Roman"/>
        </w:rPr>
        <w:t>with McNemar’s test on paired top-</w:t>
      </w:r>
      <w:r>
        <w:rPr>
          <w:rFonts w:eastAsia="Times New Roman"/>
          <w:highlight w:val="cyan"/>
        </w:rPr>
        <w:t>k hits and the Wilcoxon signed-rank test on MRR and nDCG</w:t>
      </w:r>
      <w:r>
        <w:rPr>
          <w:rFonts w:eastAsia="Times New Roman"/>
        </w:rPr>
        <w:t>: a penalty appearing under one configuration is a property of that configuration, whereas one holding across methods is a property of code-mixing itself.</w:t>
      </w:r>
    </w:p>
    <w:p w:rsidR="008B4EBD" w:rsidRDefault="00871784">
      <w:pPr>
        <w:keepLines/>
        <w:rPr>
          <w:rFonts w:eastAsia="Times New Roman"/>
        </w:rPr>
      </w:pPr>
      <w:r>
        <w:rPr>
          <w:rFonts w:eastAsia="Times New Roman"/>
        </w:rPr>
        <w:t>For generation, each query is answered zero-shot and grounded (Sect. 3.2). Answers are scored with the 26-concept lexicon against two references: the retrieved evidence (</w:t>
      </w:r>
      <w:r>
        <w:rPr>
          <w:rFonts w:eastAsia="Times New Roman"/>
          <w:i/>
        </w:rPr>
        <w:t>circular</w:t>
      </w:r>
      <w:r>
        <w:rPr>
          <w:rFonts w:eastAsia="Times New Roman"/>
        </w:rPr>
        <w:t>, because the grounded arm was conditioned on it and the zero-shot arm never saw it) and the dataset’s image description, which neither arm saw (</w:t>
      </w:r>
      <w:r>
        <w:rPr>
          <w:rFonts w:eastAsia="Times New Roman"/>
          <w:i/>
        </w:rPr>
        <w:t>unbiased</w:t>
      </w:r>
      <w:r>
        <w:rPr>
          <w:rFonts w:eastAsia="Times New Roman"/>
        </w:rPr>
        <w:t xml:space="preserve">). </w:t>
      </w:r>
    </w:p>
    <w:p w:rsidR="006370D3" w:rsidRPr="006370D3" w:rsidRDefault="006370D3" w:rsidP="006370D3">
      <w:pPr>
        <w:keepLines/>
        <w:rPr>
          <w:rFonts w:eastAsia="Times New Roman"/>
        </w:rPr>
      </w:pPr>
      <w:r w:rsidRPr="006370D3">
        <w:rPr>
          <w:rFonts w:eastAsia="Times New Roman"/>
        </w:rPr>
        <w:t>Factual support equals concept precision, and</w:t>
      </w:r>
      <w:r w:rsidR="00912092">
        <w:rPr>
          <w:rFonts w:eastAsia="Times New Roman"/>
        </w:rPr>
        <w:t xml:space="preserve"> the commonly reported “hallucination rate”</w:t>
      </w:r>
      <w:r w:rsidRPr="006370D3">
        <w:rPr>
          <w:rFonts w:eastAsia="Times New Roman"/>
        </w:rPr>
        <w:t xml:space="preserve"> is exactly 1 − precision (verified min = max = 1.0 across rows), so hallucination and factual support are one number, not two, and are never reported here as separate findings. Since precision has no recall term, degenerate constant answers can outscore real systems (Sect. 5.2); F₁ is thus reported when quality is at issue, degenerate baselines ship with the scored tables, and refusal and coverage (answers asserting at least one </w:t>
      </w:r>
      <w:proofErr w:type="spellStart"/>
      <w:r w:rsidRPr="006370D3">
        <w:rPr>
          <w:rFonts w:eastAsia="Times New Roman"/>
        </w:rPr>
        <w:t>scoreable</w:t>
      </w:r>
      <w:proofErr w:type="spellEnd"/>
      <w:r w:rsidRPr="006370D3">
        <w:rPr>
          <w:rFonts w:eastAsia="Times New Roman"/>
        </w:rPr>
        <w:t xml:space="preserve"> concept) appear beside each factuality number.</w:t>
      </w:r>
    </w:p>
    <w:p w:rsidR="006370D3" w:rsidRDefault="006370D3" w:rsidP="001824C1">
      <w:pPr>
        <w:keepLines/>
        <w:spacing w:after="0"/>
        <w:rPr>
          <w:rFonts w:eastAsia="Times New Roman"/>
        </w:rPr>
      </w:pPr>
      <w:proofErr w:type="spellStart"/>
      <w:proofErr w:type="spellEnd"/>
      <w:r>
        <w:rPr>
          <w:rFonts w:eastAsia="Times New Roman"/>
        </w:rPr>
        <w:t xml:space="preserve">The statistical toolkit includes paired within-query deltas with Cohen's d, McNemar's test for paired binary outcomes, and Cochran's Q for refusal across matched evidence conditions, together with cluster bootstraps over repeated references, BH correction within hypothesis families, </w:t>
      </w:r>
      <w:commentRangeStart w:id="15"/>
      <w:r>
        <w:rPr>
          <w:rFonts w:eastAsia="Times New Roman"/>
          <w:highlight w:val="green"/>
        </w:rPr>
        <w:t xml:space="preserve">one-way ANOVA and Kruskal–Wallis on the paired gain across code-mixing tertiles for the pre-specified H02 test, </w:t>
      </w:r>
      <w:commentRangeEnd w:id="15"/>
      <w:r>
        <w:rPr>
          <w:rStyle w:val="CommentReference"/>
        </w:rPr>
        <w:commentReference w:id="15"/>
      </w:r>
      <w:r>
        <w:rPr>
          <w:rFonts w:eastAsia="Times New Roman"/>
        </w:rPr>
        <w:t>and Spearman ρ with 95% confidence intervals for dose–response.</w:t>
      </w:r>
    </w:p>
    <w:p>
      <w:pPr>
        <w:keepLines/>
        <w:spacing w:after="0"/>
        <w:rPr>
          <w:rFonts w:eastAsia="Times New Roman"/>
        </w:rPr>
      </w:pPr>
      <w:commentRangeStart w:id="16"/>
      <w:r>
        <w:rPr>
          <w:b/>
          <w:highlight w:val="green"/>
        </w:rPr>
        <w:t>Deviations from the pre-specified plan.</w:t>
      </w:r>
      <w:commentRangeEnd w:id="16"/>
      <w:r>
        <w:rPr>
          <w:rStyle w:val="CommentReference"/>
        </w:rPr>
        <w:commentReference w:id="16"/>
      </w:r>
      <w:r>
        <w:rPr>
          <w:highlight w:val="green"/>
        </w:rPr>
        <w:t xml:space="preserve"> Five departures from the original analysis plan are disclosed. (1) H02 was planned as a two-way ANOVA / Kruskal–Wallis on code-mixing level; it is reported that way as the primary test, with the per-arm correlations as an exploratory decomposition. (2) Factual consistency and hallucination rate were planned as two outcomes; hallucination is exactly 1 − precision and is not reported separately. (3) Concept precision was the planned quality metric; F1 is reported wherever quality is at issue, because degenerate baselines showed that precision’s optimum is a one-word answer. (4) The Code-Mixing Index was planned over a fixed Hindi word list; that list counted “doctor” and “please” as Hindi and was repaired. (5) H03 was planned on answer quality; it is reported as exploratory, with refusal as a secondary outcome.</w:t>
      </w:r>
    </w:p>
    <w:p w:rsidR="001824C1" w:rsidRPr="00200DCA" w:rsidRDefault="001824C1" w:rsidP="001824C1">
      <w:pPr>
        <w:pStyle w:val="ICCSDIHeading2"/>
        <w:spacing w:before="0" w:after="0"/>
        <w:rPr>
          <w:rFonts w:eastAsia="Times New Roman"/>
          <w:sz w:val="16"/>
          <w:szCs w:val="16"/>
        </w:rPr>
      </w:pPr>
    </w:p>
    <w:p w:rsidR="00AD0E67" w:rsidRDefault="00871784" w:rsidP="001824C1">
      <w:pPr>
        <w:pStyle w:val="ICCSDIHeading2"/>
        <w:spacing w:before="0"/>
      </w:pPr>
      <w:proofErr w:type="gramStart"/>
      <w:r>
        <w:rPr>
          <w:rFonts w:eastAsia="Times New Roman"/>
        </w:rPr>
        <w:t>4.3  Implementation</w:t>
      </w:r>
      <w:proofErr w:type="gramEnd"/>
      <w:r>
        <w:rPr>
          <w:rFonts w:eastAsia="Times New Roman"/>
        </w:rPr>
        <w:t xml:space="preserve"> Details</w:t>
      </w:r>
    </w:p>
    <w:p w:rsidR="008B4EBD" w:rsidRDefault="00871784" w:rsidP="008B4EBD">
      <w:pPr>
        <w:keepLines/>
        <w:rPr>
          <w:rFonts w:eastAsia="Times New Roman"/>
        </w:rPr>
      </w:pPr>
      <w:r>
        <w:rPr>
          <w:rFonts w:eastAsia="Times New Roman"/>
        </w:rPr>
        <w:t xml:space="preserve">The pipeline uses </w:t>
      </w:r>
      <w:proofErr w:type="spellStart"/>
      <w:r>
        <w:rPr>
          <w:rFonts w:eastAsia="Times New Roman"/>
        </w:rPr>
        <w:t>LaBSE</w:t>
      </w:r>
      <w:proofErr w:type="spellEnd"/>
      <w:r>
        <w:rPr>
          <w:rFonts w:eastAsia="Times New Roman"/>
        </w:rPr>
        <w:t xml:space="preserve"> sentence </w:t>
      </w:r>
      <w:proofErr w:type="spellStart"/>
      <w:r>
        <w:rPr>
          <w:rFonts w:eastAsia="Times New Roman"/>
        </w:rPr>
        <w:t>embeddings</w:t>
      </w:r>
      <w:proofErr w:type="spellEnd"/>
      <w:r>
        <w:rPr>
          <w:rFonts w:eastAsia="Times New Roman"/>
        </w:rPr>
        <w:t xml:space="preserve"> with a FAISS index over the 41,746 passages; lexical baselines index full documents. Generators are llama-3.1-8b-instant, a hosted instruction-tuned model, and gpt-oss-120b, an open-weight model; both receive identical prompts. Midway through the study the hosting provider decommissioned llama-3.1-8b-instant, which now returns HTTP 404: its archived outputs remain re-</w:t>
      </w:r>
      <w:proofErr w:type="spellStart"/>
      <w:r>
        <w:rPr>
          <w:rFonts w:eastAsia="Times New Roman"/>
        </w:rPr>
        <w:t>scorable</w:t>
      </w:r>
      <w:proofErr w:type="spellEnd"/>
      <w:r>
        <w:rPr>
          <w:rFonts w:eastAsia="Times New Roman"/>
        </w:rPr>
        <w:t xml:space="preserve">, but no new generations are possible (Sect. 6.1). An early index build imposed a 128-token sequence limit whose consequences are reported as a corrected result in Sect. 5.6; all dense results elsewhere use the corrected, passage-chunked index unless stated otherwise. </w:t>
      </w:r>
    </w:p>
    <w:p w:rsidR="008B4EBD" w:rsidRDefault="00871784" w:rsidP="008B4EBD">
      <w:pPr>
        <w:keepLines/>
        <w:rPr>
          <w:rFonts w:eastAsia="Times New Roman"/>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eastAsia="Times New Roman"/>
        </w:rPr>
        <w:t xml:space="preserve">Experiments ran under Python 3.12 with sentence-transformers 3.0.1, transformers 4.42.4, PyTorch 2.3.1, faiss-cpu 1.8.0, scikit-learn 1.8.0, NumPy 1.26.4, pandas 2.2.1, SciPy 1.12.0 and matplotlib 3.8.3, with rank_bm25 for the BM25 baseline; full pinned versions are listed in requirements.txt in the released repository. </w:t>
      </w:r>
      <w:commentRangeStart w:id="17"/>
      <w:r>
        <w:rPr>
          <w:rFonts w:eastAsia="Times New Roman"/>
          <w:highlight w:val="green"/>
        </w:rPr>
        <w:t>The translate-then-retrieve baseline uses the hosted openai/gpt-oss-120b as translator, and the extractor audit of Sect. 5.2 uses qwen/qwen3.8-27b as an independent reader, a model family used nowhere else in the study.</w:t>
      </w:r>
      <w:commentRangeEnd w:id="17"/>
      <w:r>
        <w:rPr>
          <w:rStyle w:val="CommentReference"/>
        </w:rPr>
        <w:commentReference w:id="17"/>
      </w:r>
    </w:p>
    <w:p w:rsidR="00AD0E67" w:rsidRDefault="00871784" w:rsidP="00200DCA">
      <w:pPr>
        <w:keepLines/>
        <w:spacing w:after="0"/>
        <w:rPr>
          <w:rFonts w:eastAsia="Times New Roman"/>
        </w:rPr>
      </w:pPr>
      <w:r>
        <w:rPr>
          <w:rFonts w:eastAsia="Times New Roman"/>
        </w:rPr>
        <w:t xml:space="preserve">All stages ran on commodity CPU hardware (a four-core Intel Core i3-8130U, 12 GB memory); no GPU was used at any stage. Approximately 7,200 generation calls were issued in total: about 4,300 on llama-3.1-8b-instant and about 2,800 on the </w:t>
      </w:r>
      <w:proofErr w:type="spellStart"/>
      <w:r>
        <w:rPr>
          <w:rFonts w:eastAsia="Times New Roman"/>
        </w:rPr>
        <w:t>gpt-oss</w:t>
      </w:r>
      <w:proofErr w:type="spellEnd"/>
      <w:r>
        <w:rPr>
          <w:rFonts w:eastAsia="Times New Roman"/>
        </w:rPr>
        <w:t xml:space="preserve"> models. Random seeds are fixed at 42 throughout. Code and data availability are stated in the Declarations.</w:t>
      </w:r>
    </w:p>
    <w:p w:rsidR="00FB146D" w:rsidRPr="00FB146D" w:rsidRDefault="00FB146D" w:rsidP="00FB146D">
      <w:pPr>
        <w:pStyle w:val="ICCSDIHeading1"/>
        <w:spacing w:before="0" w:after="0"/>
        <w:rPr>
          <w:rFonts w:eastAsia="Times New Roman"/>
          <w:sz w:val="22"/>
          <w:szCs w:val="18"/>
        </w:rPr>
      </w:pPr>
    </w:p>
    <w:p w:rsidR="00AD0E67" w:rsidRDefault="00871784" w:rsidP="0088113B">
      <w:pPr>
        <w:pStyle w:val="ICCSDIHeading1"/>
        <w:spacing w:before="0"/>
      </w:pPr>
      <w:r>
        <w:rPr>
          <w:rFonts w:eastAsia="Times New Roman"/>
        </w:rPr>
        <w:t>5</w:t>
      </w:r>
      <w:r w:rsidR="00330BC1">
        <w:rPr>
          <w:rFonts w:eastAsia="Times New Roman"/>
        </w:rPr>
        <w:t>.</w:t>
      </w:r>
      <w:r>
        <w:rPr>
          <w:rFonts w:eastAsia="Times New Roman"/>
        </w:rPr>
        <w:t xml:space="preserve">  Results</w:t>
      </w:r>
    </w:p>
    <w:p w:rsidR="00FB7673" w:rsidRDefault="00FB7673">
      <w:pPr>
        <w:keepLines/>
      </w:pPr>
      <w:r>
        <w:t xml:space="preserve">Subsections follow the pre-specified order: the retrieval-stage hypothesis H04 first, a validity audit of the scoring instrument before any generation numbers are presented, then H01, H02 and H03, and finally the negative and corrected results. </w:t>
      </w:r>
      <w:commentRangeStart w:id="18"/>
      <w:r>
        <w:rPr>
          <w:highlight w:val="yellow"/>
        </w:rPr>
        <w:t xml:space="preserve">H04 is rejected for every system and metric; H01 is rejected under the evidence-referenced protocol; the pre-specified H02 test is borderline (Sect. 5.4); H03 is exploratory (Sect. 5.5). </w:t>
      </w:r>
      <w:commentRangeEnd w:id="18"/>
      <w:r>
        <w:rPr>
          <w:rStyle w:val="CommentReference"/>
        </w:rPr>
        <w:commentReference w:id="18"/>
      </w:r>
      <w:r>
        <w:t>Bold marks values highlighted in the text; all reported p-values are two-sided.</w:t>
      </w:r>
    </w:p>
    <w:p w:rsidR="00AD0E67" w:rsidRDefault="00871784">
      <w:pPr>
        <w:pStyle w:val="ICCSDIHeading2"/>
      </w:pPr>
      <w:proofErr w:type="gramStart"/>
      <w:r>
        <w:rPr>
          <w:rFonts w:eastAsia="Times New Roman"/>
        </w:rPr>
        <w:lastRenderedPageBreak/>
        <w:t>5.1  Code</w:t>
      </w:r>
      <w:proofErr w:type="gramEnd"/>
      <w:r>
        <w:rPr>
          <w:rFonts w:eastAsia="Times New Roman"/>
        </w:rPr>
        <w:t>-Mixing Penalty at Retrieval (H</w:t>
      </w:r>
      <w:r>
        <w:rPr>
          <w:rFonts w:eastAsia="Times New Roman"/>
          <w:vertAlign w:val="subscript"/>
        </w:rPr>
        <w:t>04</w:t>
      </w:r>
      <w:r>
        <w:rPr>
          <w:rFonts w:eastAsia="Times New Roman"/>
        </w:rPr>
        <w:t>)</w:t>
      </w:r>
    </w:p>
    <w:p w:rsidR="00ED4866" w:rsidRDefault="00ED4866" w:rsidP="00ED4866">
      <w:pPr>
        <w:keepLines/>
        <w:rPr>
          <w:rFonts w:eastAsia="Times New Roman"/>
        </w:rPr>
      </w:pPr>
      <w:proofErr w:type="spellStart"/>
      <w:proofErr w:type="spellEnd"/>
      <w:proofErr w:type="spellStart"/>
      <w:proofErr w:type="spellEnd"/>
      <w:r>
        <w:rPr>
          <w:rFonts w:eastAsia="Times New Roman"/>
        </w:rPr>
        <w:t xml:space="preserve">Success@1 for each system on the deployed Hinglish queries and their gold English counterparts over all 3,015 pairs is reported in Table 2 and visualised in Fig. 1. Every system </w:t>
      </w:r>
      <w:commentRangeStart w:id="19"/>
      <w:r>
        <w:rPr>
          <w:rFonts w:eastAsia="Times New Roman"/>
          <w:highlight w:val="yellow"/>
        </w:rPr>
        <w:t xml:space="preserve">retrieves significantly worse on Hinglish at rank 1 (McNemar, largest p = 0.018), and the penalty is positive in all 28 system–metric combinations — four systems × Success@1/3/5/10, MRR@10, nDCG@10 and graded nDCG@10 — and significant in 26 (Fig. 2). </w:t>
      </w:r>
      <w:commentRangeEnd w:id="19"/>
      <w:r>
        <w:rPr>
          <w:rStyle w:val="CommentReference"/>
        </w:rPr>
        <w:commentReference w:id="19"/>
      </w:r>
      <w:r>
        <w:rPr>
          <w:rFonts w:eastAsia="Times New Roman"/>
        </w:rPr>
        <w:t>Because the penalty holds across lexical, dense, and hybrid methods</w:t>
      </w:r>
      <w:r>
        <w:rPr>
          <w:rFonts w:eastAsia="Times New Roman"/>
          <w:highlight w:val="green"/>
        </w:rPr>
        <w:t xml:space="preserve"> and at every depth</w:t>
      </w:r>
      <w:r>
        <w:rPr>
          <w:rFonts w:eastAsia="Times New Roman"/>
        </w:rPr>
        <w:t>, it is a property of code-mixing itself rather than of any single configuration, which is why the test is run per system. H₀₄ is rejected for every system tested.</w:t>
      </w:r>
    </w:p>
    <w:p w:rsidR="00ED4866" w:rsidRDefault="00ED4866" w:rsidP="00ED4866">
      <w:pPr>
        <w:pStyle w:val="ICCSDICaption"/>
        <w:keepLines/>
        <w:spacing w:after="0"/>
        <w:rPr>
          <w:rFonts w:eastAsia="Times New Roman"/>
        </w:rPr>
      </w:pPr>
      <w:proofErr w:type="spellStart"/>
      <w:proofErr w:type="spellEnd"/>
      <w:proofErr w:type="spellStart"/>
      <w:proofErr w:type="spellEnd"/>
      <w:commentRangeStart w:id="20"/>
      <w:r>
        <w:rPr>
          <w:rFonts w:eastAsia="Times New Roman"/>
          <w:highlight w:val="cyan"/>
        </w:rPr>
        <w:t xml:space="preserve">Table 2: Success@1, Success@10 and MRR@10 by retrieval system and query language </w:t>
      </w:r>
      <w:commentRangeEnd w:id="20"/>
      <w:r>
        <w:rPr>
          <w:rStyle w:val="CommentReference"/>
        </w:rPr>
        <w:commentReference w:id="20"/>
      </w:r>
      <w:r>
        <w:rPr>
          <w:rFonts w:eastAsia="Times New Roman"/>
        </w:rPr>
        <w:t>(</w:t>
      </w:r>
      <w:r>
        <w:rPr>
          <w:rFonts w:eastAsia="Times New Roman"/>
          <w:i/>
        </w:rPr>
        <w:t>n</w:t>
      </w:r>
      <w:r>
        <w:rPr>
          <w:rFonts w:eastAsia="Times New Roman"/>
        </w:rPr>
        <w:t xml:space="preserve"> = 3,015 pairs; higher is better). Penalty = English − Hinglish</w:t>
      </w:r>
      <w:r>
        <w:rPr>
          <w:rFonts w:eastAsia="Times New Roman"/>
          <w:highlight w:val="green"/>
        </w:rPr>
        <w:t xml:space="preserve"> at rank 1</w:t>
      </w:r>
      <w:r>
        <w:rPr>
          <w:rFonts w:eastAsia="Times New Roman"/>
        </w:rPr>
        <w:t>; McNemar’s test per system. Bold indicates the best deployed-condition (Hinglish) system and the greatest penalty. Penalty 95% CIs (bootstrap): LaBSE [+0.0040, +0.0375], BM25 [+0.0743, +0.1085], Hybrid [+0.0036, +0.0408]</w:t>
      </w:r>
      <w:r>
        <w:rPr>
          <w:rFonts w:eastAsia="Times New Roman"/>
          <w:highlight w:val="green"/>
        </w:rPr>
        <w:t>, TF-IDF [+0.0541, +0.0839]. Penalties at every depth and metric are shown in Fig. 2.</w:t>
      </w:r>
    </w:p>
    <w:tbl>
      <w:tblPr>
        <w:tblW w:w="0" w:type="auto"/>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597"/>
      </w:tblGrid>
      <w:tr w:rsidR="00AD0E67">
        <w:trPr>
          <w:cantSplit/>
          <w:jc w:val="center"/>
        </w:trPr>
        <w:tc>
          <w:tcPr>
            <w:tcW w:w="8597" w:type="dxa"/>
            <w:tcMar>
              <w:top w:w="0" w:type="dxa"/>
              <w:left w:w="0" w:type="dxa"/>
              <w:bottom w:w="0" w:type="dxa"/>
              <w:right w:w="0" w:type="dxa"/>
            </w:tcMar>
          </w:tcPr>
          <w:tbl>
            <w:tblPr>
              <w:tblW w:w="8630" w:type="dxa"/>
              <w:jc w:val="center"/>
              <w:tblLayout w:type="fixed"/>
              <w:tblLook w:val="04A0" w:firstRow="1" w:lastRow="0" w:firstColumn="1" w:lastColumn="0" w:noHBand="0" w:noVBand="1"/>
            </w:tblPr>
            <w:tblGrid>
              <w:gridCol w:w="1650"/>
              <w:gridCol w:w="760"/>
              <w:gridCol w:w="760"/>
              <w:gridCol w:w="980"/>
              <w:gridCol w:w="1000"/>
              <w:gridCol w:w="790"/>
              <w:gridCol w:w="790"/>
              <w:gridCol w:w="950"/>
              <w:gridCol w:w="950"/>
            </w:tblGrid>
            <w:tr w:rsidR="00AD0E67">
              <w:trPr>
                <w:cantSplit/>
                <w:tblHeader/>
                <w:jc w:val="center"/>
              </w:trPr>
              <w:tc>
                <w:tcPr>
                  <w:tcW w:w="1650" w:type="dxa"/>
                  <w:tcBorders>
                    <w:top w:val="single" w:sz="10" w:space="0" w:color="000000"/>
                    <w:bottom w:val="single" w:sz="8" w:space="0" w:color="000000"/>
                  </w:tcBorders>
                  <w:shd w:val="clear" w:color="auto" w:fill="EDEDED"/>
                  <w:tcMar>
                    <w:top w:w="55" w:type="dxa"/>
                    <w:left w:w="75" w:type="dxa"/>
                    <w:bottom w:w="55" w:type="dxa"/>
                    <w:right w:w="75" w:type="dxa"/>
                  </w:tcMar>
                  <w:vAlign w:val="center"/>
                </w:tcPr>
                <w:p w:rsidR="00AD0E67" w:rsidRDefault="00871784">
                  <w:pPr>
                    <w:spacing w:after="0"/>
                    <w:jc w:val="left"/>
                  </w:pPr>
                  <w:commentRangeStart w:id="21"/>
                  <w:r>
                    <w:rPr>
                      <w:rFonts w:eastAsia="Times New Roman"/>
                      <w:b/>
                      <w:sz w:val="18"/>
                    </w:rPr>
                    <w:t>System</w:t>
                  </w:r>
                  <w:commentRangeEnd w:id="21"/>
                  <w:r>
                    <w:rPr>
                      <w:rStyle w:val="CommentReference"/>
                    </w:rPr>
                    <w:commentReference w:id="21"/>
                  </w:r>
                </w:p>
              </w:tc>
              <w:tc>
                <w:tcPr>
                  <w:tcW w:w="760" w:type="dxa"/>
                  <w:tcBorders>
                    <w:top w:val="single" w:sz="10" w:space="0" w:color="000000"/>
                    <w:bottom w:val="single" w:sz="8" w:space="0" w:color="000000"/>
                  </w:tcBorders>
                  <w:shd w:val="clear" w:color="auto" w:fill="EDEDED"/>
                  <w:tcMar>
                    <w:top w:w="55" w:type="dxa"/>
                    <w:left w:w="75" w:type="dxa"/>
                    <w:bottom w:w="55" w:type="dxa"/>
                    <w:right w:w="75" w:type="dxa"/>
                  </w:tcMar>
                  <w:vAlign w:val="center"/>
                </w:tcPr>
                <w:p w:rsidR="00AD0E67" w:rsidRDefault="00871784">
                  <w:pPr>
                    <w:spacing w:after="0"/>
                    <w:jc w:val="center"/>
                  </w:pPr>
                  <w:r>
                    <w:rPr>
                      <w:rFonts w:eastAsia="Times New Roman"/>
                      <w:b/>
                      <w:sz w:val="18"/>
                    </w:rPr>
                    <w:t>S@1 Hi</w:t>
                  </w:r>
                </w:p>
              </w:tc>
              <w:tc>
                <w:tcPr>
                  <w:tcW w:w="760" w:type="dxa"/>
                  <w:tcBorders>
                    <w:top w:val="single" w:sz="10" w:space="0" w:color="000000"/>
                    <w:bottom w:val="single" w:sz="8" w:space="0" w:color="000000"/>
                  </w:tcBorders>
                  <w:shd w:val="clear" w:color="auto" w:fill="EDEDED"/>
                  <w:tcMar>
                    <w:top w:w="55" w:type="dxa"/>
                    <w:left w:w="75" w:type="dxa"/>
                    <w:bottom w:w="55" w:type="dxa"/>
                    <w:right w:w="75" w:type="dxa"/>
                  </w:tcMar>
                  <w:vAlign w:val="center"/>
                </w:tcPr>
                <w:p w:rsidR="00AD0E67" w:rsidRDefault="00871784">
                  <w:pPr>
                    <w:spacing w:after="0"/>
                    <w:jc w:val="center"/>
                  </w:pPr>
                  <w:r>
                    <w:rPr>
                      <w:rFonts w:eastAsia="Times New Roman"/>
                      <w:b/>
                      <w:sz w:val="18"/>
                    </w:rPr>
                    <w:t>S@1 En</w:t>
                  </w:r>
                </w:p>
              </w:tc>
              <w:tc>
                <w:tcPr>
                  <w:tcW w:w="980" w:type="dxa"/>
                  <w:tcBorders>
                    <w:top w:val="single" w:sz="10" w:space="0" w:color="000000"/>
                    <w:bottom w:val="single" w:sz="8" w:space="0" w:color="000000"/>
                  </w:tcBorders>
                  <w:shd w:val="clear" w:color="auto" w:fill="EDEDED"/>
                  <w:tcMar>
                    <w:top w:w="55" w:type="dxa"/>
                    <w:left w:w="75" w:type="dxa"/>
                    <w:bottom w:w="55" w:type="dxa"/>
                    <w:right w:w="75" w:type="dxa"/>
                  </w:tcMar>
                  <w:vAlign w:val="center"/>
                </w:tcPr>
                <w:p w:rsidR="00AD0E67" w:rsidRDefault="00871784">
                  <w:pPr>
                    <w:spacing w:after="0"/>
                    <w:jc w:val="center"/>
                  </w:pPr>
                  <w:r>
                    <w:rPr>
                      <w:rFonts w:eastAsia="Times New Roman"/>
                      <w:b/>
                      <w:sz w:val="18"/>
                    </w:rPr>
                    <w:t>Penalty (En − Hi)</w:t>
                  </w:r>
                </w:p>
              </w:tc>
              <w:tc>
                <w:tcPr>
                  <w:tcW w:w="1000" w:type="dxa"/>
                  <w:tcBorders>
                    <w:top w:val="single" w:sz="10" w:space="0" w:color="000000"/>
                    <w:bottom w:val="single" w:sz="8" w:space="0" w:color="000000"/>
                  </w:tcBorders>
                  <w:shd w:val="clear" w:color="auto" w:fill="EDEDED"/>
                  <w:tcMar>
                    <w:top w:w="55" w:type="dxa"/>
                    <w:left w:w="75" w:type="dxa"/>
                    <w:bottom w:w="55" w:type="dxa"/>
                    <w:right w:w="75" w:type="dxa"/>
                  </w:tcMar>
                  <w:vAlign w:val="center"/>
                </w:tcPr>
                <w:p w:rsidR="00AD0E67" w:rsidRDefault="00871784">
                  <w:pPr>
                    <w:spacing w:after="0"/>
                    <w:jc w:val="center"/>
                  </w:pPr>
                  <w:r>
                    <w:rPr>
                      <w:rFonts w:eastAsia="Times New Roman"/>
                      <w:b/>
                      <w:sz w:val="18"/>
                    </w:rPr>
                    <w:t>McNemar p</w:t>
                  </w:r>
                </w:p>
              </w:tc>
              <w:tc>
                <w:tcPr>
                  <w:tcW w:w="790" w:type="dxa"/>
                  <w:tcBorders>
                    <w:top w:val="single" w:sz="10" w:space="0" w:color="000000"/>
                    <w:bottom w:val="single" w:sz="8" w:space="0" w:color="000000"/>
                  </w:tcBorders>
                  <w:shd w:val="clear" w:color="auto" w:fill="EDEDED"/>
                  <w:tcMar>
                    <w:top w:w="55" w:type="dxa"/>
                    <w:left w:w="75" w:type="dxa"/>
                    <w:bottom w:w="55" w:type="dxa"/>
                    <w:right w:w="75" w:type="dxa"/>
                  </w:tcMar>
                  <w:vAlign w:val="center"/>
                </w:tcPr>
                <w:p w:rsidR="00AD0E67" w:rsidRDefault="00871784">
                  <w:pPr>
                    <w:spacing w:after="0"/>
                    <w:jc w:val="center"/>
                  </w:pPr>
                  <w:r>
                    <w:rPr>
                      <w:rFonts w:eastAsia="Times New Roman"/>
                      <w:b/>
                      <w:sz w:val="18"/>
                      <w:highlight w:val="green"/>
                    </w:rPr>
                    <w:t>S@10 Hi</w:t>
                  </w:r>
                </w:p>
              </w:tc>
              <w:tc>
                <w:tcPr>
                  <w:tcW w:w="790" w:type="dxa"/>
                  <w:tcBorders>
                    <w:top w:val="single" w:sz="10" w:space="0" w:color="000000"/>
                    <w:bottom w:val="single" w:sz="8" w:space="0" w:color="000000"/>
                  </w:tcBorders>
                  <w:shd w:val="clear" w:color="auto" w:fill="EDEDED"/>
                  <w:tcMar>
                    <w:top w:w="55" w:type="dxa"/>
                    <w:left w:w="75" w:type="dxa"/>
                    <w:bottom w:w="55" w:type="dxa"/>
                    <w:right w:w="75" w:type="dxa"/>
                  </w:tcMar>
                  <w:vAlign w:val="center"/>
                </w:tcPr>
                <w:p w:rsidR="00AD0E67" w:rsidRDefault="00871784">
                  <w:pPr>
                    <w:spacing w:after="0"/>
                    <w:jc w:val="center"/>
                  </w:pPr>
                  <w:r>
                    <w:rPr>
                      <w:rFonts w:eastAsia="Times New Roman"/>
                      <w:b/>
                      <w:sz w:val="18"/>
                      <w:highlight w:val="green"/>
                    </w:rPr>
                    <w:t>S@10 En</w:t>
                  </w:r>
                </w:p>
              </w:tc>
              <w:tc>
                <w:tcPr>
                  <w:tcW w:w="950" w:type="dxa"/>
                  <w:tcBorders>
                    <w:top w:val="single" w:sz="10" w:space="0" w:color="000000"/>
                    <w:bottom w:val="single" w:sz="8" w:space="0" w:color="000000"/>
                  </w:tcBorders>
                  <w:shd w:val="clear" w:color="auto" w:fill="EDEDED"/>
                  <w:tcMar>
                    <w:top w:w="55" w:type="dxa"/>
                    <w:left w:w="75" w:type="dxa"/>
                    <w:bottom w:w="55" w:type="dxa"/>
                    <w:right w:w="75" w:type="dxa"/>
                  </w:tcMar>
                  <w:vAlign w:val="center"/>
                </w:tcPr>
                <w:p w:rsidR="00AD0E67" w:rsidRDefault="00871784">
                  <w:pPr>
                    <w:spacing w:after="0"/>
                    <w:jc w:val="center"/>
                  </w:pPr>
                  <w:r>
                    <w:rPr>
                      <w:rFonts w:eastAsia="Times New Roman"/>
                      <w:b/>
                      <w:sz w:val="18"/>
                      <w:highlight w:val="green"/>
                    </w:rPr>
                    <w:t>MRR@10 Hi</w:t>
                  </w:r>
                </w:p>
              </w:tc>
              <w:tc>
                <w:tcPr>
                  <w:tcW w:w="950" w:type="dxa"/>
                  <w:tcBorders>
                    <w:top w:val="single" w:sz="10" w:space="0" w:color="000000"/>
                    <w:bottom w:val="single" w:sz="8" w:space="0" w:color="000000"/>
                  </w:tcBorders>
                  <w:shd w:val="clear" w:color="auto" w:fill="EDEDED"/>
                  <w:tcMar>
                    <w:top w:w="55" w:type="dxa"/>
                    <w:left w:w="75" w:type="dxa"/>
                    <w:bottom w:w="55" w:type="dxa"/>
                    <w:right w:w="75" w:type="dxa"/>
                  </w:tcMar>
                  <w:vAlign w:val="center"/>
                </w:tcPr>
                <w:p w:rsidR="00AD0E67" w:rsidRDefault="00871784">
                  <w:pPr>
                    <w:spacing w:after="0"/>
                    <w:jc w:val="center"/>
                  </w:pPr>
                  <w:r>
                    <w:rPr>
                      <w:rFonts w:eastAsia="Times New Roman"/>
                      <w:b/>
                      <w:sz w:val="18"/>
                      <w:highlight w:val="green"/>
                    </w:rPr>
                    <w:t>MRR@10 En</w:t>
                  </w:r>
                </w:p>
              </w:tc>
            </w:tr>
            <w:tr w:rsidR="00AD0E67">
              <w:trPr>
                <w:cantSplit/>
                <w:jc w:val="center"/>
              </w:trPr>
              <w:tc>
                <w:tcPr>
                  <w:tcW w:w="1650" w:type="dxa"/>
                  <w:tcMar>
                    <w:top w:w="45" w:type="dxa"/>
                    <w:left w:w="75" w:type="dxa"/>
                    <w:bottom w:w="45" w:type="dxa"/>
                    <w:right w:w="75" w:type="dxa"/>
                  </w:tcMar>
                  <w:vAlign w:val="center"/>
                </w:tcPr>
                <w:p w:rsidR="00AD0E67" w:rsidRDefault="00871784">
                  <w:pPr>
                    <w:spacing w:after="0"/>
                    <w:jc w:val="left"/>
                  </w:pPr>
                  <w:r>
                    <w:rPr>
                      <w:rFonts w:eastAsia="Times New Roman"/>
                      <w:sz w:val="18"/>
                    </w:rPr>
                    <w:t>Hybrid (RRF)</w:t>
                  </w:r>
                </w:p>
              </w:tc>
              <w:tc>
                <w:tcPr>
                  <w:tcW w:w="760" w:type="dxa"/>
                  <w:tcMar>
                    <w:top w:w="45" w:type="dxa"/>
                    <w:left w:w="75" w:type="dxa"/>
                    <w:bottom w:w="45" w:type="dxa"/>
                    <w:right w:w="75" w:type="dxa"/>
                  </w:tcMar>
                  <w:vAlign w:val="center"/>
                </w:tcPr>
                <w:p w:rsidR="00AD0E67" w:rsidRDefault="00871784">
                  <w:pPr>
                    <w:spacing w:after="0"/>
                    <w:jc w:val="center"/>
                  </w:pPr>
                  <w:r>
                    <w:rPr>
                      <w:rFonts w:eastAsia="Times New Roman"/>
                      <w:b/>
                      <w:sz w:val="18"/>
                    </w:rPr>
                    <w:t>0.1751</w:t>
                  </w:r>
                </w:p>
              </w:tc>
              <w:tc>
                <w:tcPr>
                  <w:tcW w:w="760" w:type="dxa"/>
                  <w:tcMar>
                    <w:top w:w="45" w:type="dxa"/>
                    <w:left w:w="75" w:type="dxa"/>
                    <w:bottom w:w="45" w:type="dxa"/>
                    <w:right w:w="75" w:type="dxa"/>
                  </w:tcMar>
                  <w:vAlign w:val="center"/>
                </w:tcPr>
                <w:p w:rsidR="00AD0E67" w:rsidRDefault="00871784">
                  <w:pPr>
                    <w:spacing w:after="0"/>
                    <w:jc w:val="center"/>
                  </w:pPr>
                  <w:r>
                    <w:rPr>
                      <w:rFonts w:eastAsia="Times New Roman"/>
                      <w:sz w:val="18"/>
                    </w:rPr>
                    <w:t>0.1973</w:t>
                  </w:r>
                </w:p>
              </w:tc>
              <w:tc>
                <w:tcPr>
                  <w:tcW w:w="980" w:type="dxa"/>
                  <w:tcMar>
                    <w:top w:w="45" w:type="dxa"/>
                    <w:left w:w="75" w:type="dxa"/>
                    <w:bottom w:w="45" w:type="dxa"/>
                    <w:right w:w="75" w:type="dxa"/>
                  </w:tcMar>
                  <w:vAlign w:val="center"/>
                </w:tcPr>
                <w:p w:rsidR="00AD0E67" w:rsidRDefault="00871784">
                  <w:pPr>
                    <w:spacing w:after="0"/>
                    <w:jc w:val="center"/>
                  </w:pPr>
                  <w:r>
                    <w:rPr>
                      <w:rFonts w:eastAsia="Times New Roman"/>
                      <w:sz w:val="18"/>
                    </w:rPr>
                    <w:t>+0.0222</w:t>
                  </w:r>
                </w:p>
              </w:tc>
              <w:tc>
                <w:tcPr>
                  <w:tcW w:w="1000" w:type="dxa"/>
                  <w:tcMar>
                    <w:top w:w="45" w:type="dxa"/>
                    <w:left w:w="75" w:type="dxa"/>
                    <w:bottom w:w="45" w:type="dxa"/>
                    <w:right w:w="75" w:type="dxa"/>
                  </w:tcMar>
                  <w:vAlign w:val="center"/>
                </w:tcPr>
                <w:p w:rsidR="00AD0E67" w:rsidRDefault="00871784">
                  <w:pPr>
                    <w:spacing w:after="0"/>
                    <w:jc w:val="center"/>
                  </w:pPr>
                  <w:r>
                    <w:rPr>
                      <w:rFonts w:eastAsia="Times New Roman"/>
                      <w:sz w:val="18"/>
                    </w:rPr>
                    <w:t>0.018</w:t>
                  </w:r>
                </w:p>
              </w:tc>
              <w:tc>
                <w:tcPr>
                  <w:tcW w:w="790" w:type="dxa"/>
                  <w:tcMar>
                    <w:top w:w="45" w:type="dxa"/>
                    <w:left w:w="75" w:type="dxa"/>
                    <w:bottom w:w="45" w:type="dxa"/>
                    <w:right w:w="75" w:type="dxa"/>
                  </w:tcMar>
                  <w:vAlign w:val="center"/>
                </w:tcPr>
                <w:p w:rsidR="00AD0E67" w:rsidRDefault="00871784">
                  <w:pPr>
                    <w:spacing w:after="0"/>
                    <w:jc w:val="center"/>
                  </w:pPr>
                  <w:r>
                    <w:rPr>
                      <w:rFonts w:eastAsia="Times New Roman"/>
                      <w:sz w:val="18"/>
                      <w:highlight w:val="green"/>
                    </w:rPr>
                    <w:t>0.6564</w:t>
                  </w:r>
                </w:p>
              </w:tc>
              <w:tc>
                <w:tcPr>
                  <w:tcW w:w="790" w:type="dxa"/>
                  <w:tcMar>
                    <w:top w:w="45" w:type="dxa"/>
                    <w:left w:w="75" w:type="dxa"/>
                    <w:bottom w:w="45" w:type="dxa"/>
                    <w:right w:w="75" w:type="dxa"/>
                  </w:tcMar>
                  <w:vAlign w:val="center"/>
                </w:tcPr>
                <w:p w:rsidR="00AD0E67" w:rsidRDefault="00871784">
                  <w:pPr>
                    <w:spacing w:after="0"/>
                    <w:jc w:val="center"/>
                  </w:pPr>
                  <w:r>
                    <w:rPr>
                      <w:rFonts w:eastAsia="Times New Roman"/>
                      <w:sz w:val="18"/>
                      <w:highlight w:val="green"/>
                    </w:rPr>
                    <w:t>0.7393</w:t>
                  </w:r>
                </w:p>
              </w:tc>
              <w:tc>
                <w:tcPr>
                  <w:tcW w:w="950" w:type="dxa"/>
                  <w:tcMar>
                    <w:top w:w="45" w:type="dxa"/>
                    <w:left w:w="75" w:type="dxa"/>
                    <w:bottom w:w="45" w:type="dxa"/>
                    <w:right w:w="75" w:type="dxa"/>
                  </w:tcMar>
                  <w:vAlign w:val="center"/>
                </w:tcPr>
                <w:p w:rsidR="00AD0E67" w:rsidRDefault="00871784">
                  <w:pPr>
                    <w:spacing w:after="0"/>
                    <w:jc w:val="center"/>
                  </w:pPr>
                  <w:r>
                    <w:rPr>
                      <w:rFonts w:eastAsia="Times New Roman"/>
                      <w:sz w:val="18"/>
                      <w:highlight w:val="green"/>
                    </w:rPr>
                    <w:t>0.2987</w:t>
                  </w:r>
                </w:p>
              </w:tc>
              <w:tc>
                <w:tcPr>
                  <w:tcW w:w="950" w:type="dxa"/>
                  <w:tcMar>
                    <w:top w:w="45" w:type="dxa"/>
                    <w:left w:w="75" w:type="dxa"/>
                    <w:bottom w:w="45" w:type="dxa"/>
                    <w:right w:w="75" w:type="dxa"/>
                  </w:tcMar>
                  <w:vAlign w:val="center"/>
                </w:tcPr>
                <w:p w:rsidR="00AD0E67" w:rsidRDefault="00871784">
                  <w:pPr>
                    <w:spacing w:after="0"/>
                    <w:jc w:val="center"/>
                  </w:pPr>
                  <w:r>
                    <w:rPr>
                      <w:rFonts w:eastAsia="Times New Roman"/>
                      <w:sz w:val="18"/>
                      <w:highlight w:val="green"/>
                    </w:rPr>
                    <w:t>0.3438</w:t>
                  </w:r>
                </w:p>
              </w:tc>
            </w:tr>
            <w:tr w:rsidR="00AD0E67">
              <w:trPr>
                <w:cantSplit/>
                <w:jc w:val="center"/>
              </w:trPr>
              <w:tc>
                <w:tcPr>
                  <w:tcW w:w="1650" w:type="dxa"/>
                  <w:tcMar>
                    <w:top w:w="45" w:type="dxa"/>
                    <w:left w:w="75" w:type="dxa"/>
                    <w:bottom w:w="45" w:type="dxa"/>
                    <w:right w:w="75" w:type="dxa"/>
                  </w:tcMar>
                  <w:vAlign w:val="center"/>
                </w:tcPr>
                <w:p w:rsidR="00AD0E67" w:rsidRDefault="00871784">
                  <w:pPr>
                    <w:spacing w:after="0"/>
                    <w:jc w:val="left"/>
                  </w:pPr>
                  <w:r>
                    <w:rPr>
                      <w:rFonts w:eastAsia="Times New Roman"/>
                      <w:sz w:val="18"/>
                    </w:rPr>
                    <w:t>LaBSE (passages)</w:t>
                  </w:r>
                </w:p>
              </w:tc>
              <w:tc>
                <w:tcPr>
                  <w:tcW w:w="760" w:type="dxa"/>
                  <w:tcMar>
                    <w:top w:w="45" w:type="dxa"/>
                    <w:left w:w="75" w:type="dxa"/>
                    <w:bottom w:w="45" w:type="dxa"/>
                    <w:right w:w="75" w:type="dxa"/>
                  </w:tcMar>
                  <w:vAlign w:val="center"/>
                </w:tcPr>
                <w:p w:rsidR="00AD0E67" w:rsidRDefault="00871784">
                  <w:pPr>
                    <w:spacing w:after="0"/>
                    <w:jc w:val="center"/>
                  </w:pPr>
                  <w:r>
                    <w:rPr>
                      <w:rFonts w:eastAsia="Times New Roman"/>
                      <w:sz w:val="18"/>
                    </w:rPr>
                    <w:t>0.1280</w:t>
                  </w:r>
                </w:p>
              </w:tc>
              <w:tc>
                <w:tcPr>
                  <w:tcW w:w="760" w:type="dxa"/>
                  <w:tcMar>
                    <w:top w:w="45" w:type="dxa"/>
                    <w:left w:w="75" w:type="dxa"/>
                    <w:bottom w:w="45" w:type="dxa"/>
                    <w:right w:w="75" w:type="dxa"/>
                  </w:tcMar>
                  <w:vAlign w:val="center"/>
                </w:tcPr>
                <w:p w:rsidR="00AD0E67" w:rsidRDefault="00871784">
                  <w:pPr>
                    <w:spacing w:after="0"/>
                    <w:jc w:val="center"/>
                  </w:pPr>
                  <w:r>
                    <w:rPr>
                      <w:rFonts w:eastAsia="Times New Roman"/>
                      <w:sz w:val="18"/>
                    </w:rPr>
                    <w:t>0.1486</w:t>
                  </w:r>
                </w:p>
              </w:tc>
              <w:tc>
                <w:tcPr>
                  <w:tcW w:w="980" w:type="dxa"/>
                  <w:tcMar>
                    <w:top w:w="45" w:type="dxa"/>
                    <w:left w:w="75" w:type="dxa"/>
                    <w:bottom w:w="45" w:type="dxa"/>
                    <w:right w:w="75" w:type="dxa"/>
                  </w:tcMar>
                  <w:vAlign w:val="center"/>
                </w:tcPr>
                <w:p w:rsidR="00AD0E67" w:rsidRDefault="00871784">
                  <w:pPr>
                    <w:spacing w:after="0"/>
                    <w:jc w:val="center"/>
                  </w:pPr>
                  <w:r>
                    <w:rPr>
                      <w:rFonts w:eastAsia="Times New Roman"/>
                      <w:sz w:val="18"/>
                    </w:rPr>
                    <w:t>+0.0206</w:t>
                  </w:r>
                </w:p>
              </w:tc>
              <w:tc>
                <w:tcPr>
                  <w:tcW w:w="1000" w:type="dxa"/>
                  <w:tcMar>
                    <w:top w:w="45" w:type="dxa"/>
                    <w:left w:w="75" w:type="dxa"/>
                    <w:bottom w:w="45" w:type="dxa"/>
                    <w:right w:w="75" w:type="dxa"/>
                  </w:tcMar>
                  <w:vAlign w:val="center"/>
                </w:tcPr>
                <w:p w:rsidR="00AD0E67" w:rsidRDefault="00871784">
                  <w:pPr>
                    <w:spacing w:after="0"/>
                    <w:jc w:val="center"/>
                  </w:pPr>
                  <w:r>
                    <w:rPr>
                      <w:rFonts w:eastAsia="Times New Roman"/>
                      <w:sz w:val="18"/>
                    </w:rPr>
                    <w:t>0.017</w:t>
                  </w:r>
                </w:p>
              </w:tc>
              <w:tc>
                <w:tcPr>
                  <w:tcW w:w="790" w:type="dxa"/>
                  <w:tcMar>
                    <w:top w:w="45" w:type="dxa"/>
                    <w:left w:w="75" w:type="dxa"/>
                    <w:bottom w:w="45" w:type="dxa"/>
                    <w:right w:w="75" w:type="dxa"/>
                  </w:tcMar>
                  <w:vAlign w:val="center"/>
                </w:tcPr>
                <w:p w:rsidR="00AD0E67" w:rsidRDefault="00871784">
                  <w:pPr>
                    <w:spacing w:after="0"/>
                    <w:jc w:val="center"/>
                  </w:pPr>
                  <w:r>
                    <w:rPr>
                      <w:rFonts w:eastAsia="Times New Roman"/>
                      <w:sz w:val="18"/>
                      <w:highlight w:val="green"/>
                    </w:rPr>
                    <w:t>0.6325</w:t>
                  </w:r>
                </w:p>
              </w:tc>
              <w:tc>
                <w:tcPr>
                  <w:tcW w:w="790" w:type="dxa"/>
                  <w:tcMar>
                    <w:top w:w="45" w:type="dxa"/>
                    <w:left w:w="75" w:type="dxa"/>
                    <w:bottom w:w="45" w:type="dxa"/>
                    <w:right w:w="75" w:type="dxa"/>
                  </w:tcMar>
                  <w:vAlign w:val="center"/>
                </w:tcPr>
                <w:p w:rsidR="00AD0E67" w:rsidRDefault="00871784">
                  <w:pPr>
                    <w:spacing w:after="0"/>
                    <w:jc w:val="center"/>
                  </w:pPr>
                  <w:r>
                    <w:rPr>
                      <w:rFonts w:eastAsia="Times New Roman"/>
                      <w:sz w:val="18"/>
                      <w:highlight w:val="green"/>
                    </w:rPr>
                    <w:t>0.6783</w:t>
                  </w:r>
                </w:p>
              </w:tc>
              <w:tc>
                <w:tcPr>
                  <w:tcW w:w="950" w:type="dxa"/>
                  <w:tcMar>
                    <w:top w:w="45" w:type="dxa"/>
                    <w:left w:w="75" w:type="dxa"/>
                    <w:bottom w:w="45" w:type="dxa"/>
                    <w:right w:w="75" w:type="dxa"/>
                  </w:tcMar>
                  <w:vAlign w:val="center"/>
                </w:tcPr>
                <w:p w:rsidR="00AD0E67" w:rsidRDefault="00871784">
                  <w:pPr>
                    <w:spacing w:after="0"/>
                    <w:jc w:val="center"/>
                  </w:pPr>
                  <w:r>
                    <w:rPr>
                      <w:rFonts w:eastAsia="Times New Roman"/>
                      <w:sz w:val="18"/>
                      <w:highlight w:val="green"/>
                    </w:rPr>
                    <w:t>0.2584</w:t>
                  </w:r>
                </w:p>
              </w:tc>
              <w:tc>
                <w:tcPr>
                  <w:tcW w:w="950" w:type="dxa"/>
                  <w:tcMar>
                    <w:top w:w="45" w:type="dxa"/>
                    <w:left w:w="75" w:type="dxa"/>
                    <w:bottom w:w="45" w:type="dxa"/>
                    <w:right w:w="75" w:type="dxa"/>
                  </w:tcMar>
                  <w:vAlign w:val="center"/>
                </w:tcPr>
                <w:p w:rsidR="00AD0E67" w:rsidRDefault="00871784">
                  <w:pPr>
                    <w:spacing w:after="0"/>
                    <w:jc w:val="center"/>
                  </w:pPr>
                  <w:r>
                    <w:rPr>
                      <w:rFonts w:eastAsia="Times New Roman"/>
                      <w:sz w:val="18"/>
                      <w:highlight w:val="green"/>
                    </w:rPr>
                    <w:t>0.2835</w:t>
                  </w:r>
                </w:p>
              </w:tc>
            </w:tr>
            <w:tr w:rsidR="00AD0E67">
              <w:trPr>
                <w:cantSplit/>
                <w:jc w:val="center"/>
              </w:trPr>
              <w:tc>
                <w:tcPr>
                  <w:tcW w:w="1650" w:type="dxa"/>
                  <w:tcMar>
                    <w:top w:w="45" w:type="dxa"/>
                    <w:left w:w="75" w:type="dxa"/>
                    <w:bottom w:w="45" w:type="dxa"/>
                    <w:right w:w="75" w:type="dxa"/>
                  </w:tcMar>
                  <w:vAlign w:val="center"/>
                </w:tcPr>
                <w:p w:rsidR="00AD0E67" w:rsidRDefault="00871784">
                  <w:pPr>
                    <w:spacing w:after="0"/>
                    <w:jc w:val="left"/>
                  </w:pPr>
                  <w:r>
                    <w:rPr>
                      <w:rFonts w:eastAsia="Times New Roman"/>
                      <w:sz w:val="18"/>
                    </w:rPr>
                    <w:t>BM25</w:t>
                  </w:r>
                </w:p>
              </w:tc>
              <w:tc>
                <w:tcPr>
                  <w:tcW w:w="760" w:type="dxa"/>
                  <w:tcMar>
                    <w:top w:w="45" w:type="dxa"/>
                    <w:left w:w="75" w:type="dxa"/>
                    <w:bottom w:w="45" w:type="dxa"/>
                    <w:right w:w="75" w:type="dxa"/>
                  </w:tcMar>
                  <w:vAlign w:val="center"/>
                </w:tcPr>
                <w:p w:rsidR="00AD0E67" w:rsidRDefault="00871784">
                  <w:pPr>
                    <w:spacing w:after="0"/>
                    <w:jc w:val="center"/>
                  </w:pPr>
                  <w:r>
                    <w:rPr>
                      <w:rFonts w:eastAsia="Times New Roman"/>
                      <w:sz w:val="18"/>
                    </w:rPr>
                    <w:t>0.0935</w:t>
                  </w:r>
                </w:p>
              </w:tc>
              <w:tc>
                <w:tcPr>
                  <w:tcW w:w="760" w:type="dxa"/>
                  <w:tcMar>
                    <w:top w:w="45" w:type="dxa"/>
                    <w:left w:w="75" w:type="dxa"/>
                    <w:bottom w:w="45" w:type="dxa"/>
                    <w:right w:w="75" w:type="dxa"/>
                  </w:tcMar>
                  <w:vAlign w:val="center"/>
                </w:tcPr>
                <w:p w:rsidR="00AD0E67" w:rsidRDefault="00871784">
                  <w:pPr>
                    <w:spacing w:after="0"/>
                    <w:jc w:val="center"/>
                  </w:pPr>
                  <w:r>
                    <w:rPr>
                      <w:rFonts w:eastAsia="Times New Roman"/>
                      <w:sz w:val="18"/>
                    </w:rPr>
                    <w:t>0.1847</w:t>
                  </w:r>
                </w:p>
              </w:tc>
              <w:tc>
                <w:tcPr>
                  <w:tcW w:w="980" w:type="dxa"/>
                  <w:tcMar>
                    <w:top w:w="45" w:type="dxa"/>
                    <w:left w:w="75" w:type="dxa"/>
                    <w:bottom w:w="45" w:type="dxa"/>
                    <w:right w:w="75" w:type="dxa"/>
                  </w:tcMar>
                  <w:vAlign w:val="center"/>
                </w:tcPr>
                <w:p w:rsidR="00AD0E67" w:rsidRDefault="00871784">
                  <w:pPr>
                    <w:spacing w:after="0"/>
                    <w:jc w:val="center"/>
                  </w:pPr>
                  <w:r>
                    <w:rPr>
                      <w:rFonts w:eastAsia="Times New Roman"/>
                      <w:b/>
                      <w:sz w:val="18"/>
                    </w:rPr>
                    <w:t>+0.0912</w:t>
                  </w:r>
                </w:p>
              </w:tc>
              <w:tc>
                <w:tcPr>
                  <w:tcW w:w="1000" w:type="dxa"/>
                  <w:tcMar>
                    <w:top w:w="45" w:type="dxa"/>
                    <w:left w:w="75" w:type="dxa"/>
                    <w:bottom w:w="45" w:type="dxa"/>
                    <w:right w:w="75" w:type="dxa"/>
                  </w:tcMar>
                  <w:vAlign w:val="center"/>
                </w:tcPr>
                <w:p w:rsidR="00AD0E67" w:rsidRDefault="00871784">
                  <w:pPr>
                    <w:spacing w:after="0"/>
                    <w:jc w:val="center"/>
                  </w:pPr>
                  <w:r>
                    <w:rPr>
                      <w:rFonts w:eastAsia="Times New Roman"/>
                      <w:sz w:val="18"/>
                    </w:rPr>
                    <w:t>9.9 × 10</w:t>
                  </w:r>
                  <w:r>
                    <w:rPr>
                      <w:rFonts w:eastAsia="Times New Roman"/>
                      <w:sz w:val="18"/>
                      <w:vertAlign w:val="superscript"/>
                    </w:rPr>
                    <w:t>−26</w:t>
                  </w:r>
                </w:p>
              </w:tc>
              <w:tc>
                <w:tcPr>
                  <w:tcW w:w="790" w:type="dxa"/>
                  <w:tcMar>
                    <w:top w:w="45" w:type="dxa"/>
                    <w:left w:w="75" w:type="dxa"/>
                    <w:bottom w:w="45" w:type="dxa"/>
                    <w:right w:w="75" w:type="dxa"/>
                  </w:tcMar>
                  <w:vAlign w:val="center"/>
                </w:tcPr>
                <w:p w:rsidR="00AD0E67" w:rsidRDefault="00871784">
                  <w:pPr>
                    <w:spacing w:after="0"/>
                    <w:jc w:val="center"/>
                  </w:pPr>
                  <w:r>
                    <w:rPr>
                      <w:rFonts w:eastAsia="Times New Roman"/>
                      <w:sz w:val="18"/>
                      <w:highlight w:val="green"/>
                    </w:rPr>
                    <w:t>0.6116</w:t>
                  </w:r>
                </w:p>
              </w:tc>
              <w:tc>
                <w:tcPr>
                  <w:tcW w:w="790" w:type="dxa"/>
                  <w:tcMar>
                    <w:top w:w="45" w:type="dxa"/>
                    <w:left w:w="75" w:type="dxa"/>
                    <w:bottom w:w="45" w:type="dxa"/>
                    <w:right w:w="75" w:type="dxa"/>
                  </w:tcMar>
                  <w:vAlign w:val="center"/>
                </w:tcPr>
                <w:p w:rsidR="00AD0E67" w:rsidRDefault="00871784">
                  <w:pPr>
                    <w:spacing w:after="0"/>
                    <w:jc w:val="center"/>
                  </w:pPr>
                  <w:r>
                    <w:rPr>
                      <w:rFonts w:eastAsia="Times New Roman"/>
                      <w:sz w:val="18"/>
                      <w:highlight w:val="green"/>
                    </w:rPr>
                    <w:t>0.7373</w:t>
                  </w:r>
                </w:p>
              </w:tc>
              <w:tc>
                <w:tcPr>
                  <w:tcW w:w="950" w:type="dxa"/>
                  <w:tcMar>
                    <w:top w:w="45" w:type="dxa"/>
                    <w:left w:w="75" w:type="dxa"/>
                    <w:bottom w:w="45" w:type="dxa"/>
                    <w:right w:w="75" w:type="dxa"/>
                  </w:tcMar>
                  <w:vAlign w:val="center"/>
                </w:tcPr>
                <w:p w:rsidR="00AD0E67" w:rsidRDefault="00871784">
                  <w:pPr>
                    <w:spacing w:after="0"/>
                    <w:jc w:val="center"/>
                  </w:pPr>
                  <w:r>
                    <w:rPr>
                      <w:rFonts w:eastAsia="Times New Roman"/>
                      <w:sz w:val="18"/>
                      <w:highlight w:val="green"/>
                    </w:rPr>
                    <w:t>0.2173</w:t>
                  </w:r>
                </w:p>
              </w:tc>
              <w:tc>
                <w:tcPr>
                  <w:tcW w:w="950" w:type="dxa"/>
                  <w:tcMar>
                    <w:top w:w="45" w:type="dxa"/>
                    <w:left w:w="75" w:type="dxa"/>
                    <w:bottom w:w="45" w:type="dxa"/>
                    <w:right w:w="75" w:type="dxa"/>
                  </w:tcMar>
                  <w:vAlign w:val="center"/>
                </w:tcPr>
                <w:p w:rsidR="00AD0E67" w:rsidRDefault="00871784">
                  <w:pPr>
                    <w:spacing w:after="0"/>
                    <w:jc w:val="center"/>
                  </w:pPr>
                  <w:r>
                    <w:rPr>
                      <w:rFonts w:eastAsia="Times New Roman"/>
                      <w:sz w:val="18"/>
                      <w:highlight w:val="green"/>
                    </w:rPr>
                    <w:t>0.3385</w:t>
                  </w:r>
                </w:p>
              </w:tc>
            </w:tr>
            <w:tr w:rsidR="00AD0E67">
              <w:trPr>
                <w:cantSplit/>
                <w:jc w:val="center"/>
              </w:trPr>
              <w:tc>
                <w:tcPr>
                  <w:tcW w:w="1650" w:type="dxa"/>
                  <w:tcMar>
                    <w:top w:w="45" w:type="dxa"/>
                    <w:left w:w="75" w:type="dxa"/>
                    <w:bottom w:w="45" w:type="dxa"/>
                    <w:right w:w="75" w:type="dxa"/>
                  </w:tcMar>
                  <w:vAlign w:val="center"/>
                </w:tcPr>
                <w:p w:rsidR="00AD0E67" w:rsidRDefault="00871784">
                  <w:pPr>
                    <w:spacing w:after="0"/>
                    <w:jc w:val="left"/>
                  </w:pPr>
                  <w:r>
                    <w:rPr>
                      <w:rFonts w:eastAsia="Times New Roman"/>
                      <w:sz w:val="18"/>
                    </w:rPr>
                    <w:t>TF-IDF</w:t>
                  </w:r>
                </w:p>
              </w:tc>
              <w:tc>
                <w:tcPr>
                  <w:tcW w:w="760" w:type="dxa"/>
                  <w:tcMar>
                    <w:top w:w="45" w:type="dxa"/>
                    <w:left w:w="75" w:type="dxa"/>
                    <w:bottom w:w="45" w:type="dxa"/>
                    <w:right w:w="75" w:type="dxa"/>
                  </w:tcMar>
                  <w:vAlign w:val="center"/>
                </w:tcPr>
                <w:p w:rsidR="00AD0E67" w:rsidRDefault="00871784">
                  <w:pPr>
                    <w:spacing w:after="0"/>
                    <w:jc w:val="center"/>
                  </w:pPr>
                  <w:r>
                    <w:rPr>
                      <w:rFonts w:eastAsia="Times New Roman"/>
                      <w:sz w:val="18"/>
                    </w:rPr>
                    <w:t>0.0842</w:t>
                  </w:r>
                </w:p>
              </w:tc>
              <w:tc>
                <w:tcPr>
                  <w:tcW w:w="760" w:type="dxa"/>
                  <w:tcMar>
                    <w:top w:w="45" w:type="dxa"/>
                    <w:left w:w="75" w:type="dxa"/>
                    <w:bottom w:w="45" w:type="dxa"/>
                    <w:right w:w="75" w:type="dxa"/>
                  </w:tcMar>
                  <w:vAlign w:val="center"/>
                </w:tcPr>
                <w:p w:rsidR="00AD0E67" w:rsidRDefault="00871784">
                  <w:pPr>
                    <w:spacing w:after="0"/>
                    <w:jc w:val="center"/>
                  </w:pPr>
                  <w:r>
                    <w:rPr>
                      <w:rFonts w:eastAsia="Times New Roman"/>
                      <w:sz w:val="18"/>
                    </w:rPr>
                    <w:t>0.1529</w:t>
                  </w:r>
                </w:p>
              </w:tc>
              <w:tc>
                <w:tcPr>
                  <w:tcW w:w="980" w:type="dxa"/>
                  <w:tcMar>
                    <w:top w:w="45" w:type="dxa"/>
                    <w:left w:w="75" w:type="dxa"/>
                    <w:bottom w:w="45" w:type="dxa"/>
                    <w:right w:w="75" w:type="dxa"/>
                  </w:tcMar>
                  <w:vAlign w:val="center"/>
                </w:tcPr>
                <w:p w:rsidR="00AD0E67" w:rsidRDefault="00871784">
                  <w:pPr>
                    <w:spacing w:after="0"/>
                    <w:jc w:val="center"/>
                  </w:pPr>
                  <w:r>
                    <w:rPr>
                      <w:rFonts w:eastAsia="Times New Roman"/>
                      <w:sz w:val="18"/>
                      <w:highlight w:val="yellow"/>
                    </w:rPr>
                    <w:t>+0.0687</w:t>
                  </w:r>
                </w:p>
              </w:tc>
              <w:tc>
                <w:tcPr>
                  <w:tcW w:w="1000" w:type="dxa"/>
                  <w:tcMar>
                    <w:top w:w="45" w:type="dxa"/>
                    <w:left w:w="75" w:type="dxa"/>
                    <w:bottom w:w="45" w:type="dxa"/>
                    <w:right w:w="75" w:type="dxa"/>
                  </w:tcMar>
                  <w:vAlign w:val="center"/>
                </w:tcPr>
                <w:p w:rsidR="00AD0E67" w:rsidRDefault="00871784">
                  <w:pPr>
                    <w:spacing w:after="0"/>
                    <w:jc w:val="center"/>
                  </w:pPr>
                  <w:r>
                    <w:rPr>
                      <w:rFonts w:eastAsia="Times New Roman"/>
                      <w:sz w:val="18"/>
                      <w:highlight w:val="yellow"/>
                    </w:rPr>
                    <w:t>1.9 × 10</w:t>
                  </w:r>
                  <w:r>
                    <w:rPr>
                      <w:rFonts w:eastAsia="Times New Roman"/>
                      <w:sz w:val="18"/>
                      <w:highlight w:val="yellow"/>
                      <w:vertAlign w:val="superscript"/>
                    </w:rPr>
                    <w:t>−19</w:t>
                  </w:r>
                </w:p>
              </w:tc>
              <w:tc>
                <w:tcPr>
                  <w:tcW w:w="790" w:type="dxa"/>
                  <w:tcMar>
                    <w:top w:w="45" w:type="dxa"/>
                    <w:left w:w="75" w:type="dxa"/>
                    <w:bottom w:w="45" w:type="dxa"/>
                    <w:right w:w="75" w:type="dxa"/>
                  </w:tcMar>
                  <w:vAlign w:val="center"/>
                </w:tcPr>
                <w:p w:rsidR="00AD0E67" w:rsidRDefault="00871784">
                  <w:pPr>
                    <w:spacing w:after="0"/>
                    <w:jc w:val="center"/>
                  </w:pPr>
                  <w:r>
                    <w:rPr>
                      <w:rFonts w:eastAsia="Times New Roman"/>
                      <w:sz w:val="18"/>
                      <w:highlight w:val="green"/>
                    </w:rPr>
                    <w:t>0.5599</w:t>
                  </w:r>
                </w:p>
              </w:tc>
              <w:tc>
                <w:tcPr>
                  <w:tcW w:w="790" w:type="dxa"/>
                  <w:tcMar>
                    <w:top w:w="45" w:type="dxa"/>
                    <w:left w:w="75" w:type="dxa"/>
                    <w:bottom w:w="45" w:type="dxa"/>
                    <w:right w:w="75" w:type="dxa"/>
                  </w:tcMar>
                  <w:vAlign w:val="center"/>
                </w:tcPr>
                <w:p w:rsidR="00AD0E67" w:rsidRDefault="00871784">
                  <w:pPr>
                    <w:spacing w:after="0"/>
                    <w:jc w:val="center"/>
                  </w:pPr>
                  <w:r>
                    <w:rPr>
                      <w:rFonts w:eastAsia="Times New Roman"/>
                      <w:sz w:val="18"/>
                      <w:highlight w:val="green"/>
                    </w:rPr>
                    <w:t>0.6153</w:t>
                  </w:r>
                </w:p>
              </w:tc>
              <w:tc>
                <w:tcPr>
                  <w:tcW w:w="950" w:type="dxa"/>
                  <w:tcMar>
                    <w:top w:w="45" w:type="dxa"/>
                    <w:left w:w="75" w:type="dxa"/>
                    <w:bottom w:w="45" w:type="dxa"/>
                    <w:right w:w="75" w:type="dxa"/>
                  </w:tcMar>
                  <w:vAlign w:val="center"/>
                </w:tcPr>
                <w:p w:rsidR="00AD0E67" w:rsidRDefault="00871784">
                  <w:pPr>
                    <w:spacing w:after="0"/>
                    <w:jc w:val="center"/>
                  </w:pPr>
                  <w:r>
                    <w:rPr>
                      <w:rFonts w:eastAsia="Times New Roman"/>
                      <w:sz w:val="18"/>
                      <w:highlight w:val="green"/>
                    </w:rPr>
                    <w:t>0.1972</w:t>
                  </w:r>
                </w:p>
              </w:tc>
              <w:tc>
                <w:tcPr>
                  <w:tcW w:w="950" w:type="dxa"/>
                  <w:tcMar>
                    <w:top w:w="45" w:type="dxa"/>
                    <w:left w:w="75" w:type="dxa"/>
                    <w:bottom w:w="45" w:type="dxa"/>
                    <w:right w:w="75" w:type="dxa"/>
                  </w:tcMar>
                  <w:vAlign w:val="center"/>
                </w:tcPr>
                <w:p w:rsidR="00AD0E67" w:rsidRDefault="00871784">
                  <w:pPr>
                    <w:spacing w:after="0"/>
                    <w:jc w:val="center"/>
                  </w:pPr>
                  <w:r>
                    <w:rPr>
                      <w:rFonts w:eastAsia="Times New Roman"/>
                      <w:sz w:val="18"/>
                      <w:highlight w:val="green"/>
                    </w:rPr>
                    <w:t>0.2729</w:t>
                  </w:r>
                </w:p>
              </w:tc>
            </w:tr>
            <w:tr w:rsidR="00AD0E67">
              <w:trPr>
                <w:cantSplit/>
                <w:jc w:val="center"/>
              </w:trPr>
              <w:tc>
                <w:tcPr>
                  <w:tcW w:w="1650" w:type="dxa"/>
                  <w:tcBorders>
                    <w:bottom w:val="single" w:sz="10" w:space="0" w:color="000000"/>
                  </w:tcBorders>
                  <w:tcMar>
                    <w:top w:w="45" w:type="dxa"/>
                    <w:left w:w="75" w:type="dxa"/>
                    <w:bottom w:w="45" w:type="dxa"/>
                    <w:right w:w="75" w:type="dxa"/>
                  </w:tcMar>
                  <w:vAlign w:val="center"/>
                </w:tcPr>
                <w:p w:rsidR="00AD0E67" w:rsidRDefault="00871784">
                  <w:pPr>
                    <w:spacing w:after="0"/>
                    <w:jc w:val="left"/>
                  </w:pPr>
                  <w:r>
                    <w:rPr>
                      <w:rFonts w:eastAsia="Times New Roman"/>
                      <w:i/>
                      <w:sz w:val="18"/>
                    </w:rPr>
                    <w:t>Random floor</w:t>
                  </w:r>
                </w:p>
              </w:tc>
              <w:tc>
                <w:tcPr>
                  <w:tcW w:w="760" w:type="dxa"/>
                  <w:tcBorders>
                    <w:bottom w:val="single" w:sz="10" w:space="0" w:color="000000"/>
                  </w:tcBorders>
                  <w:tcMar>
                    <w:top w:w="45" w:type="dxa"/>
                    <w:left w:w="75" w:type="dxa"/>
                    <w:bottom w:w="45" w:type="dxa"/>
                    <w:right w:w="75" w:type="dxa"/>
                  </w:tcMar>
                  <w:vAlign w:val="center"/>
                </w:tcPr>
                <w:p w:rsidR="00AD0E67" w:rsidRDefault="00871784">
                  <w:pPr>
                    <w:spacing w:after="0"/>
                    <w:jc w:val="center"/>
                  </w:pPr>
                  <w:r>
                    <w:rPr>
                      <w:rFonts w:eastAsia="Times New Roman"/>
                      <w:i/>
                      <w:sz w:val="18"/>
                    </w:rPr>
                    <w:t>0.0626</w:t>
                  </w:r>
                </w:p>
              </w:tc>
              <w:tc>
                <w:tcPr>
                  <w:tcW w:w="760" w:type="dxa"/>
                  <w:tcBorders>
                    <w:bottom w:val="single" w:sz="10" w:space="0" w:color="000000"/>
                  </w:tcBorders>
                  <w:tcMar>
                    <w:top w:w="45" w:type="dxa"/>
                    <w:left w:w="75" w:type="dxa"/>
                    <w:bottom w:w="45" w:type="dxa"/>
                    <w:right w:w="75" w:type="dxa"/>
                  </w:tcMar>
                  <w:vAlign w:val="center"/>
                </w:tcPr>
                <w:p w:rsidR="00AD0E67" w:rsidRDefault="00871784">
                  <w:pPr>
                    <w:spacing w:after="0"/>
                    <w:jc w:val="center"/>
                  </w:pPr>
                  <w:r>
                    <w:rPr>
                      <w:rFonts w:eastAsia="Times New Roman"/>
                      <w:i/>
                      <w:sz w:val="18"/>
                    </w:rPr>
                    <w:t>0.0626</w:t>
                  </w:r>
                </w:p>
              </w:tc>
              <w:tc>
                <w:tcPr>
                  <w:tcW w:w="980" w:type="dxa"/>
                  <w:tcBorders>
                    <w:bottom w:val="single" w:sz="10" w:space="0" w:color="000000"/>
                  </w:tcBorders>
                  <w:tcMar>
                    <w:top w:w="45" w:type="dxa"/>
                    <w:left w:w="75" w:type="dxa"/>
                    <w:bottom w:w="45" w:type="dxa"/>
                    <w:right w:w="75" w:type="dxa"/>
                  </w:tcMar>
                  <w:vAlign w:val="center"/>
                </w:tcPr>
                <w:p w:rsidR="00AD0E67" w:rsidRDefault="00871784">
                  <w:pPr>
                    <w:spacing w:after="0"/>
                    <w:jc w:val="center"/>
                  </w:pPr>
                  <w:r>
                    <w:rPr>
                      <w:rFonts w:eastAsia="Times New Roman"/>
                      <w:i/>
                      <w:sz w:val="18"/>
                    </w:rPr>
                    <w:t>—</w:t>
                  </w:r>
                </w:p>
              </w:tc>
              <w:tc>
                <w:tcPr>
                  <w:tcW w:w="1000" w:type="dxa"/>
                  <w:tcBorders>
                    <w:bottom w:val="single" w:sz="10" w:space="0" w:color="000000"/>
                  </w:tcBorders>
                  <w:tcMar>
                    <w:top w:w="45" w:type="dxa"/>
                    <w:left w:w="75" w:type="dxa"/>
                    <w:bottom w:w="45" w:type="dxa"/>
                    <w:right w:w="75" w:type="dxa"/>
                  </w:tcMar>
                  <w:vAlign w:val="center"/>
                </w:tcPr>
                <w:p w:rsidR="00AD0E67" w:rsidRDefault="00871784">
                  <w:pPr>
                    <w:spacing w:after="0"/>
                    <w:jc w:val="center"/>
                  </w:pPr>
                  <w:r>
                    <w:rPr>
                      <w:rFonts w:eastAsia="Times New Roman"/>
                      <w:i/>
                      <w:sz w:val="18"/>
                    </w:rPr>
                    <w:t>—</w:t>
                  </w:r>
                </w:p>
              </w:tc>
              <w:tc>
                <w:tcPr>
                  <w:tcW w:w="790" w:type="dxa"/>
                  <w:tcBorders>
                    <w:bottom w:val="single" w:sz="10" w:space="0" w:color="000000"/>
                  </w:tcBorders>
                  <w:tcMar>
                    <w:top w:w="45" w:type="dxa"/>
                    <w:left w:w="75" w:type="dxa"/>
                    <w:bottom w:w="45" w:type="dxa"/>
                    <w:right w:w="75" w:type="dxa"/>
                  </w:tcMar>
                  <w:vAlign w:val="center"/>
                </w:tcPr>
                <w:p w:rsidR="00AD0E67" w:rsidRDefault="00871784">
                  <w:pPr>
                    <w:spacing w:after="0"/>
                    <w:jc w:val="center"/>
                  </w:pPr>
                  <w:r>
                    <w:rPr>
                      <w:rFonts w:eastAsia="Times New Roman"/>
                      <w:i/>
                      <w:sz w:val="18"/>
                      <w:highlight w:val="green"/>
                    </w:rPr>
                    <w:t>0.4739</w:t>
                  </w:r>
                </w:p>
              </w:tc>
              <w:tc>
                <w:tcPr>
                  <w:tcW w:w="790" w:type="dxa"/>
                  <w:tcBorders>
                    <w:bottom w:val="single" w:sz="10" w:space="0" w:color="000000"/>
                  </w:tcBorders>
                  <w:tcMar>
                    <w:top w:w="45" w:type="dxa"/>
                    <w:left w:w="75" w:type="dxa"/>
                    <w:bottom w:w="45" w:type="dxa"/>
                    <w:right w:w="75" w:type="dxa"/>
                  </w:tcMar>
                  <w:vAlign w:val="center"/>
                </w:tcPr>
                <w:p w:rsidR="00AD0E67" w:rsidRDefault="00871784">
                  <w:pPr>
                    <w:spacing w:after="0"/>
                    <w:jc w:val="center"/>
                  </w:pPr>
                  <w:r>
                    <w:rPr>
                      <w:rFonts w:eastAsia="Times New Roman"/>
                      <w:i/>
                      <w:sz w:val="18"/>
                      <w:highlight w:val="green"/>
                    </w:rPr>
                    <w:t>0.4739</w:t>
                  </w:r>
                </w:p>
              </w:tc>
              <w:tc>
                <w:tcPr>
                  <w:tcW w:w="950" w:type="dxa"/>
                  <w:tcBorders>
                    <w:bottom w:val="single" w:sz="10" w:space="0" w:color="000000"/>
                  </w:tcBorders>
                  <w:tcMar>
                    <w:top w:w="45" w:type="dxa"/>
                    <w:left w:w="75" w:type="dxa"/>
                    <w:bottom w:w="45" w:type="dxa"/>
                    <w:right w:w="75" w:type="dxa"/>
                  </w:tcMar>
                  <w:vAlign w:val="center"/>
                </w:tcPr>
                <w:p w:rsidR="00AD0E67" w:rsidRDefault="00871784">
                  <w:pPr>
                    <w:spacing w:after="0"/>
                    <w:jc w:val="center"/>
                  </w:pPr>
                  <w:r>
                    <w:rPr>
                      <w:rFonts w:eastAsia="Times New Roman"/>
                      <w:i/>
                      <w:sz w:val="18"/>
                      <w:highlight w:val="green"/>
                    </w:rPr>
                    <w:t>—</w:t>
                  </w:r>
                </w:p>
              </w:tc>
              <w:tc>
                <w:tcPr>
                  <w:tcW w:w="950" w:type="dxa"/>
                  <w:tcBorders>
                    <w:bottom w:val="single" w:sz="10" w:space="0" w:color="000000"/>
                  </w:tcBorders>
                  <w:tcMar>
                    <w:top w:w="45" w:type="dxa"/>
                    <w:left w:w="75" w:type="dxa"/>
                    <w:bottom w:w="45" w:type="dxa"/>
                    <w:right w:w="75" w:type="dxa"/>
                  </w:tcMar>
                  <w:vAlign w:val="center"/>
                </w:tcPr>
                <w:p w:rsidR="00AD0E67" w:rsidRDefault="00871784">
                  <w:pPr>
                    <w:spacing w:after="0"/>
                    <w:jc w:val="center"/>
                  </w:pPr>
                  <w:r>
                    <w:rPr>
                      <w:rFonts w:eastAsia="Times New Roman"/>
                      <w:i/>
                      <w:sz w:val="18"/>
                      <w:highlight w:val="green"/>
                    </w:rPr>
                    <w:t>—</w:t>
                  </w:r>
                </w:p>
              </w:tc>
            </w:tr>
          </w:tbl>
          <w:p w:rsidR="00AD0E67" w:rsidRDefault="00AD0E67">
            <w:pPr>
              <w:spacing w:after="0" w:line="60" w:lineRule="exact"/>
            </w:pPr>
          </w:p>
        </w:tc>
      </w:tr>
    </w:tbl>
    <w:p w:rsidR="00BA4A40" w:rsidRPr="00ED4866" w:rsidRDefault="00BA4A40" w:rsidP="00BA4A40">
      <w:pPr>
        <w:pStyle w:val="ICCSDICaption"/>
        <w:keepLines/>
        <w:spacing w:before="0" w:after="0"/>
        <w:rPr>
          <w:sz w:val="6"/>
          <w:szCs w:val="10"/>
        </w:rPr>
      </w:pPr>
    </w:p>
    <w:p w:rsidR="00C343C7" w:rsidRPr="00C343C7" w:rsidRDefault="00C343C7" w:rsidP="00C343C7">
      <w:pPr>
        <w:keepLines/>
        <w:spacing w:after="0" w:line="240" w:lineRule="auto"/>
        <w:rPr>
          <w:rFonts w:eastAsia="Times New Roman"/>
          <w:sz w:val="12"/>
          <w:szCs w:val="14"/>
        </w:rPr>
      </w:pPr>
    </w:p>
    <w:p w:rsidR="00AD0E67" w:rsidRDefault="00871784" w:rsidP="00C343C7">
      <w:pPr>
        <w:keepLines/>
      </w:pPr>
      <w:proofErr w:type="spellStart"/>
      <w:proofErr w:type="spellEnd"/>
      <w:proofErr w:type="spellStart"/>
      <w:proofErr w:type="spellEnd"/>
      <w:r>
        <w:rPr>
          <w:rFonts w:eastAsia="Times New Roman"/>
        </w:rPr>
        <w:t xml:space="preserve">The damage is sharply asymmetric. BM25 loses 0.0912 Success@1 to code-mixing against 0.0206 for dense LaBSE, roughly 4.4 times more, producing a crossover: BM25 is the best system on English queries (0.1847) and the worst on Hinglish (0.0935). </w:t>
      </w:r>
      <w:commentRangeStart w:id="22"/>
      <w:r>
        <w:rPr>
          <w:rFonts w:eastAsia="Times New Roman"/>
          <w:highlight w:val="green"/>
        </w:rPr>
        <w:t>The asymmetry widens with depth (Fig. 2): at rank 10 BM25’s penalty is +0.1257 against +0.0458 for LaBSE, and on graded nDCG@10 LaBSE shows no significant penalty at all (+0.0016, p = 0.20) while BM25 loses 0.0822 (p = 7.5 × 10</w:t>
      </w:r>
      <w:commentRangeEnd w:id="22"/>
      <w:r>
        <w:rPr>
          <w:rStyle w:val="CommentReference"/>
        </w:rPr>
        <w:commentReference w:id="22"/>
      </w:r>
      <w:r>
        <w:rPr>
          <w:rFonts w:eastAsia="Times New Roman"/>
          <w:highlight w:val="green"/>
          <w:vertAlign w:val="superscript"/>
        </w:rPr>
        <w:t>−140</w:t>
      </w:r>
      <w:r>
        <w:rPr>
          <w:rFonts w:eastAsia="Times New Roman"/>
          <w:highlight w:val="green"/>
        </w:rPr>
        <w:t xml:space="preserve">). </w:t>
      </w:r>
      <w:r>
        <w:rPr>
          <w:rFonts w:eastAsia="Times New Roman"/>
        </w:rPr>
        <w:t>This crossover is the paper’s empirical argument for cross-lingual embedding at the retrieval layer: surface-form overlap is precisely what romanised code-switching removes.</w:t>
      </w:r>
    </w:p>
    <w:p w:rsidR="00753D99" w:rsidRDefault="00871784">
      <w:pPr>
        <w:keepLines/>
        <w:rPr>
          <w:rFonts w:eastAsia="Times New Roman"/>
        </w:rPr>
      </w:pPr>
      <w:proofErr w:type="spellStart"/>
      <w:proofErr w:type="spellEnd"/>
      <w:proofErr w:type="spellStart"/>
      <w:proofErr w:type="spellEnd"/>
      <w:proofErr w:type="spellStart"/>
      <w:proofErr w:type="spellEnd"/>
      <w:proofErr w:type="spellStart"/>
      <w:proofErr w:type="spellEnd"/>
      <w:proofErr w:type="spellStart"/>
      <w:proofErr w:type="spellEnd"/>
      <w:r>
        <w:rPr>
          <w:rFonts w:eastAsia="Times New Roman"/>
        </w:rPr>
        <w:t xml:space="preserve">On the single-vector index, MuRIL, an encoder pretrained on Indian languages with Hindi in Devanagari script, scores 0.0640 on Hinglish against the 0.0626 random floor: chance. On the same content in English it recovers to 0.1821. </w:t>
      </w:r>
      <w:commentRangeStart w:id="23"/>
      <w:r>
        <w:rPr>
          <w:rFonts w:eastAsia="Times New Roman"/>
          <w:highlight w:val="cyan"/>
        </w:rPr>
        <w:t xml:space="preserve">The failure is consistent with script mismatch rather than language mismatch: MMCQS is romanised, and the encoder has no purchase on the romanised surface. </w:t>
      </w:r>
      <w:commentRangeEnd w:id="23"/>
      <w:r>
        <w:rPr>
          <w:rStyle w:val="CommentReference"/>
        </w:rPr>
        <w:commentReference w:id="23"/>
      </w:r>
      <w:r>
        <w:rPr>
          <w:rFonts w:eastAsia="Times New Roman"/>
          <w:highlight w:val="green"/>
        </w:rPr>
        <w:t>Transliterating the romanised queries into Devanagari tests that reading directly. MuRIL rises from 0.0640 to 0.0716 on Success@1 (not significant, p = 0.24) and improves reliably on rank-sensitive metrics (MRR@10 +0.0148, p = 0.0096; nDCG@10 +0.0077, p = 0.0008), yet recovers only 6.5% of the romanised-to-English gap. Script mismatch is therefore real but secondary: because the transliteration is a hand-verified mapping rather than a trained model this is a lower bound, but on this evidence writing the query in the encoder’s own script does not restore its English performance.</w:t>
      </w:r>
    </w:p>
    <w:p w:rsidR="00AD0E67" w:rsidRDefault="00753D99">
      <w:pPr>
        <w:keepLines/>
      </w:pPr>
      <w:commentRangeStart w:id="24"/>
      <w:r w:rsidR="00871784">
        <w:rPr>
          <w:rFonts w:eastAsia="Times New Roman"/>
          <w:highlight w:val="cyan"/>
        </w:rPr>
        <w:t xml:space="preserve">For comparison, Hinglish Success@1 on that index is 0.1343 for BM25, 0.1303 for multilingual-e5-base, 0.1167 for TF-IDF, and 0.1144 for </w:t>
      </w:r>
      <w:commentRangeEnd w:id="24"/>
      <w:r>
        <w:rPr>
          <w:rStyle w:val="CommentReference"/>
        </w:rPr>
        <w:commentReference w:id="24"/>
      </w:r>
      <w:proofErr w:type="spellStart"/>
      <w:r w:rsidR="00871784">
        <w:rPr>
          <w:rFonts w:eastAsia="Times New Roman"/>
        </w:rPr>
        <w:t>LaBSE</w:t>
      </w:r>
      <w:proofErr w:type="spellEnd"/>
      <w:r w:rsidR="00871784">
        <w:rPr>
          <w:rFonts w:eastAsia="Times New Roman"/>
        </w:rPr>
        <w:t xml:space="preserve">. Practitioners deploying Indian-language encoders on </w:t>
      </w:r>
      <w:proofErr w:type="spellStart"/>
      <w:r w:rsidR="00871784">
        <w:rPr>
          <w:rFonts w:eastAsia="Times New Roman"/>
        </w:rPr>
        <w:t>romanised</w:t>
      </w:r>
      <w:proofErr w:type="spellEnd"/>
      <w:r w:rsidR="00871784">
        <w:rPr>
          <w:rFonts w:eastAsia="Times New Roman"/>
        </w:rPr>
        <w:t xml:space="preserve"> user text should expect near-chance retrieval.</w:t>
      </w:r>
    </w:p>
    <w:p>
      <w:pPr>
        <w:keepNext/>
        <w:spacing w:before="120" w:after="40" w:line="240" w:lineRule="auto"/>
        <w:jc w:val="center"/>
      </w:pPr>
      <w:r>
        <w:drawing>
          <wp:inline xmlns:a="http://schemas.openxmlformats.org/drawingml/2006/main" xmlns:pic="http://schemas.openxmlformats.org/drawingml/2006/picture">
            <wp:extent cx="3776472" cy="1981637"/>
            <wp:docPr id="105" name="Picture 105"/>
            <wp:cNvGraphicFramePr>
              <a:graphicFrameLocks noChangeAspect="1"/>
            </wp:cNvGraphicFramePr>
            <a:graphic>
              <a:graphicData uri="http://schemas.openxmlformats.org/drawingml/2006/picture">
                <pic:pic>
                  <pic:nvPicPr>
                    <pic:cNvPr id="0" name="fig1_table1.png"/>
                    <pic:cNvPicPr/>
                  </pic:nvPicPr>
                  <pic:blipFill>
                    <a:blip r:embed="rId24"/>
                    <a:stretch>
                      <a:fillRect/>
                    </a:stretch>
                  </pic:blipFill>
                  <pic:spPr>
                    <a:xfrm>
                      <a:off x="0" y="0"/>
                      <a:ext cx="3776472" cy="1981637"/>
                    </a:xfrm>
                    <a:prstGeom prst="rect"/>
                  </pic:spPr>
                </pic:pic>
              </a:graphicData>
            </a:graphic>
          </wp:inline>
        </w:drawing>
      </w:r>
    </w:p>
    <w:p w:rsidR="00BA4A40" w:rsidRPr="003E51BB" w:rsidRDefault="00BA4A40" w:rsidP="00BA4A40">
      <w:pPr>
        <w:pStyle w:val="ICCSDICaption"/>
        <w:keepNext w:val="0"/>
        <w:keepLines/>
        <w:spacing w:before="0" w:after="0"/>
        <w:jc w:val="center"/>
        <w:rPr>
          <w:rFonts w:eastAsia="Times New Roman"/>
          <w:sz w:val="14"/>
          <w:szCs w:val="18"/>
        </w:rPr>
      </w:pPr>
    </w:p>
    <w:p w:rsidR="00AD0E67" w:rsidRDefault="00871784" w:rsidP="003E51BB">
      <w:pPr>
        <w:pStyle w:val="ICCSDICaption"/>
        <w:keepNext w:val="0"/>
        <w:keepLines/>
        <w:spacing w:before="0" w:after="0"/>
        <w:jc w:val="center"/>
        <w:rPr>
          <w:rFonts w:eastAsia="Times New Roman"/>
        </w:rPr>
      </w:pPr>
      <w:proofErr w:type="gramStart"/>
      <w:proofErr w:type="gramEnd"/>
      <w:r>
        <w:rPr>
          <w:rFonts w:eastAsia="Times New Roman"/>
        </w:rPr>
        <w:t>Fig. 1  Success@1 by retrieval system and query language over 3,015 pairs (higher is better). The dashed line marks the random floor (0.0626). Values correspond to Table 2.</w:t>
      </w:r>
    </w:p>
    <w:p w:rsidR="003E51BB" w:rsidRPr="003E51BB" w:rsidRDefault="003E51BB" w:rsidP="003E51BB">
      <w:pPr>
        <w:pStyle w:val="ICCSDICaption"/>
        <w:keepNext w:val="0"/>
        <w:keepLines/>
        <w:spacing w:before="0" w:after="0"/>
        <w:jc w:val="center"/>
        <w:rPr>
          <w:sz w:val="22"/>
          <w:szCs w:val="28"/>
        </w:rPr>
      </w:pPr>
    </w:p>
    <w:p>
      <w:pPr>
        <w:keepLines/>
      </w:pPr>
      <w:commentRangeStart w:id="25"/>
      <w:r>
        <w:rPr>
          <w:highlight w:val="green"/>
        </w:rPr>
        <w:t>Translation is the other query-side remedy, and it separates language from register. On a stratified subset of 500 queries translated into English by gpt-oss-120b, dense retrieval improves (LaBSE 0.1220 → 0.1680, p = 0.040) but lexical retrieval collapses (BM25 0.1080 → 0.0240, p = 5.7 × 10</w:t>
      </w:r>
      <w:commentRangeEnd w:id="25"/>
      <w:r>
        <w:rPr>
          <w:rStyle w:val="CommentReference"/>
        </w:rPr>
        <w:commentReference w:id="25"/>
      </w:r>
      <w:r>
        <w:rPr>
          <w:highlight w:val="green"/>
          <w:vertAlign w:val="superscript"/>
        </w:rPr>
        <w:t>−8</w:t>
      </w:r>
      <w:r>
        <w:rPr>
          <w:highlight w:val="green"/>
        </w:rPr>
        <w:t>), below its Hinglish score. The mechanism is measurable: under half of a Hinglish query’s tokens exist in the English corpus at all, but those that do are rare and specific (mean IDF 5.22), because the Hindi carries the grammar and the English carries the clinical content; a fluent translation restores common function words (mean IDF 2.28) that dilute the lexical query. The same diagnostic bounds the main comparison: the gold English question averages 21 words against 97 for the translation, so it is a clinician-style summary, and the penalty in Table 2 compares a patient narrative with a clinical summary, conflating language with conciseness and register. H04 is unaffected — the penalty holds for every system and depth, and the MuRIL result is independent of it — but the estimate is an upper bound on the language effect alone; the translated arm, which holds length and register fixed, is the cleaner language-only comparison, and against it dense retrieval improves while lexical retrieval does not.</w:t>
      </w:r>
    </w:p>
    <w:p>
      <w:pPr>
        <w:keepNext/>
        <w:spacing w:before="120" w:after="40" w:line="240" w:lineRule="auto"/>
        <w:jc w:val="center"/>
      </w:pPr>
      <w:r>
        <w:drawing>
          <wp:inline xmlns:a="http://schemas.openxmlformats.org/drawingml/2006/main" xmlns:pic="http://schemas.openxmlformats.org/drawingml/2006/picture">
            <wp:extent cx="3776472" cy="2059894"/>
            <wp:docPr id="106" name="Picture 106"/>
            <wp:cNvGraphicFramePr>
              <a:graphicFrameLocks noChangeAspect="1"/>
            </wp:cNvGraphicFramePr>
            <a:graphic>
              <a:graphicData uri="http://schemas.openxmlformats.org/drawingml/2006/picture">
                <pic:pic>
                  <pic:nvPicPr>
                    <pic:cNvPr id="0" name="fig3_penalty_by_depth.png"/>
                    <pic:cNvPicPr/>
                  </pic:nvPicPr>
                  <pic:blipFill>
                    <a:blip r:embed="rId25"/>
                    <a:stretch>
                      <a:fillRect/>
                    </a:stretch>
                  </pic:blipFill>
                  <pic:spPr>
                    <a:xfrm>
                      <a:off x="0" y="0"/>
                      <a:ext cx="3776472" cy="2059894"/>
                    </a:xfrm>
                    <a:prstGeom prst="rect"/>
                  </pic:spPr>
                </pic:pic>
              </a:graphicData>
            </a:graphic>
          </wp:inline>
        </w:drawing>
      </w:r>
    </w:p>
    <w:p>
      <w:pPr>
        <w:pStyle w:val="ICCSDICaption"/>
        <w:keepNext w:val="0"/>
        <w:keepLines/>
        <w:spacing w:before="0" w:after="0"/>
        <w:jc w:val="center"/>
        <w:rPr>
          <w:rFonts w:eastAsia="Times New Roman"/>
        </w:rPr>
      </w:pPr>
      <w:commentRangeStart w:id="26"/>
      <w:r>
        <w:rPr>
          <w:highlight w:val="green"/>
        </w:rPr>
        <w:t>Fig. 2  The code-mixing penalty (English − Hinglish Success@k, 95% bootstrap CI) at every rank cutoff, per system. The lexical/dense gap widens with depth; a single rank-1 cutoff understates it.</w:t>
      </w:r>
      <w:commentRangeEnd w:id="26"/>
      <w:r>
        <w:rPr>
          <w:rStyle w:val="CommentReference"/>
        </w:rPr>
        <w:commentReference w:id="26"/>
      </w:r>
    </w:p>
    <w:p>
      <w:pPr>
        <w:pStyle w:val="ICCSDICaption"/>
        <w:keepNext w:val="0"/>
        <w:keepLines/>
        <w:spacing w:before="0" w:after="0"/>
        <w:jc w:val="center"/>
        <w:rPr>
          <w:sz w:val="22"/>
          <w:szCs w:val="28"/>
        </w:rPr>
      </w:pPr>
    </w:p>
    <w:p w:rsidR="00AD0E67" w:rsidRDefault="00871784" w:rsidP="003E51BB">
      <w:pPr>
        <w:pStyle w:val="ICCSDIHeading2"/>
        <w:spacing w:before="0"/>
      </w:pPr>
      <w:proofErr w:type="gramStart"/>
      <w:r>
        <w:rPr>
          <w:rFonts w:eastAsia="Times New Roman"/>
        </w:rPr>
        <w:t>5.2  Validity</w:t>
      </w:r>
      <w:proofErr w:type="gramEnd"/>
      <w:r>
        <w:rPr>
          <w:rFonts w:eastAsia="Times New Roman"/>
        </w:rPr>
        <w:t xml:space="preserve"> of the Scoring Instrument</w:t>
      </w:r>
    </w:p>
    <w:p w:rsidR="003E51BB" w:rsidRDefault="003E51BB" w:rsidP="003E51BB">
      <w:pPr>
        <w:keepLines/>
        <w:rPr>
          <w:rFonts w:eastAsia="Times New Roman"/>
        </w:rPr>
      </w:pPr>
      <w:r w:rsidRPr="003E51BB">
        <w:rPr>
          <w:rFonts w:eastAsia="Times New Roman"/>
        </w:rPr>
        <w:t>In Table 3, the concept-precision instrument is audited against the unbiased reference before any generation result, using degenerate baselines (</w:t>
      </w:r>
      <w:r w:rsidRPr="003E51BB">
        <w:rPr>
          <w:rFonts w:eastAsia="Times New Roman"/>
          <w:i/>
          <w:iCs/>
        </w:rPr>
        <w:t>n</w:t>
      </w:r>
      <w:r w:rsidRPr="003E51BB">
        <w:rPr>
          <w:rFonts w:eastAsia="Times New Roman"/>
        </w:rPr>
        <w:t xml:space="preserve"> = 1,876 for the constants). A hard-coded one-word answer</w:t>
      </w:r>
      <w:r>
        <w:rPr>
          <w:rFonts w:eastAsia="Times New Roman"/>
        </w:rPr>
        <w:t>, the constant string “swelling”</w:t>
      </w:r>
      <w:r w:rsidRPr="003E51BB">
        <w:rPr>
          <w:rFonts w:eastAsia="Times New Roman"/>
        </w:rPr>
        <w:t xml:space="preserve">, scores 0.7132, beating the real grounded system (0.1528) by a factor of 4.7. </w:t>
      </w:r>
    </w:p>
    <w:p w:rsidR="003E51BB" w:rsidRPr="003E51BB" w:rsidRDefault="003E51BB" w:rsidP="003E51BB">
      <w:pPr>
        <w:keepLines/>
        <w:rPr>
          <w:rFonts w:eastAsia="Times New Roman"/>
        </w:rPr>
      </w:pPr>
      <w:r w:rsidRPr="003E51BB">
        <w:rPr>
          <w:rFonts w:eastAsia="Times New Roman"/>
        </w:rPr>
        <w:lastRenderedPageBreak/>
        <w:t xml:space="preserve">The reason is structural: precision does not have a recall term, so its optimum is terseness. </w:t>
      </w:r>
      <w:r>
        <w:rPr>
          <w:rFonts w:eastAsia="Times New Roman"/>
        </w:rPr>
        <w:t>And so, a</w:t>
      </w:r>
      <w:r w:rsidRPr="003E51BB">
        <w:rPr>
          <w:rFonts w:eastAsia="Times New Roman"/>
        </w:rPr>
        <w:t>bsolute concept-precision levels therefore carry no information about answer quality; only paired differences between arms scored exactly the same are interpretable. As such, F₁ is reported wherever quality is at issue, and the baselines are delivered with the scored tables.</w:t>
      </w:r>
    </w:p>
    <w:p w:rsidR="003E51BB" w:rsidRPr="003E51BB" w:rsidRDefault="003E51BB" w:rsidP="003E51BB">
      <w:pPr>
        <w:keepLines/>
        <w:spacing w:after="0"/>
        <w:rPr>
          <w:rFonts w:eastAsia="Times New Roman"/>
          <w:sz w:val="18"/>
        </w:rPr>
      </w:pPr>
      <w:r w:rsidRPr="003E51BB">
        <w:rPr>
          <w:rFonts w:eastAsia="Times New Roman"/>
          <w:sz w:val="18"/>
        </w:rPr>
        <w:t>Table 3</w:t>
      </w:r>
      <w:r>
        <w:rPr>
          <w:rFonts w:eastAsia="Times New Roman"/>
          <w:sz w:val="18"/>
        </w:rPr>
        <w:t>:</w:t>
      </w:r>
      <w:r w:rsidRPr="003E51BB">
        <w:rPr>
          <w:rFonts w:eastAsia="Times New Roman"/>
          <w:sz w:val="18"/>
        </w:rPr>
        <w:t xml:space="preserve"> Concept precision of degenerate baselines and of the two systems against the unbiased reference (</w:t>
      </w:r>
      <w:r w:rsidRPr="003E51BB">
        <w:rPr>
          <w:rFonts w:eastAsia="Times New Roman"/>
          <w:i/>
          <w:iCs/>
          <w:sz w:val="18"/>
        </w:rPr>
        <w:t>n</w:t>
      </w:r>
      <w:r w:rsidRPr="003E51BB">
        <w:rPr>
          <w:rFonts w:eastAsia="Times New Roman"/>
          <w:sz w:val="18"/>
        </w:rPr>
        <w:t xml:space="preserve"> = 1,876 for the constants, 1,705 for the verbatim-copy ceiling, and 701 for the two systems; rows are dropped where an arm asserts no </w:t>
      </w:r>
      <w:proofErr w:type="spellStart"/>
      <w:r w:rsidRPr="003E51BB">
        <w:rPr>
          <w:rFonts w:eastAsia="Times New Roman"/>
          <w:sz w:val="18"/>
        </w:rPr>
        <w:t>scoreable</w:t>
      </w:r>
      <w:proofErr w:type="spellEnd"/>
      <w:r w:rsidRPr="003E51BB">
        <w:rPr>
          <w:rFonts w:eastAsia="Times New Roman"/>
          <w:sz w:val="18"/>
        </w:rPr>
        <w:t xml:space="preserve"> concept). Absolute levels are not quality measures: a one-word constant outscores the deployed system 4.7-fold.</w:t>
      </w:r>
    </w:p>
    <w:p w:rsidR="00FE6FD1" w:rsidRPr="003E51BB" w:rsidRDefault="00FE6FD1" w:rsidP="00FE6FD1">
      <w:pPr>
        <w:pStyle w:val="ICCSDICaption"/>
        <w:keepLines/>
        <w:spacing w:before="0" w:after="0"/>
        <w:rPr>
          <w:sz w:val="8"/>
          <w:szCs w:val="12"/>
        </w:rPr>
      </w:pPr>
    </w:p>
    <w:tbl>
      <w:tblPr>
        <w:tblW w:w="0" w:type="auto"/>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597"/>
      </w:tblGrid>
      <w:tr w:rsidR="00AD0E67">
        <w:trPr>
          <w:cantSplit/>
          <w:jc w:val="center"/>
        </w:trPr>
        <w:tc>
          <w:tcPr>
            <w:tcW w:w="8597" w:type="dxa"/>
            <w:tcMar>
              <w:top w:w="0" w:type="dxa"/>
              <w:left w:w="0" w:type="dxa"/>
              <w:bottom w:w="0" w:type="dxa"/>
              <w:right w:w="0" w:type="dxa"/>
            </w:tcMar>
          </w:tcPr>
          <w:tbl>
            <w:tblPr>
              <w:tblW w:w="0" w:type="auto"/>
              <w:jc w:val="center"/>
              <w:tblLayout w:type="fixed"/>
              <w:tblLook w:val="04A0" w:firstRow="1" w:lastRow="0" w:firstColumn="1" w:lastColumn="0" w:noHBand="0" w:noVBand="1"/>
            </w:tblPr>
            <w:tblGrid>
              <w:gridCol w:w="6062"/>
              <w:gridCol w:w="2486"/>
            </w:tblGrid>
            <w:tr w:rsidR="00AD0E67" w:rsidTr="00472E86">
              <w:trPr>
                <w:cantSplit/>
                <w:trHeight w:val="275"/>
                <w:tblHeader/>
                <w:jc w:val="center"/>
              </w:trPr>
              <w:tc>
                <w:tcPr>
                  <w:tcW w:w="6062" w:type="dxa"/>
                  <w:tcBorders>
                    <w:top w:val="single" w:sz="10" w:space="0" w:color="000000"/>
                    <w:bottom w:val="single" w:sz="8" w:space="0" w:color="000000"/>
                  </w:tcBorders>
                  <w:shd w:val="clear" w:color="auto" w:fill="EDEDED"/>
                  <w:tcMar>
                    <w:top w:w="55" w:type="dxa"/>
                    <w:left w:w="75" w:type="dxa"/>
                    <w:bottom w:w="55" w:type="dxa"/>
                    <w:right w:w="75" w:type="dxa"/>
                  </w:tcMar>
                  <w:vAlign w:val="center"/>
                </w:tcPr>
                <w:p w:rsidR="00AD0E67" w:rsidRDefault="00871784">
                  <w:pPr>
                    <w:spacing w:after="0"/>
                    <w:jc w:val="left"/>
                  </w:pPr>
                  <w:r>
                    <w:rPr>
                      <w:rFonts w:eastAsia="Times New Roman"/>
                      <w:b/>
                      <w:sz w:val="18"/>
                    </w:rPr>
                    <w:t>Scored answer</w:t>
                  </w:r>
                </w:p>
              </w:tc>
              <w:tc>
                <w:tcPr>
                  <w:tcW w:w="2486" w:type="dxa"/>
                  <w:tcBorders>
                    <w:top w:val="single" w:sz="10" w:space="0" w:color="000000"/>
                    <w:bottom w:val="single" w:sz="8" w:space="0" w:color="000000"/>
                  </w:tcBorders>
                  <w:shd w:val="clear" w:color="auto" w:fill="EDEDED"/>
                  <w:tcMar>
                    <w:top w:w="55" w:type="dxa"/>
                    <w:left w:w="75" w:type="dxa"/>
                    <w:bottom w:w="55" w:type="dxa"/>
                    <w:right w:w="75" w:type="dxa"/>
                  </w:tcMar>
                  <w:vAlign w:val="center"/>
                </w:tcPr>
                <w:p w:rsidR="00AD0E67" w:rsidRDefault="00871784">
                  <w:pPr>
                    <w:spacing w:after="0"/>
                    <w:jc w:val="center"/>
                  </w:pPr>
                  <w:r>
                    <w:rPr>
                      <w:rFonts w:eastAsia="Times New Roman"/>
                      <w:b/>
                      <w:sz w:val="18"/>
                    </w:rPr>
                    <w:t>Concept precision</w:t>
                  </w:r>
                </w:p>
              </w:tc>
            </w:tr>
            <w:tr w:rsidR="00AD0E67" w:rsidTr="00472E86">
              <w:trPr>
                <w:cantSplit/>
                <w:trHeight w:val="289"/>
                <w:jc w:val="center"/>
              </w:trPr>
              <w:tc>
                <w:tcPr>
                  <w:tcW w:w="6062" w:type="dxa"/>
                  <w:tcMar>
                    <w:top w:w="45" w:type="dxa"/>
                    <w:left w:w="75" w:type="dxa"/>
                    <w:bottom w:w="45" w:type="dxa"/>
                    <w:right w:w="75" w:type="dxa"/>
                  </w:tcMar>
                  <w:vAlign w:val="center"/>
                </w:tcPr>
                <w:p w:rsidR="00AD0E67" w:rsidRDefault="00871784">
                  <w:pPr>
                    <w:spacing w:after="0"/>
                    <w:jc w:val="left"/>
                  </w:pPr>
                  <w:r>
                    <w:rPr>
                      <w:rFonts w:eastAsia="Times New Roman"/>
                      <w:sz w:val="18"/>
                    </w:rPr>
                    <w:t>Copy of the reference, verbatim</w:t>
                  </w:r>
                </w:p>
              </w:tc>
              <w:tc>
                <w:tcPr>
                  <w:tcW w:w="2486" w:type="dxa"/>
                  <w:tcMar>
                    <w:top w:w="45" w:type="dxa"/>
                    <w:left w:w="75" w:type="dxa"/>
                    <w:bottom w:w="45" w:type="dxa"/>
                    <w:right w:w="75" w:type="dxa"/>
                  </w:tcMar>
                  <w:vAlign w:val="center"/>
                </w:tcPr>
                <w:p w:rsidR="00AD0E67" w:rsidRDefault="00871784">
                  <w:pPr>
                    <w:spacing w:after="0"/>
                    <w:jc w:val="center"/>
                  </w:pPr>
                  <w:r>
                    <w:rPr>
                      <w:rFonts w:eastAsia="Times New Roman"/>
                      <w:sz w:val="18"/>
                    </w:rPr>
                    <w:t>1.0000</w:t>
                  </w:r>
                </w:p>
              </w:tc>
            </w:tr>
            <w:tr w:rsidR="00AD0E67" w:rsidTr="00472E86">
              <w:trPr>
                <w:cantSplit/>
                <w:trHeight w:val="289"/>
                <w:jc w:val="center"/>
              </w:trPr>
              <w:tc>
                <w:tcPr>
                  <w:tcW w:w="6062" w:type="dxa"/>
                  <w:tcMar>
                    <w:top w:w="45" w:type="dxa"/>
                    <w:left w:w="75" w:type="dxa"/>
                    <w:bottom w:w="45" w:type="dxa"/>
                    <w:right w:w="75" w:type="dxa"/>
                  </w:tcMar>
                  <w:vAlign w:val="center"/>
                </w:tcPr>
                <w:p w:rsidR="00AD0E67" w:rsidRDefault="00871784">
                  <w:pPr>
                    <w:spacing w:after="0"/>
                    <w:jc w:val="left"/>
                  </w:pPr>
                  <w:r>
                    <w:rPr>
                      <w:rFonts w:eastAsia="Times New Roman"/>
                      <w:sz w:val="18"/>
                    </w:rPr>
                    <w:t>Constant “swelling”</w:t>
                  </w:r>
                </w:p>
              </w:tc>
              <w:tc>
                <w:tcPr>
                  <w:tcW w:w="2486" w:type="dxa"/>
                  <w:tcMar>
                    <w:top w:w="45" w:type="dxa"/>
                    <w:left w:w="75" w:type="dxa"/>
                    <w:bottom w:w="45" w:type="dxa"/>
                    <w:right w:w="75" w:type="dxa"/>
                  </w:tcMar>
                  <w:vAlign w:val="center"/>
                </w:tcPr>
                <w:p w:rsidR="00AD0E67" w:rsidRDefault="00871784">
                  <w:pPr>
                    <w:spacing w:after="0"/>
                    <w:jc w:val="center"/>
                  </w:pPr>
                  <w:r>
                    <w:rPr>
                      <w:rFonts w:eastAsia="Times New Roman"/>
                      <w:b/>
                      <w:sz w:val="18"/>
                    </w:rPr>
                    <w:t>0.7132</w:t>
                  </w:r>
                </w:p>
              </w:tc>
            </w:tr>
            <w:tr w:rsidR="00AD0E67" w:rsidTr="00472E86">
              <w:trPr>
                <w:cantSplit/>
                <w:trHeight w:val="289"/>
                <w:jc w:val="center"/>
              </w:trPr>
              <w:tc>
                <w:tcPr>
                  <w:tcW w:w="6062" w:type="dxa"/>
                  <w:tcMar>
                    <w:top w:w="45" w:type="dxa"/>
                    <w:left w:w="75" w:type="dxa"/>
                    <w:bottom w:w="45" w:type="dxa"/>
                    <w:right w:w="75" w:type="dxa"/>
                  </w:tcMar>
                  <w:vAlign w:val="center"/>
                </w:tcPr>
                <w:p w:rsidR="00AD0E67" w:rsidRDefault="00871784">
                  <w:pPr>
                    <w:spacing w:after="0"/>
                    <w:jc w:val="left"/>
                  </w:pPr>
                  <w:r>
                    <w:rPr>
                      <w:rFonts w:eastAsia="Times New Roman"/>
                      <w:sz w:val="18"/>
                    </w:rPr>
                    <w:t>Constant “swelling and erythema”</w:t>
                  </w:r>
                </w:p>
              </w:tc>
              <w:tc>
                <w:tcPr>
                  <w:tcW w:w="2486" w:type="dxa"/>
                  <w:tcMar>
                    <w:top w:w="45" w:type="dxa"/>
                    <w:left w:w="75" w:type="dxa"/>
                    <w:bottom w:w="45" w:type="dxa"/>
                    <w:right w:w="75" w:type="dxa"/>
                  </w:tcMar>
                  <w:vAlign w:val="center"/>
                </w:tcPr>
                <w:p w:rsidR="00AD0E67" w:rsidRDefault="00871784">
                  <w:pPr>
                    <w:spacing w:after="0"/>
                    <w:jc w:val="center"/>
                  </w:pPr>
                  <w:r>
                    <w:rPr>
                      <w:rFonts w:eastAsia="Times New Roman"/>
                      <w:sz w:val="18"/>
                    </w:rPr>
                    <w:t>0.6586</w:t>
                  </w:r>
                </w:p>
              </w:tc>
            </w:tr>
            <w:tr w:rsidR="00AD0E67" w:rsidTr="00472E86">
              <w:trPr>
                <w:cantSplit/>
                <w:trHeight w:val="275"/>
                <w:jc w:val="center"/>
              </w:trPr>
              <w:tc>
                <w:tcPr>
                  <w:tcW w:w="6062" w:type="dxa"/>
                  <w:tcMar>
                    <w:top w:w="45" w:type="dxa"/>
                    <w:left w:w="75" w:type="dxa"/>
                    <w:bottom w:w="45" w:type="dxa"/>
                    <w:right w:w="75" w:type="dxa"/>
                  </w:tcMar>
                  <w:vAlign w:val="center"/>
                </w:tcPr>
                <w:p w:rsidR="00AD0E67" w:rsidRDefault="00871784">
                  <w:pPr>
                    <w:spacing w:after="0"/>
                    <w:jc w:val="left"/>
                  </w:pPr>
                  <w:r>
                    <w:rPr>
                      <w:rFonts w:eastAsia="Times New Roman"/>
                      <w:sz w:val="18"/>
                    </w:rPr>
                    <w:t>Constant “erythema”</w:t>
                  </w:r>
                </w:p>
              </w:tc>
              <w:tc>
                <w:tcPr>
                  <w:tcW w:w="2486" w:type="dxa"/>
                  <w:tcMar>
                    <w:top w:w="45" w:type="dxa"/>
                    <w:left w:w="75" w:type="dxa"/>
                    <w:bottom w:w="45" w:type="dxa"/>
                    <w:right w:w="75" w:type="dxa"/>
                  </w:tcMar>
                  <w:vAlign w:val="center"/>
                </w:tcPr>
                <w:p w:rsidR="00AD0E67" w:rsidRDefault="00871784">
                  <w:pPr>
                    <w:spacing w:after="0"/>
                    <w:jc w:val="center"/>
                  </w:pPr>
                  <w:r>
                    <w:rPr>
                      <w:rFonts w:eastAsia="Times New Roman"/>
                      <w:sz w:val="18"/>
                    </w:rPr>
                    <w:t>0.6039</w:t>
                  </w:r>
                </w:p>
              </w:tc>
            </w:tr>
            <w:tr w:rsidR="00AD0E67" w:rsidTr="00472E86">
              <w:trPr>
                <w:cantSplit/>
                <w:trHeight w:val="289"/>
                <w:jc w:val="center"/>
              </w:trPr>
              <w:tc>
                <w:tcPr>
                  <w:tcW w:w="6062" w:type="dxa"/>
                  <w:tcMar>
                    <w:top w:w="45" w:type="dxa"/>
                    <w:left w:w="75" w:type="dxa"/>
                    <w:bottom w:w="45" w:type="dxa"/>
                    <w:right w:w="75" w:type="dxa"/>
                  </w:tcMar>
                  <w:vAlign w:val="center"/>
                </w:tcPr>
                <w:p w:rsidR="00AD0E67" w:rsidRDefault="00871784">
                  <w:pPr>
                    <w:spacing w:after="0"/>
                    <w:jc w:val="left"/>
                  </w:pPr>
                  <w:r>
                    <w:rPr>
                      <w:rFonts w:eastAsia="Times New Roman"/>
                      <w:sz w:val="18"/>
                    </w:rPr>
                    <w:t>Constant “rash swelling pain erythema infection lesion”</w:t>
                  </w:r>
                </w:p>
              </w:tc>
              <w:tc>
                <w:tcPr>
                  <w:tcW w:w="2486" w:type="dxa"/>
                  <w:tcMar>
                    <w:top w:w="45" w:type="dxa"/>
                    <w:left w:w="75" w:type="dxa"/>
                    <w:bottom w:w="45" w:type="dxa"/>
                    <w:right w:w="75" w:type="dxa"/>
                  </w:tcMar>
                  <w:vAlign w:val="center"/>
                </w:tcPr>
                <w:p w:rsidR="00AD0E67" w:rsidRDefault="00871784">
                  <w:pPr>
                    <w:spacing w:after="0"/>
                    <w:jc w:val="center"/>
                  </w:pPr>
                  <w:r>
                    <w:rPr>
                      <w:rFonts w:eastAsia="Times New Roman"/>
                      <w:sz w:val="18"/>
                    </w:rPr>
                    <w:t>0.2338</w:t>
                  </w:r>
                </w:p>
              </w:tc>
            </w:tr>
            <w:tr w:rsidR="00AD0E67" w:rsidTr="00472E86">
              <w:trPr>
                <w:cantSplit/>
                <w:trHeight w:val="289"/>
                <w:jc w:val="center"/>
              </w:trPr>
              <w:tc>
                <w:tcPr>
                  <w:tcW w:w="6062" w:type="dxa"/>
                  <w:tcMar>
                    <w:top w:w="45" w:type="dxa"/>
                    <w:left w:w="75" w:type="dxa"/>
                    <w:bottom w:w="45" w:type="dxa"/>
                    <w:right w:w="75" w:type="dxa"/>
                  </w:tcMar>
                  <w:vAlign w:val="center"/>
                </w:tcPr>
                <w:p w:rsidR="00AD0E67" w:rsidRDefault="00871784">
                  <w:pPr>
                    <w:spacing w:after="0"/>
                    <w:jc w:val="left"/>
                  </w:pPr>
                  <w:r>
                    <w:rPr>
                      <w:rFonts w:eastAsia="Times New Roman"/>
                      <w:b/>
                      <w:sz w:val="18"/>
                    </w:rPr>
                    <w:t>Grounded system</w:t>
                  </w:r>
                </w:p>
              </w:tc>
              <w:tc>
                <w:tcPr>
                  <w:tcW w:w="2486" w:type="dxa"/>
                  <w:tcMar>
                    <w:top w:w="45" w:type="dxa"/>
                    <w:left w:w="75" w:type="dxa"/>
                    <w:bottom w:w="45" w:type="dxa"/>
                    <w:right w:w="75" w:type="dxa"/>
                  </w:tcMar>
                  <w:vAlign w:val="center"/>
                </w:tcPr>
                <w:p w:rsidR="00AD0E67" w:rsidRDefault="00871784">
                  <w:pPr>
                    <w:spacing w:after="0"/>
                    <w:jc w:val="center"/>
                  </w:pPr>
                  <w:r>
                    <w:rPr>
                      <w:rFonts w:eastAsia="Times New Roman"/>
                      <w:b/>
                      <w:sz w:val="18"/>
                    </w:rPr>
                    <w:t>0.1528</w:t>
                  </w:r>
                </w:p>
              </w:tc>
            </w:tr>
            <w:tr w:rsidR="00AD0E67" w:rsidTr="00472E86">
              <w:trPr>
                <w:cantSplit/>
                <w:trHeight w:val="289"/>
                <w:jc w:val="center"/>
              </w:trPr>
              <w:tc>
                <w:tcPr>
                  <w:tcW w:w="6062" w:type="dxa"/>
                  <w:tcMar>
                    <w:top w:w="45" w:type="dxa"/>
                    <w:left w:w="75" w:type="dxa"/>
                    <w:bottom w:w="45" w:type="dxa"/>
                    <w:right w:w="75" w:type="dxa"/>
                  </w:tcMar>
                  <w:vAlign w:val="center"/>
                </w:tcPr>
                <w:p w:rsidR="00AD0E67" w:rsidRDefault="00871784">
                  <w:pPr>
                    <w:spacing w:after="0"/>
                    <w:jc w:val="left"/>
                  </w:pPr>
                  <w:r>
                    <w:rPr>
                      <w:rFonts w:eastAsia="Times New Roman"/>
                      <w:b/>
                      <w:sz w:val="18"/>
                    </w:rPr>
                    <w:t>Zero-shot system</w:t>
                  </w:r>
                </w:p>
              </w:tc>
              <w:tc>
                <w:tcPr>
                  <w:tcW w:w="2486" w:type="dxa"/>
                  <w:tcMar>
                    <w:top w:w="45" w:type="dxa"/>
                    <w:left w:w="75" w:type="dxa"/>
                    <w:bottom w:w="45" w:type="dxa"/>
                    <w:right w:w="75" w:type="dxa"/>
                  </w:tcMar>
                  <w:vAlign w:val="center"/>
                </w:tcPr>
                <w:p w:rsidR="00AD0E67" w:rsidRDefault="00871784">
                  <w:pPr>
                    <w:spacing w:after="0"/>
                    <w:jc w:val="center"/>
                  </w:pPr>
                  <w:r>
                    <w:rPr>
                      <w:rFonts w:eastAsia="Times New Roman"/>
                      <w:b/>
                      <w:sz w:val="18"/>
                    </w:rPr>
                    <w:t>0.1066</w:t>
                  </w:r>
                </w:p>
              </w:tc>
            </w:tr>
            <w:tr w:rsidR="00AD0E67" w:rsidTr="00472E86">
              <w:trPr>
                <w:cantSplit/>
                <w:trHeight w:val="289"/>
                <w:jc w:val="center"/>
              </w:trPr>
              <w:tc>
                <w:tcPr>
                  <w:tcW w:w="6062" w:type="dxa"/>
                  <w:tcBorders>
                    <w:bottom w:val="single" w:sz="10" w:space="0" w:color="000000"/>
                  </w:tcBorders>
                  <w:tcMar>
                    <w:top w:w="45" w:type="dxa"/>
                    <w:left w:w="75" w:type="dxa"/>
                    <w:bottom w:w="45" w:type="dxa"/>
                    <w:right w:w="75" w:type="dxa"/>
                  </w:tcMar>
                  <w:vAlign w:val="center"/>
                </w:tcPr>
                <w:p w:rsidR="00AD0E67" w:rsidRDefault="00871784">
                  <w:pPr>
                    <w:spacing w:after="0"/>
                    <w:jc w:val="left"/>
                  </w:pPr>
                  <w:r>
                    <w:rPr>
                      <w:rFonts w:eastAsia="Times New Roman"/>
                      <w:sz w:val="18"/>
                    </w:rPr>
                    <w:t>Constant “pain”</w:t>
                  </w:r>
                </w:p>
              </w:tc>
              <w:tc>
                <w:tcPr>
                  <w:tcW w:w="2486" w:type="dxa"/>
                  <w:tcBorders>
                    <w:bottom w:val="single" w:sz="10" w:space="0" w:color="000000"/>
                  </w:tcBorders>
                  <w:tcMar>
                    <w:top w:w="45" w:type="dxa"/>
                    <w:left w:w="75" w:type="dxa"/>
                    <w:bottom w:w="45" w:type="dxa"/>
                    <w:right w:w="75" w:type="dxa"/>
                  </w:tcMar>
                  <w:vAlign w:val="center"/>
                </w:tcPr>
                <w:p w:rsidR="00AD0E67" w:rsidRDefault="00871784">
                  <w:pPr>
                    <w:spacing w:after="0"/>
                    <w:jc w:val="center"/>
                  </w:pPr>
                  <w:r>
                    <w:rPr>
                      <w:rFonts w:eastAsia="Times New Roman"/>
                      <w:sz w:val="18"/>
                    </w:rPr>
                    <w:t>0.0032</w:t>
                  </w:r>
                </w:p>
              </w:tc>
            </w:tr>
          </w:tbl>
          <w:p w:rsidR="00AD0E67" w:rsidRDefault="00AD0E67">
            <w:pPr>
              <w:spacing w:after="0" w:line="60" w:lineRule="exact"/>
            </w:pPr>
          </w:p>
        </w:tc>
      </w:tr>
    </w:tbl>
    <w:p w:rsidR="00AB6A4E" w:rsidRPr="00472E86" w:rsidRDefault="00AB6A4E" w:rsidP="00AB6A4E">
      <w:pPr>
        <w:keepLines/>
        <w:spacing w:after="0" w:line="240" w:lineRule="auto"/>
        <w:rPr>
          <w:rFonts w:eastAsia="Times New Roman"/>
          <w:sz w:val="12"/>
          <w:szCs w:val="14"/>
        </w:rPr>
      </w:pPr>
    </w:p>
    <w:p w:rsidR="00AD0E67" w:rsidRDefault="00871784" w:rsidP="00662BA7">
      <w:pPr>
        <w:keepLines/>
        <w:spacing w:after="0"/>
        <w:rPr>
          <w:rFonts w:eastAsia="Times New Roman"/>
        </w:rPr>
      </w:pPr>
      <w:r>
        <w:rPr>
          <w:rFonts w:eastAsia="Times New Roman"/>
        </w:rPr>
        <w:t>The same audit closes a double-counting hazard: the commonly reported hallucination rate is exactly 1 − precision (verified min = max = 1.0), so a factuality improvement and a hallucination reduction of matching size are one finding, not two, and every result below is reported once.</w:t>
      </w:r>
    </w:p>
    <w:p>
      <w:pPr>
        <w:keepLines/>
        <w:spacing w:after="0"/>
        <w:rPr>
          <w:rFonts w:eastAsia="Times New Roman"/>
        </w:rPr>
      </w:pPr>
      <w:commentRangeStart w:id="27"/>
      <w:r>
        <w:rPr>
          <w:highlight w:val="green"/>
        </w:rPr>
        <w:t>The instrument was also audited against an independent reader. qwen/qwen3.8-27b, a model family used nowhere else in the study, labelled 120 sampled answers (60 per arm, stratified by code-mixing tertile) with the concepts each positively asserts about the patient, from the same 26-item vocabulary. Agreement with the regex extractor is moderate (Cohen’s κ = 0.494; extractor precision 0.412 and recall 0.686 against the reader), and the extractor over-attributes: it counts hedged and hypothetical mentions that the reader excludes. The over-attribution is unequal across arms — precision 0.480 on grounded answers against 0.358 on zero-shot answers — so it does not cancel in the paired difference. Because a spurious concept enlarges the denominator of factual support, the zero-shot arm is depressed more than the grounded arm, and the measured grounding benefit of Sect. 5.3 is inflated by an amount this audit bounds but does not determine. This is automatic cross-validation, not clinical validation (Sect. 6.1). The lexicon’s coverage is also bounded: 98.3% of references contain at least one concept, but 13.9% contain exactly one, and the most frequent terms it cannot represent are misspellings in the free-text captions that serve as the unbiased reference.</w:t>
      </w:r>
      <w:commentRangeEnd w:id="27"/>
      <w:r>
        <w:rPr>
          <w:rStyle w:val="CommentReference"/>
        </w:rPr>
        <w:commentReference w:id="27"/>
      </w:r>
    </w:p>
    <w:p w:rsidR="00662BA7" w:rsidRPr="00472E86" w:rsidRDefault="00662BA7" w:rsidP="00662BA7">
      <w:pPr>
        <w:pStyle w:val="ICCSDIHeading2"/>
        <w:spacing w:before="0" w:after="0"/>
        <w:rPr>
          <w:rFonts w:eastAsia="Times New Roman"/>
          <w:sz w:val="16"/>
          <w:szCs w:val="16"/>
        </w:rPr>
      </w:pPr>
    </w:p>
    <w:p w:rsidR="00AD0E67" w:rsidRDefault="00871784" w:rsidP="00662BA7">
      <w:pPr>
        <w:pStyle w:val="ICCSDIHeading2"/>
        <w:spacing w:before="0"/>
      </w:pPr>
      <w:proofErr w:type="gramStart"/>
      <w:r>
        <w:rPr>
          <w:rFonts w:eastAsia="Times New Roman"/>
        </w:rPr>
        <w:t>5.3  Grounding</w:t>
      </w:r>
      <w:proofErr w:type="gramEnd"/>
      <w:r>
        <w:rPr>
          <w:rFonts w:eastAsia="Times New Roman"/>
        </w:rPr>
        <w:t xml:space="preserve"> Effect (H</w:t>
      </w:r>
      <w:r>
        <w:rPr>
          <w:rFonts w:eastAsia="Times New Roman"/>
          <w:vertAlign w:val="subscript"/>
        </w:rPr>
        <w:t>01</w:t>
      </w:r>
      <w:r>
        <w:rPr>
          <w:rFonts w:eastAsia="Times New Roman"/>
        </w:rPr>
        <w:t>) and Its Reference-Sensitivity</w:t>
      </w:r>
    </w:p>
    <w:p w:rsidR="00AD0E67" w:rsidRDefault="00871784" w:rsidP="001C507E">
      <w:pPr>
        <w:keepNext/>
        <w:keepLines/>
        <w:spacing w:after="0"/>
        <w:rPr>
          <w:rFonts w:eastAsia="Times New Roman"/>
        </w:rPr>
      </w:pPr>
      <w:proofErr w:type="spellStart"/>
      <w:proofErr w:type="spellEnd"/>
      <w:r>
        <w:rPr>
          <w:rFonts w:eastAsia="Times New Roman"/>
        </w:rPr>
        <w:t xml:space="preserve">Under the evaluation protocol in common use, scoring both arms against the retrieved evidence, grounding improves factual support strongly and consistently (Table 4). </w:t>
      </w:r>
      <w:commentRangeStart w:id="28"/>
      <w:r>
        <w:rPr>
          <w:rFonts w:eastAsia="Times New Roman"/>
          <w:highlight w:val="yellow"/>
        </w:rPr>
        <w:t xml:space="preserve">The effect survives the lexicon repair of Sect. 5.2 and replicates across the two generator families under oracle evidence (llama-3.1-8b +0.2962, d = 0.720; gpt-oss-120b +0.2608, d = 0.640); under real retrieval on gpt-oss-120b it is much smaller (+0.0704, d = 0.191), so H01 is rejected under the evidence-referenced protocol, and the replication is a property of oracle evidence rather than of the deployed pipeline. </w:t>
      </w:r>
      <w:commentRangeEnd w:id="28"/>
      <w:r>
        <w:rPr>
          <w:rStyle w:val="CommentReference"/>
        </w:rPr>
        <w:commentReference w:id="28"/>
      </w:r>
      <w:r>
        <w:rPr>
          <w:rFonts w:eastAsia="Times New Roman"/>
        </w:rPr>
        <w:t xml:space="preserve">Following Sect. 5.2, the arm means </w:t>
      </w:r>
      <w:r>
        <w:rPr>
          <w:rFonts w:eastAsia="Times New Roman"/>
          <w:highlight w:val="cyan"/>
        </w:rPr>
        <w:t>underlying Table 4</w:t>
      </w:r>
      <w:r>
        <w:rPr>
          <w:rFonts w:eastAsia="Times New Roman"/>
        </w:rPr>
        <w:t xml:space="preserve"> are components of the paired estimand Δ, not quality measures.</w:t>
      </w:r>
    </w:p>
    <w:p w:rsidR="00662BA7" w:rsidRPr="00662BA7" w:rsidRDefault="00662BA7" w:rsidP="00662BA7">
      <w:pPr>
        <w:pStyle w:val="ICCSDICaption"/>
        <w:keepLines/>
        <w:spacing w:before="0" w:after="0"/>
        <w:rPr>
          <w:rFonts w:eastAsia="Times New Roman"/>
          <w:sz w:val="12"/>
          <w:szCs w:val="16"/>
        </w:rPr>
      </w:pPr>
    </w:p>
    <w:p w:rsidR="00AD0E67" w:rsidRDefault="00871784" w:rsidP="001C507E">
      <w:pPr>
        <w:pStyle w:val="ICCSDICaption"/>
        <w:keepLines/>
        <w:spacing w:before="0"/>
      </w:pPr>
      <w:proofErr w:type="gramStart"/>
      <w:proofErr w:type="gramEnd"/>
      <w:commentRangeStart w:id="29"/>
      <w:r>
        <w:rPr>
          <w:rFonts w:eastAsia="Times New Roman"/>
          <w:highlight w:val="yellow"/>
        </w:rPr>
        <w:t xml:space="preserve">Table 4  Grounding effect (Δ = grounded − zero-shot within query) under both metrics and both references: concept precision against the evidence the grounded arm was given, and concept F1 against that evidence and against the image description neither arm saw. Each cell gives Δ with BH-corrected significance (*** p &lt; 0.001, ** p &lt; 0.01, * p &lt; 0.05, n.s.), </w:t>
      </w:r>
      <w:commentRangeEnd w:id="29"/>
      <w:r>
        <w:rPr>
          <w:rStyle w:val="CommentReference"/>
        </w:rPr>
        <w:commentReference w:id="29"/>
      </w:r>
      <w:r>
        <w:rPr>
          <w:rFonts w:eastAsia="Times New Roman"/>
          <w:i/>
          <w:highlight w:val="yellow"/>
        </w:rPr>
        <w:t>n</w:t>
      </w:r>
      <w:r>
        <w:rPr>
          <w:rFonts w:eastAsia="Times New Roman"/>
          <w:highlight w:val="yellow"/>
        </w:rPr>
        <w:t xml:space="preserve"> and Cohen’s d. Under the original lexicon the llama oracle contrast was +0.2345 (d = 0.576, </w:t>
      </w:r>
      <w:r>
        <w:rPr>
          <w:rFonts w:eastAsia="Times New Roman"/>
          <w:i/>
          <w:highlight w:val="yellow"/>
        </w:rPr>
        <w:t>n</w:t>
      </w:r>
      <w:r>
        <w:rPr>
          <w:rFonts w:eastAsia="Times New Roman"/>
          <w:highlight w:val="yellow"/>
        </w:rPr>
        <w:t xml:space="preserve"> = 1,165). Absolute arm means are not quality measures (Sect. 5.2).</w:t>
      </w:r>
    </w:p>
    <w:tbl>
      <w:tblPr>
        <w:tblW w:w="0" w:type="auto"/>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597"/>
      </w:tblGrid>
      <w:tr w:rsidR="00AD0E67">
        <w:trPr>
          <w:cantSplit/>
          <w:jc w:val="center"/>
        </w:trPr>
        <w:tc>
          <w:tcPr>
            <w:tcW w:w="8597" w:type="dxa"/>
            <w:tcMar>
              <w:top w:w="0" w:type="dxa"/>
              <w:left w:w="0" w:type="dxa"/>
              <w:bottom w:w="0" w:type="dxa"/>
              <w:right w:w="0" w:type="dxa"/>
            </w:tcMar>
          </w:tcPr>
          <w:tbl>
            <w:tblPr>
              <w:tblW w:w="0" w:type="auto"/>
              <w:jc w:val="center"/>
              <w:tblLayout w:type="fixed"/>
              <w:tblLook w:val="04A0" w:firstRow="1" w:lastRow="0" w:firstColumn="1" w:lastColumn="0" w:noHBand="0" w:noVBand="1"/>
            </w:tblPr>
            <w:tblGrid>
              <w:gridCol w:w="2500"/>
              <w:gridCol w:w="2000"/>
              <w:gridCol w:w="2000"/>
              <w:gridCol w:w="2100"/>
            </w:tblGrid>
            <w:tr w:rsidR="00AD0E67">
              <w:trPr>
                <w:cantSplit/>
                <w:tblHeader/>
                <w:jc w:val="center"/>
              </w:trPr>
              <w:tc>
                <w:tcPr>
                  <w:tcW w:w="2500" w:type="dxa"/>
                  <w:tcBorders>
                    <w:top w:val="single" w:sz="10" w:space="0" w:color="000000"/>
                    <w:bottom w:val="single" w:sz="8" w:space="0" w:color="000000"/>
                  </w:tcBorders>
                  <w:shd w:val="clear" w:color="auto" w:fill="EDEDED"/>
                  <w:tcMar>
                    <w:top w:w="55" w:type="dxa"/>
                    <w:left w:w="75" w:type="dxa"/>
                    <w:bottom w:w="55" w:type="dxa"/>
                    <w:right w:w="75" w:type="dxa"/>
                  </w:tcMar>
                  <w:vAlign w:val="center"/>
                </w:tcPr>
                <w:p w:rsidR="00AD0E67" w:rsidRDefault="00871784">
                  <w:pPr>
                    <w:spacing w:after="0"/>
                    <w:jc w:val="left"/>
                  </w:pPr>
                  <w:commentRangeStart w:id="30"/>
                  <w:r>
                    <w:rPr>
                      <w:rFonts w:eastAsia="Times New Roman"/>
                      <w:b/>
                      <w:sz w:val="18"/>
                    </w:rPr>
                    <w:t>Generator / evidence</w:t>
                  </w:r>
                  <w:commentRangeEnd w:id="30"/>
                  <w:r>
                    <w:rPr>
                      <w:rStyle w:val="CommentReference"/>
                    </w:rPr>
                    <w:commentReference w:id="30"/>
                  </w:r>
                </w:p>
              </w:tc>
              <w:tc>
                <w:tcPr>
                  <w:tcW w:w="2000" w:type="dxa"/>
                  <w:tcBorders>
                    <w:top w:val="single" w:sz="10" w:space="0" w:color="000000"/>
                    <w:bottom w:val="single" w:sz="8" w:space="0" w:color="000000"/>
                  </w:tcBorders>
                  <w:shd w:val="clear" w:color="auto" w:fill="EDEDED"/>
                  <w:tcMar>
                    <w:top w:w="55" w:type="dxa"/>
                    <w:left w:w="75" w:type="dxa"/>
                    <w:bottom w:w="55" w:type="dxa"/>
                    <w:right w:w="75" w:type="dxa"/>
                  </w:tcMar>
                  <w:vAlign w:val="center"/>
                </w:tcPr>
                <w:p w:rsidR="00AD0E67" w:rsidRDefault="00871784">
                  <w:pPr>
                    <w:spacing w:after="0"/>
                    <w:jc w:val="center"/>
                  </w:pPr>
                  <w:r>
                    <w:rPr>
                      <w:rFonts w:eastAsia="Times New Roman"/>
                      <w:b/>
                      <w:sz w:val="18"/>
                    </w:rPr>
                    <w:t>Precision vs evidence</w:t>
                  </w:r>
                </w:p>
              </w:tc>
              <w:tc>
                <w:tcPr>
                  <w:tcW w:w="2000" w:type="dxa"/>
                  <w:tcBorders>
                    <w:top w:val="single" w:sz="10" w:space="0" w:color="000000"/>
                    <w:bottom w:val="single" w:sz="8" w:space="0" w:color="000000"/>
                  </w:tcBorders>
                  <w:shd w:val="clear" w:color="auto" w:fill="EDEDED"/>
                  <w:tcMar>
                    <w:top w:w="55" w:type="dxa"/>
                    <w:left w:w="75" w:type="dxa"/>
                    <w:bottom w:w="55" w:type="dxa"/>
                    <w:right w:w="75" w:type="dxa"/>
                  </w:tcMar>
                  <w:vAlign w:val="center"/>
                </w:tcPr>
                <w:p w:rsidR="00AD0E67" w:rsidRDefault="00871784">
                  <w:pPr>
                    <w:spacing w:after="0"/>
                    <w:jc w:val="center"/>
                  </w:pPr>
                  <w:r>
                    <w:rPr>
                      <w:rFonts w:eastAsia="Times New Roman"/>
                      <w:b/>
                      <w:sz w:val="18"/>
                    </w:rPr>
                    <w:t>F1 vs evidence</w:t>
                  </w:r>
                </w:p>
              </w:tc>
              <w:tc>
                <w:tcPr>
                  <w:tcW w:w="2100" w:type="dxa"/>
                  <w:tcBorders>
                    <w:top w:val="single" w:sz="10" w:space="0" w:color="000000"/>
                    <w:bottom w:val="single" w:sz="8" w:space="0" w:color="000000"/>
                  </w:tcBorders>
                  <w:shd w:val="clear" w:color="auto" w:fill="EDEDED"/>
                  <w:tcMar>
                    <w:top w:w="55" w:type="dxa"/>
                    <w:left w:w="75" w:type="dxa"/>
                    <w:bottom w:w="55" w:type="dxa"/>
                    <w:right w:w="75" w:type="dxa"/>
                  </w:tcMar>
                  <w:vAlign w:val="center"/>
                </w:tcPr>
                <w:p w:rsidR="00AD0E67" w:rsidRDefault="00871784">
                  <w:pPr>
                    <w:spacing w:after="0"/>
                    <w:jc w:val="center"/>
                  </w:pPr>
                  <w:r>
                    <w:rPr>
                      <w:rFonts w:eastAsia="Times New Roman"/>
                      <w:b/>
                      <w:sz w:val="18"/>
                    </w:rPr>
                    <w:t>F1 vs unbiased reference</w:t>
                  </w:r>
                </w:p>
              </w:tc>
            </w:tr>
            <w:tr w:rsidR="00AD0E67">
              <w:trPr>
                <w:cantSplit/>
                <w:jc w:val="center"/>
              </w:trPr>
              <w:tc>
                <w:tcPr>
                  <w:tcW w:w="2500" w:type="dxa"/>
                  <w:tcMar>
                    <w:top w:w="45" w:type="dxa"/>
                    <w:left w:w="75" w:type="dxa"/>
                    <w:bottom w:w="45" w:type="dxa"/>
                    <w:right w:w="75" w:type="dxa"/>
                  </w:tcMar>
                  <w:vAlign w:val="center"/>
                </w:tcPr>
                <w:p w:rsidR="00AD0E67" w:rsidRDefault="00871784">
                  <w:pPr>
                    <w:spacing w:after="0"/>
                    <w:jc w:val="left"/>
                  </w:pPr>
                  <w:r>
                    <w:rPr>
                      <w:rFonts w:eastAsia="Times New Roman"/>
                      <w:sz w:val="18"/>
                      <w:highlight w:val="yellow"/>
                    </w:rPr>
                    <w:t>llama-3.1-8b, oracle</w:t>
                  </w:r>
                </w:p>
              </w:tc>
              <w:tc>
                <w:tcPr>
                  <w:tcW w:w="2000" w:type="dxa"/>
                  <w:tcMar>
                    <w:top w:w="45" w:type="dxa"/>
                    <w:left w:w="75" w:type="dxa"/>
                    <w:bottom w:w="45" w:type="dxa"/>
                    <w:right w:w="75" w:type="dxa"/>
                  </w:tcMar>
                  <w:vAlign w:val="center"/>
                </w:tcPr>
                <w:p w:rsidR="00AD0E67" w:rsidRDefault="00871784">
                  <w:pPr>
                    <w:spacing w:after="0"/>
                    <w:jc w:val="center"/>
                  </w:pPr>
                  <w:r>
                    <w:rPr>
                      <w:rFonts w:eastAsia="Times New Roman"/>
                      <w:sz w:val="18"/>
                      <w:highlight w:val="yellow"/>
                    </w:rPr>
                    <w:t>+0.2962 ***</w:t>
                  </w:r>
                </w:p>
                <w:p w:rsidR="00AD0E67" w:rsidRDefault="00871784">
                  <w:pPr>
                    <w:spacing w:after="0"/>
                    <w:jc w:val="center"/>
                  </w:pPr>
                  <w:r>
                    <w:rPr>
                      <w:rFonts w:eastAsia="Times New Roman"/>
                      <w:sz w:val="16"/>
                      <w:highlight w:val="yellow"/>
                    </w:rPr>
                    <w:t>n = 669, d = +0.72</w:t>
                  </w:r>
                </w:p>
              </w:tc>
              <w:tc>
                <w:tcPr>
                  <w:tcW w:w="2000" w:type="dxa"/>
                  <w:tcMar>
                    <w:top w:w="45" w:type="dxa"/>
                    <w:left w:w="75" w:type="dxa"/>
                    <w:bottom w:w="45" w:type="dxa"/>
                    <w:right w:w="75" w:type="dxa"/>
                  </w:tcMar>
                  <w:vAlign w:val="center"/>
                </w:tcPr>
                <w:p w:rsidR="00AD0E67" w:rsidRDefault="00871784">
                  <w:pPr>
                    <w:spacing w:after="0"/>
                    <w:jc w:val="center"/>
                  </w:pPr>
                  <w:r>
                    <w:rPr>
                      <w:rFonts w:eastAsia="Times New Roman"/>
                      <w:sz w:val="18"/>
                      <w:highlight w:val="yellow"/>
                    </w:rPr>
                    <w:t>+0.2029 ***</w:t>
                  </w:r>
                </w:p>
                <w:p w:rsidR="00AD0E67" w:rsidRDefault="00871784">
                  <w:pPr>
                    <w:spacing w:after="0"/>
                    <w:jc w:val="center"/>
                  </w:pPr>
                  <w:r>
                    <w:rPr>
                      <w:rFonts w:eastAsia="Times New Roman"/>
                      <w:sz w:val="16"/>
                      <w:highlight w:val="yellow"/>
                    </w:rPr>
                    <w:t>n = 651, d = +0.68</w:t>
                  </w:r>
                </w:p>
              </w:tc>
              <w:tc>
                <w:tcPr>
                  <w:tcW w:w="2100" w:type="dxa"/>
                  <w:tcMar>
                    <w:top w:w="45" w:type="dxa"/>
                    <w:left w:w="75" w:type="dxa"/>
                    <w:bottom w:w="45" w:type="dxa"/>
                    <w:right w:w="75" w:type="dxa"/>
                  </w:tcMar>
                  <w:vAlign w:val="center"/>
                </w:tcPr>
                <w:p w:rsidR="00AD0E67" w:rsidRDefault="00871784">
                  <w:pPr>
                    <w:spacing w:after="0"/>
                    <w:jc w:val="center"/>
                  </w:pPr>
                  <w:r>
                    <w:rPr>
                      <w:rFonts w:eastAsia="Times New Roman"/>
                      <w:sz w:val="18"/>
                      <w:highlight w:val="yellow"/>
                    </w:rPr>
                    <w:t>+0.0620 ***</w:t>
                  </w:r>
                </w:p>
                <w:p w:rsidR="00AD0E67" w:rsidRDefault="00871784">
                  <w:pPr>
                    <w:spacing w:after="0"/>
                    <w:jc w:val="center"/>
                  </w:pPr>
                  <w:r>
                    <w:rPr>
                      <w:rFonts w:eastAsia="Times New Roman"/>
                      <w:sz w:val="16"/>
                      <w:highlight w:val="yellow"/>
                    </w:rPr>
                    <w:t>n = 613, d = +0.22</w:t>
                  </w:r>
                </w:p>
              </w:tc>
            </w:tr>
            <w:tr w:rsidR="00AD0E67">
              <w:trPr>
                <w:cantSplit/>
                <w:jc w:val="center"/>
              </w:trPr>
              <w:tc>
                <w:tcPr>
                  <w:tcW w:w="2500" w:type="dxa"/>
                  <w:tcMar>
                    <w:top w:w="45" w:type="dxa"/>
                    <w:left w:w="75" w:type="dxa"/>
                    <w:bottom w:w="45" w:type="dxa"/>
                    <w:right w:w="75" w:type="dxa"/>
                  </w:tcMar>
                  <w:vAlign w:val="center"/>
                </w:tcPr>
                <w:p w:rsidR="00AD0E67" w:rsidRDefault="00871784">
                  <w:pPr>
                    <w:spacing w:after="0"/>
                    <w:jc w:val="left"/>
                  </w:pPr>
                  <w:r>
                    <w:rPr>
                      <w:rFonts w:eastAsia="Times New Roman"/>
                      <w:sz w:val="18"/>
                      <w:highlight w:val="yellow"/>
                    </w:rPr>
                    <w:t>gpt-oss-120b, oracle</w:t>
                  </w:r>
                </w:p>
              </w:tc>
              <w:tc>
                <w:tcPr>
                  <w:tcW w:w="2000" w:type="dxa"/>
                  <w:tcMar>
                    <w:top w:w="45" w:type="dxa"/>
                    <w:left w:w="75" w:type="dxa"/>
                    <w:bottom w:w="45" w:type="dxa"/>
                    <w:right w:w="75" w:type="dxa"/>
                  </w:tcMar>
                  <w:vAlign w:val="center"/>
                </w:tcPr>
                <w:p w:rsidR="00AD0E67" w:rsidRDefault="00871784">
                  <w:pPr>
                    <w:spacing w:after="0"/>
                    <w:jc w:val="center"/>
                  </w:pPr>
                  <w:r>
                    <w:rPr>
                      <w:rFonts w:eastAsia="Times New Roman"/>
                      <w:sz w:val="18"/>
                      <w:highlight w:val="yellow"/>
                    </w:rPr>
                    <w:t>+0.2608 ***</w:t>
                  </w:r>
                </w:p>
                <w:p w:rsidR="00AD0E67" w:rsidRDefault="00871784">
                  <w:pPr>
                    <w:spacing w:after="0"/>
                    <w:jc w:val="center"/>
                  </w:pPr>
                  <w:r>
                    <w:rPr>
                      <w:rFonts w:eastAsia="Times New Roman"/>
                      <w:sz w:val="16"/>
                      <w:highlight w:val="yellow"/>
                    </w:rPr>
                    <w:t>n = 214, d = +0.64</w:t>
                  </w:r>
                </w:p>
              </w:tc>
              <w:tc>
                <w:tcPr>
                  <w:tcW w:w="2000" w:type="dxa"/>
                  <w:tcMar>
                    <w:top w:w="45" w:type="dxa"/>
                    <w:left w:w="75" w:type="dxa"/>
                    <w:bottom w:w="45" w:type="dxa"/>
                    <w:right w:w="75" w:type="dxa"/>
                  </w:tcMar>
                  <w:vAlign w:val="center"/>
                </w:tcPr>
                <w:p w:rsidR="00AD0E67" w:rsidRDefault="00871784">
                  <w:pPr>
                    <w:spacing w:after="0"/>
                    <w:jc w:val="center"/>
                  </w:pPr>
                  <w:r>
                    <w:rPr>
                      <w:rFonts w:eastAsia="Times New Roman"/>
                      <w:sz w:val="18"/>
                      <w:highlight w:val="yellow"/>
                    </w:rPr>
                    <w:t>+0.0926 ***</w:t>
                  </w:r>
                </w:p>
                <w:p w:rsidR="00AD0E67" w:rsidRDefault="00871784">
                  <w:pPr>
                    <w:spacing w:after="0"/>
                    <w:jc w:val="center"/>
                  </w:pPr>
                  <w:r>
                    <w:rPr>
                      <w:rFonts w:eastAsia="Times New Roman"/>
                      <w:sz w:val="16"/>
                      <w:highlight w:val="yellow"/>
                    </w:rPr>
                    <w:t>n = 207, d = +0.28</w:t>
                  </w:r>
                </w:p>
              </w:tc>
              <w:tc>
                <w:tcPr>
                  <w:tcW w:w="2100" w:type="dxa"/>
                  <w:tcMar>
                    <w:top w:w="45" w:type="dxa"/>
                    <w:left w:w="75" w:type="dxa"/>
                    <w:bottom w:w="45" w:type="dxa"/>
                    <w:right w:w="75" w:type="dxa"/>
                  </w:tcMar>
                  <w:vAlign w:val="center"/>
                </w:tcPr>
                <w:p w:rsidR="00AD0E67" w:rsidRDefault="00871784">
                  <w:pPr>
                    <w:spacing w:after="0"/>
                    <w:jc w:val="center"/>
                  </w:pPr>
                  <w:r>
                    <w:rPr>
                      <w:rFonts w:eastAsia="Times New Roman"/>
                      <w:sz w:val="18"/>
                      <w:highlight w:val="yellow"/>
                    </w:rPr>
                    <w:t>−0.0207 n.s.</w:t>
                  </w:r>
                </w:p>
                <w:p w:rsidR="00AD0E67" w:rsidRDefault="00871784">
                  <w:pPr>
                    <w:spacing w:after="0"/>
                    <w:jc w:val="center"/>
                  </w:pPr>
                  <w:r>
                    <w:rPr>
                      <w:rFonts w:eastAsia="Times New Roman"/>
                      <w:sz w:val="16"/>
                      <w:highlight w:val="yellow"/>
                    </w:rPr>
                    <w:t>n = 189, d = −0.07</w:t>
                  </w:r>
                </w:p>
              </w:tc>
            </w:tr>
            <w:tr w:rsidR="00AD0E67">
              <w:trPr>
                <w:cantSplit/>
                <w:jc w:val="center"/>
              </w:trPr>
              <w:tc>
                <w:tcPr>
                  <w:tcW w:w="2500" w:type="dxa"/>
                  <w:tcMar>
                    <w:top w:w="45" w:type="dxa"/>
                    <w:left w:w="75" w:type="dxa"/>
                    <w:bottom w:w="45" w:type="dxa"/>
                    <w:right w:w="75" w:type="dxa"/>
                  </w:tcMar>
                  <w:vAlign w:val="center"/>
                </w:tcPr>
                <w:p w:rsidR="00AD0E67" w:rsidRDefault="00871784">
                  <w:pPr>
                    <w:spacing w:after="0"/>
                    <w:jc w:val="left"/>
                  </w:pPr>
                  <w:r>
                    <w:rPr>
                      <w:rFonts w:eastAsia="Times New Roman"/>
                      <w:sz w:val="18"/>
                      <w:highlight w:val="yellow"/>
                    </w:rPr>
                    <w:t>gpt-oss-120b, real retrieval</w:t>
                  </w:r>
                </w:p>
              </w:tc>
              <w:tc>
                <w:tcPr>
                  <w:tcW w:w="2000" w:type="dxa"/>
                  <w:tcMar>
                    <w:top w:w="45" w:type="dxa"/>
                    <w:left w:w="75" w:type="dxa"/>
                    <w:bottom w:w="45" w:type="dxa"/>
                    <w:right w:w="75" w:type="dxa"/>
                  </w:tcMar>
                  <w:vAlign w:val="center"/>
                </w:tcPr>
                <w:p w:rsidR="00AD0E67" w:rsidRDefault="00871784">
                  <w:pPr>
                    <w:spacing w:after="0"/>
                    <w:jc w:val="center"/>
                  </w:pPr>
                  <w:r>
                    <w:rPr>
                      <w:rFonts w:eastAsia="Times New Roman"/>
                      <w:sz w:val="18"/>
                      <w:highlight w:val="yellow"/>
                    </w:rPr>
                    <w:t>+0.0704 **</w:t>
                  </w:r>
                </w:p>
                <w:p w:rsidR="00AD0E67" w:rsidRDefault="00871784">
                  <w:pPr>
                    <w:spacing w:after="0"/>
                    <w:jc w:val="center"/>
                  </w:pPr>
                  <w:r>
                    <w:rPr>
                      <w:rFonts w:eastAsia="Times New Roman"/>
                      <w:sz w:val="16"/>
                      <w:highlight w:val="yellow"/>
                    </w:rPr>
                    <w:t>n = 221, d = +0.19</w:t>
                  </w:r>
                </w:p>
              </w:tc>
              <w:tc>
                <w:tcPr>
                  <w:tcW w:w="2000" w:type="dxa"/>
                  <w:tcMar>
                    <w:top w:w="45" w:type="dxa"/>
                    <w:left w:w="75" w:type="dxa"/>
                    <w:bottom w:w="45" w:type="dxa"/>
                    <w:right w:w="75" w:type="dxa"/>
                  </w:tcMar>
                  <w:vAlign w:val="center"/>
                </w:tcPr>
                <w:p w:rsidR="00AD0E67" w:rsidRDefault="00871784">
                  <w:pPr>
                    <w:spacing w:after="0"/>
                    <w:jc w:val="center"/>
                  </w:pPr>
                  <w:r>
                    <w:rPr>
                      <w:rFonts w:eastAsia="Times New Roman"/>
                      <w:sz w:val="18"/>
                      <w:highlight w:val="yellow"/>
                    </w:rPr>
                    <w:t>−0.0320 *</w:t>
                  </w:r>
                </w:p>
                <w:p w:rsidR="00AD0E67" w:rsidRDefault="00871784">
                  <w:pPr>
                    <w:spacing w:after="0"/>
                    <w:jc w:val="center"/>
                  </w:pPr>
                  <w:r>
                    <w:rPr>
                      <w:rFonts w:eastAsia="Times New Roman"/>
                      <w:sz w:val="16"/>
                      <w:highlight w:val="yellow"/>
                    </w:rPr>
                    <w:t>n = 210, d = −0.12</w:t>
                  </w:r>
                </w:p>
              </w:tc>
              <w:tc>
                <w:tcPr>
                  <w:tcW w:w="2100" w:type="dxa"/>
                  <w:tcMar>
                    <w:top w:w="45" w:type="dxa"/>
                    <w:left w:w="75" w:type="dxa"/>
                    <w:bottom w:w="45" w:type="dxa"/>
                    <w:right w:w="75" w:type="dxa"/>
                  </w:tcMar>
                  <w:vAlign w:val="center"/>
                </w:tcPr>
                <w:p w:rsidR="00AD0E67" w:rsidRDefault="00871784">
                  <w:pPr>
                    <w:spacing w:after="0"/>
                    <w:jc w:val="center"/>
                  </w:pPr>
                  <w:r>
                    <w:rPr>
                      <w:rFonts w:eastAsia="Times New Roman"/>
                      <w:sz w:val="18"/>
                      <w:highlight w:val="yellow"/>
                    </w:rPr>
                    <w:t>−0.0469 *</w:t>
                  </w:r>
                </w:p>
                <w:p w:rsidR="00AD0E67" w:rsidRDefault="00871784">
                  <w:pPr>
                    <w:spacing w:after="0"/>
                    <w:jc w:val="center"/>
                  </w:pPr>
                  <w:r>
                    <w:rPr>
                      <w:rFonts w:eastAsia="Times New Roman"/>
                      <w:sz w:val="16"/>
                      <w:highlight w:val="yellow"/>
                    </w:rPr>
                    <w:t>n = 200, d = −0.17</w:t>
                  </w:r>
                </w:p>
              </w:tc>
            </w:tr>
            <w:tr w:rsidR="00AD0E67">
              <w:trPr>
                <w:cantSplit/>
                <w:jc w:val="center"/>
              </w:trPr>
              <w:tc>
                <w:tcPr>
                  <w:tcW w:w="2500" w:type="dxa"/>
                  <w:tcMar>
                    <w:top w:w="45" w:type="dxa"/>
                    <w:left w:w="75" w:type="dxa"/>
                    <w:bottom w:w="45" w:type="dxa"/>
                    <w:right w:w="75" w:type="dxa"/>
                  </w:tcMar>
                  <w:vAlign w:val="center"/>
                </w:tcPr>
                <w:p w:rsidR="00AD0E67" w:rsidRDefault="00871784">
                  <w:pPr>
                    <w:spacing w:after="0"/>
                    <w:jc w:val="left"/>
                  </w:pPr>
                  <w:r>
                    <w:rPr>
                      <w:rFonts w:eastAsia="Times New Roman"/>
                      <w:sz w:val="18"/>
                      <w:highlight w:val="yellow"/>
                    </w:rPr>
                    <w:t>gpt-oss-20b, oracle</w:t>
                  </w:r>
                </w:p>
              </w:tc>
              <w:tc>
                <w:tcPr>
                  <w:tcW w:w="2000" w:type="dxa"/>
                  <w:tcMar>
                    <w:top w:w="45" w:type="dxa"/>
                    <w:left w:w="75" w:type="dxa"/>
                    <w:bottom w:w="45" w:type="dxa"/>
                    <w:right w:w="75" w:type="dxa"/>
                  </w:tcMar>
                  <w:vAlign w:val="center"/>
                </w:tcPr>
                <w:p w:rsidR="00AD0E67" w:rsidRDefault="00871784">
                  <w:pPr>
                    <w:spacing w:after="0"/>
                    <w:jc w:val="center"/>
                  </w:pPr>
                  <w:r>
                    <w:rPr>
                      <w:rFonts w:eastAsia="Times New Roman"/>
                      <w:sz w:val="18"/>
                      <w:highlight w:val="yellow"/>
                    </w:rPr>
                    <w:t>+0.1966 ***</w:t>
                  </w:r>
                </w:p>
                <w:p w:rsidR="00AD0E67" w:rsidRDefault="00871784">
                  <w:pPr>
                    <w:spacing w:after="0"/>
                    <w:jc w:val="center"/>
                  </w:pPr>
                  <w:r>
                    <w:rPr>
                      <w:rFonts w:eastAsia="Times New Roman"/>
                      <w:sz w:val="16"/>
                      <w:highlight w:val="yellow"/>
                    </w:rPr>
                    <w:t>n = 140, d = +0.45</w:t>
                  </w:r>
                </w:p>
              </w:tc>
              <w:tc>
                <w:tcPr>
                  <w:tcW w:w="2000" w:type="dxa"/>
                  <w:tcMar>
                    <w:top w:w="45" w:type="dxa"/>
                    <w:left w:w="75" w:type="dxa"/>
                    <w:bottom w:w="45" w:type="dxa"/>
                    <w:right w:w="75" w:type="dxa"/>
                  </w:tcMar>
                  <w:vAlign w:val="center"/>
                </w:tcPr>
                <w:p w:rsidR="00AD0E67" w:rsidRDefault="00871784">
                  <w:pPr>
                    <w:spacing w:after="0"/>
                    <w:jc w:val="center"/>
                  </w:pPr>
                  <w:r>
                    <w:rPr>
                      <w:rFonts w:eastAsia="Times New Roman"/>
                      <w:sz w:val="18"/>
                      <w:highlight w:val="yellow"/>
                    </w:rPr>
                    <w:t>−0.0067 n.s.</w:t>
                  </w:r>
                </w:p>
                <w:p w:rsidR="00AD0E67" w:rsidRDefault="00871784">
                  <w:pPr>
                    <w:spacing w:after="0"/>
                    <w:jc w:val="center"/>
                  </w:pPr>
                  <w:r>
                    <w:rPr>
                      <w:rFonts w:eastAsia="Times New Roman"/>
                      <w:sz w:val="16"/>
                      <w:highlight w:val="yellow"/>
                    </w:rPr>
                    <w:t>n = 134, d = −0.02</w:t>
                  </w:r>
                </w:p>
              </w:tc>
              <w:tc>
                <w:tcPr>
                  <w:tcW w:w="2100" w:type="dxa"/>
                  <w:tcMar>
                    <w:top w:w="45" w:type="dxa"/>
                    <w:left w:w="75" w:type="dxa"/>
                    <w:bottom w:w="45" w:type="dxa"/>
                    <w:right w:w="75" w:type="dxa"/>
                  </w:tcMar>
                  <w:vAlign w:val="center"/>
                </w:tcPr>
                <w:p w:rsidR="00AD0E67" w:rsidRDefault="00871784">
                  <w:pPr>
                    <w:spacing w:after="0"/>
                    <w:jc w:val="center"/>
                  </w:pPr>
                  <w:r>
                    <w:rPr>
                      <w:rFonts w:eastAsia="Times New Roman"/>
                      <w:sz w:val="18"/>
                      <w:highlight w:val="yellow"/>
                    </w:rPr>
                    <w:t>−0.0217 n.s.</w:t>
                  </w:r>
                </w:p>
                <w:p w:rsidR="00AD0E67" w:rsidRDefault="00871784">
                  <w:pPr>
                    <w:spacing w:after="0"/>
                    <w:jc w:val="center"/>
                  </w:pPr>
                  <w:r>
                    <w:rPr>
                      <w:rFonts w:eastAsia="Times New Roman"/>
                      <w:sz w:val="16"/>
                      <w:highlight w:val="yellow"/>
                    </w:rPr>
                    <w:t>n = 133, d = −0.06</w:t>
                  </w:r>
                </w:p>
              </w:tc>
            </w:tr>
            <w:tr w:rsidR="00AD0E67">
              <w:trPr>
                <w:cantSplit/>
                <w:jc w:val="center"/>
              </w:trPr>
              <w:tc>
                <w:tcPr>
                  <w:tcW w:w="2500" w:type="dxa"/>
                  <w:tcBorders>
                    <w:bottom w:val="single" w:sz="10" w:space="0" w:color="000000"/>
                  </w:tcBorders>
                  <w:tcMar>
                    <w:top w:w="45" w:type="dxa"/>
                    <w:left w:w="75" w:type="dxa"/>
                    <w:bottom w:w="45" w:type="dxa"/>
                    <w:right w:w="75" w:type="dxa"/>
                  </w:tcMar>
                  <w:vAlign w:val="center"/>
                </w:tcPr>
                <w:p w:rsidR="00AD0E67" w:rsidRDefault="00871784">
                  <w:pPr>
                    <w:spacing w:after="0"/>
                    <w:jc w:val="left"/>
                  </w:pPr>
                  <w:r>
                    <w:rPr>
                      <w:rFonts w:eastAsia="Times New Roman"/>
                      <w:sz w:val="18"/>
                      <w:highlight w:val="yellow"/>
                    </w:rPr>
                    <w:t>gpt-oss-20b, real retrieval</w:t>
                  </w:r>
                </w:p>
              </w:tc>
              <w:tc>
                <w:tcPr>
                  <w:tcW w:w="2000" w:type="dxa"/>
                  <w:tcBorders>
                    <w:bottom w:val="single" w:sz="10" w:space="0" w:color="000000"/>
                  </w:tcBorders>
                  <w:tcMar>
                    <w:top w:w="45" w:type="dxa"/>
                    <w:left w:w="75" w:type="dxa"/>
                    <w:bottom w:w="45" w:type="dxa"/>
                    <w:right w:w="75" w:type="dxa"/>
                  </w:tcMar>
                  <w:vAlign w:val="center"/>
                </w:tcPr>
                <w:p w:rsidR="00AD0E67" w:rsidRDefault="00871784">
                  <w:pPr>
                    <w:spacing w:after="0"/>
                    <w:jc w:val="center"/>
                  </w:pPr>
                  <w:r>
                    <w:rPr>
                      <w:rFonts w:eastAsia="Times New Roman"/>
                      <w:sz w:val="18"/>
                      <w:highlight w:val="yellow"/>
                    </w:rPr>
                    <w:t>+0.1071 **</w:t>
                  </w:r>
                </w:p>
                <w:p w:rsidR="00AD0E67" w:rsidRDefault="00871784">
                  <w:pPr>
                    <w:spacing w:after="0"/>
                    <w:jc w:val="center"/>
                  </w:pPr>
                  <w:r>
                    <w:rPr>
                      <w:rFonts w:eastAsia="Times New Roman"/>
                      <w:sz w:val="16"/>
                      <w:highlight w:val="yellow"/>
                    </w:rPr>
                    <w:t>n = 138, d = +0.25</w:t>
                  </w:r>
                </w:p>
              </w:tc>
              <w:tc>
                <w:tcPr>
                  <w:tcW w:w="2000" w:type="dxa"/>
                  <w:tcBorders>
                    <w:bottom w:val="single" w:sz="10" w:space="0" w:color="000000"/>
                  </w:tcBorders>
                  <w:tcMar>
                    <w:top w:w="45" w:type="dxa"/>
                    <w:left w:w="75" w:type="dxa"/>
                    <w:bottom w:w="45" w:type="dxa"/>
                    <w:right w:w="75" w:type="dxa"/>
                  </w:tcMar>
                  <w:vAlign w:val="center"/>
                </w:tcPr>
                <w:p w:rsidR="00AD0E67" w:rsidRDefault="00871784">
                  <w:pPr>
                    <w:spacing w:after="0"/>
                    <w:jc w:val="center"/>
                  </w:pPr>
                  <w:r>
                    <w:rPr>
                      <w:rFonts w:eastAsia="Times New Roman"/>
                      <w:sz w:val="18"/>
                      <w:highlight w:val="yellow"/>
                    </w:rPr>
                    <w:t>−0.0698 **</w:t>
                  </w:r>
                </w:p>
                <w:p w:rsidR="00AD0E67" w:rsidRDefault="00871784">
                  <w:pPr>
                    <w:spacing w:after="0"/>
                    <w:jc w:val="center"/>
                  </w:pPr>
                  <w:r>
                    <w:rPr>
                      <w:rFonts w:eastAsia="Times New Roman"/>
                      <w:sz w:val="16"/>
                      <w:highlight w:val="yellow"/>
                    </w:rPr>
                    <w:t>n = 130, d = −0.26</w:t>
                  </w:r>
                </w:p>
              </w:tc>
              <w:tc>
                <w:tcPr>
                  <w:tcW w:w="2100" w:type="dxa"/>
                  <w:tcBorders>
                    <w:bottom w:val="single" w:sz="10" w:space="0" w:color="000000"/>
                  </w:tcBorders>
                  <w:tcMar>
                    <w:top w:w="45" w:type="dxa"/>
                    <w:left w:w="75" w:type="dxa"/>
                    <w:bottom w:w="45" w:type="dxa"/>
                    <w:right w:w="75" w:type="dxa"/>
                  </w:tcMar>
                  <w:vAlign w:val="center"/>
                </w:tcPr>
                <w:p w:rsidR="00AD0E67" w:rsidRDefault="00871784">
                  <w:pPr>
                    <w:spacing w:after="0"/>
                    <w:jc w:val="center"/>
                  </w:pPr>
                  <w:r>
                    <w:rPr>
                      <w:rFonts w:eastAsia="Times New Roman"/>
                      <w:sz w:val="18"/>
                      <w:highlight w:val="yellow"/>
                    </w:rPr>
                    <w:t>−0.0574 n.s.</w:t>
                  </w:r>
                </w:p>
                <w:p w:rsidR="00AD0E67" w:rsidRDefault="00871784">
                  <w:pPr>
                    <w:spacing w:after="0"/>
                    <w:jc w:val="center"/>
                  </w:pPr>
                  <w:r>
                    <w:rPr>
                      <w:rFonts w:eastAsia="Times New Roman"/>
                      <w:sz w:val="16"/>
                      <w:highlight w:val="yellow"/>
                    </w:rPr>
                    <w:t>n = 130, d = −0.16</w:t>
                  </w:r>
                </w:p>
              </w:tc>
            </w:tr>
          </w:tbl>
          <w:p w:rsidR="00AD0E67" w:rsidRDefault="00AD0E67">
            <w:pPr>
              <w:spacing w:after="0" w:line="60" w:lineRule="exact"/>
            </w:pPr>
          </w:p>
        </w:tc>
      </w:tr>
    </w:tbl>
    <w:p w:rsidR="00472E86" w:rsidRPr="00472E86" w:rsidRDefault="00472E86" w:rsidP="00472E86">
      <w:pPr>
        <w:keepLines/>
        <w:spacing w:after="0" w:line="240" w:lineRule="auto"/>
        <w:rPr>
          <w:rFonts w:eastAsia="Times New Roman"/>
          <w:sz w:val="10"/>
          <w:szCs w:val="12"/>
        </w:rPr>
      </w:pPr>
    </w:p>
    <w:p w:rsidR="005A18F7" w:rsidRDefault="00871784" w:rsidP="001C507E">
      <w:pPr>
        <w:keepLines/>
        <w:rPr>
          <w:rFonts w:eastAsia="Times New Roman"/>
        </w:rPr>
      </w:pPr>
      <w:proofErr w:type="spellStart"/>
      <w:proofErr w:type="spellEnd"/>
      <w:proofErr w:type="spellStart"/>
      <w:proofErr w:type="spellEnd"/>
      <w:r>
        <w:rPr>
          <w:rFonts w:eastAsia="Times New Roman"/>
        </w:rPr>
        <w:t>The magnitude, however, depends on what is scored against (</w:t>
      </w:r>
      <w:commentRangeStart w:id="31"/>
      <w:r>
        <w:rPr>
          <w:rFonts w:eastAsia="Times New Roman"/>
          <w:highlight w:val="cyan"/>
        </w:rPr>
        <w:t>Table 4</w:t>
      </w:r>
      <w:commentRangeEnd w:id="31"/>
      <w:r>
        <w:rPr>
          <w:rStyle w:val="CommentReference"/>
        </w:rPr>
        <w:commentReference w:id="31"/>
      </w:r>
      <w:r>
        <w:rPr>
          <w:rFonts w:eastAsia="Times New Roman"/>
        </w:rPr>
        <w:t xml:space="preserve">). Re-scoring the same generations by concept F1, BH-corrected, against the circular reference (the retrieved evidence) versus the unbiased reference (the image description, which neither arm saw) changes the picture: llama-3.1-8b with oracle evidence falls from +0.203 to +0.062; gpt-oss-120b with oracle evidence falls from +0.093 to −0.021 (n.s.); and gpt-oss-120b under real retrieval reads −0.032 </w:t>
      </w:r>
      <w:r>
        <w:rPr>
          <w:rFonts w:eastAsia="Times New Roman"/>
          <w:highlight w:val="yellow"/>
        </w:rPr>
        <w:t>circular and −0.047 unbiased, both significant. Across the five conditions the precision effect against the evidence reference is positive in all five; the F1 effect against the unbiased reference is positive in one.</w:t>
      </w:r>
    </w:p>
    <w:p w:rsidR="00AD0E67" w:rsidRDefault="00871784" w:rsidP="001C507E">
      <w:pPr>
        <w:keepLines/>
      </w:pPr>
      <w:r>
        <w:rPr>
          <w:rFonts w:eastAsia="Times New Roman"/>
        </w:rPr>
        <w:t>This reference-sensitivity is a methodological caution attached to the finding, not a retraction of it: the grounding effect of Table 4 is real under its stated protocol, and the size a paper reports depends substantially on the evaluation design it chooses.</w:t>
      </w:r>
    </w:p>
    <w:p w:rsidR="00E2032D" w:rsidRDefault="00E2032D" w:rsidP="00E2032D">
      <w:pPr>
        <w:keepLines/>
        <w:spacing w:after="0"/>
      </w:pPr>
      <w:proofErr w:type="spellStart"/>
      <w:proofErr w:type="spellEnd"/>
      <w:proofErr w:type="spellStart"/>
      <w:proofErr w:type="spellEnd"/>
      <w:r>
        <w:t xml:space="preserve">Mechanistically, </w:t>
      </w:r>
      <w:commentRangeStart w:id="32"/>
      <w:r>
        <w:rPr>
          <w:highlight w:val="yellow"/>
        </w:rPr>
        <w:t xml:space="preserve">on gpt-oss-120b </w:t>
      </w:r>
      <w:commentRangeEnd w:id="32"/>
      <w:r>
        <w:rPr>
          <w:rStyle w:val="CommentReference"/>
        </w:rPr>
        <w:commentReference w:id="32"/>
      </w:r>
      <w:r>
        <w:t>grounding trades recall for precision: it decreases concept recall by 0.138 (BH p = 0.00025), resulting in a more conservative model</w:t>
      </w:r>
      <w:r>
        <w:rPr>
          <w:highlight w:val="yellow"/>
        </w:rPr>
        <w:t>; the llama arm moves the other way (recall +0.077, BH p = 9.3 × 10</w:t>
      </w:r>
      <w:r>
        <w:rPr>
          <w:highlight w:val="yellow"/>
          <w:vertAlign w:val="superscript"/>
        </w:rPr>
        <w:t>−7</w:t>
      </w:r>
      <w:r>
        <w:rPr>
          <w:highlight w:val="yellow"/>
        </w:rPr>
        <w:t>), so the trade is generator-specific</w:t>
      </w:r>
      <w:r>
        <w:t xml:space="preserve">, and whether that trade pays off depends on the generator. </w:t>
      </w:r>
      <w:r>
        <w:rPr>
          <w:highlight w:val="yellow"/>
        </w:rPr>
        <w:t xml:space="preserve">Oracle evidence scores higher than real retrieval by +0.075, but the difference is not significant on either generator (p = 0.226, </w:t>
      </w:r>
      <w:r>
        <w:rPr>
          <w:i/>
          <w:highlight w:val="yellow"/>
        </w:rPr>
        <w:t>n</w:t>
      </w:r>
      <w:r>
        <w:rPr>
          <w:highlight w:val="yellow"/>
        </w:rPr>
        <w:t xml:space="preserve"> = 76; p = 0.106, </w:t>
      </w:r>
      <w:r>
        <w:rPr>
          <w:i/>
          <w:highlight w:val="yellow"/>
        </w:rPr>
        <w:t>n</w:t>
      </w:r>
      <w:r>
        <w:rPr>
          <w:highlight w:val="yellow"/>
        </w:rPr>
        <w:t xml:space="preserve"> = 125), so the condition filter’s advantage over honest retrieval is not established at this sample size. </w:t>
      </w:r>
      <w:r>
        <w:t>One consequence of grounding is a change in refusal behaviour. For gpt-oss-120b (</w:t>
      </w:r>
      <w:r>
        <w:rPr>
          <w:i/>
        </w:rPr>
        <w:t>n</w:t>
      </w:r>
      <w:r>
        <w:t xml:space="preserve"> = 467) the zero-shot arm virtually never declines (0.2%), while the grounded arms decline on 29.8% (oracle) and 33.8% (real retrieval) of queries, usually stating that the evidence concerns another patient; coverage drops from 92.9% zero-shot to 49.3% and 52.0% respectively. Retrieval’s top-1 was condition-correct in only 10.7% of these rows. Refusals assert no scoreable concept and vanish from a naive mean, which would make the system look healthiest exactly where it fails; coverage is therefore reported beside every factuality number.</w:t>
      </w:r>
    </w:p>
    <w:p w:rsidR="00662BA7" w:rsidRPr="00200DCA" w:rsidRDefault="00662BA7" w:rsidP="00AB159C">
      <w:pPr>
        <w:pStyle w:val="ICCSDIHeading2"/>
        <w:spacing w:before="0" w:after="0"/>
        <w:rPr>
          <w:rFonts w:eastAsia="Times New Roman"/>
          <w:sz w:val="16"/>
          <w:szCs w:val="16"/>
        </w:rPr>
      </w:pPr>
    </w:p>
    <w:p w:rsidR="00AD0E67" w:rsidRDefault="00871784" w:rsidP="00662BA7">
      <w:pPr>
        <w:pStyle w:val="ICCSDIHeading2"/>
        <w:spacing w:before="0"/>
      </w:pPr>
      <w:proofErr w:type="gramStart"/>
      <w:r>
        <w:rPr>
          <w:rFonts w:eastAsia="Times New Roman"/>
        </w:rPr>
        <w:t>5.4  Code</w:t>
      </w:r>
      <w:proofErr w:type="gramEnd"/>
      <w:r>
        <w:rPr>
          <w:rFonts w:eastAsia="Times New Roman"/>
        </w:rPr>
        <w:t>-Mixing Robustness of Generation (H</w:t>
      </w:r>
      <w:r>
        <w:rPr>
          <w:rFonts w:eastAsia="Times New Roman"/>
          <w:vertAlign w:val="subscript"/>
        </w:rPr>
        <w:t>02</w:t>
      </w:r>
      <w:r>
        <w:rPr>
          <w:rFonts w:eastAsia="Times New Roman"/>
        </w:rPr>
        <w:t>)</w:t>
      </w:r>
    </w:p>
    <w:p w:rsidR="00AD0E67" w:rsidRDefault="00871784">
      <w:pPr>
        <w:keepNext/>
        <w:keepLines/>
        <w:rPr>
          <w:rFonts w:eastAsia="Times New Roman"/>
        </w:rPr>
      </w:pPr>
      <w:proofErr w:type="spellStart"/>
      <w:proofErr w:type="spellEnd"/>
      <w:commentRangeStart w:id="33"/>
      <w:r>
        <w:rPr>
          <w:rFonts w:eastAsia="Times New Roman"/>
          <w:highlight w:val="yellow"/>
        </w:rPr>
        <w:t>H02 concerns the grounded-minus-ungrounded difference, and it is tested as planned: a two-way design with arm varying within query, whose arm × code-mixing interaction is the change in the paired gain across tertiles of Hindi proportion (</w:t>
      </w:r>
      <w:commentRangeEnd w:id="33"/>
      <w:r>
        <w:rPr>
          <w:rStyle w:val="CommentReference"/>
        </w:rPr>
        <w:commentReference w:id="33"/>
      </w:r>
      <w:r>
        <w:rPr>
          <w:rFonts w:eastAsia="Times New Roman"/>
          <w:i/>
          <w:highlight w:val="yellow"/>
        </w:rPr>
        <w:t>n</w:t>
      </w:r>
      <w:r>
        <w:rPr>
          <w:rFonts w:eastAsia="Times New Roman"/>
          <w:highlight w:val="yellow"/>
        </w:rPr>
        <w:t xml:space="preserve"> = 1,165). The two pre-specified tests disagree — one-way ANOVA on the gain F = 3.03, p = 0.049; Kruskal–Wallis H = 5.11, p = 0.078 — so both are reported and neither is chosen after the fact; on the continuous measure the gain rises with Hindi proportion (Spearman ρ = +0.081, 95% CI [+0.023, +0.138], p = 0.006), from +0.204 in the lowest tertile to +0.274 in the highest. Evidence against H02 is therefore borderline on the tertile tests and significant on the continuous one. The per-arm decomposition (Table 5) explains the direction: </w:t>
      </w:r>
      <w:r>
        <w:rPr>
          <w:rFonts w:eastAsia="Times New Roman"/>
        </w:rPr>
        <w:t>zero-shot factual support degrades significantly as code-mixing intensifies (ρ = −0.116, BH p = 0.0003), while the grounded arm is flat (ρ = −0.001, n.s.)</w:t>
      </w:r>
      <w:r>
        <w:rPr>
          <w:rFonts w:eastAsia="Times New Roman"/>
          <w:highlight w:val="green"/>
        </w:rPr>
        <w:t xml:space="preserve"> and statistically equivalent to zero effect (90% CI [−0.048, +0.049] within a ±0.10 bound chosen after the data were seen)</w:t>
      </w:r>
      <w:r>
        <w:rPr>
          <w:rFonts w:eastAsia="Times New Roman"/>
        </w:rPr>
        <w:t xml:space="preserve">; neither arm shows a significant hallucination trend. </w:t>
      </w:r>
      <w:r>
        <w:rPr>
          <w:rFonts w:eastAsia="Times New Roman"/>
          <w:highlight w:val="yellow"/>
        </w:rPr>
        <w:t>The gain grows because the ungrounded baseline falls, not because grounding improves. Under the originally shipped code-mixing measure the interaction is not significant (Kruskal–Wallis p = 0.19), a difference attributable to the lexicon repair described below.</w:t>
      </w:r>
    </w:p>
    <w:p w:rsidR="00662BA7" w:rsidRPr="00662BA7" w:rsidRDefault="00662BA7" w:rsidP="00662BA7">
      <w:pPr>
        <w:pStyle w:val="ICCSDICaption"/>
        <w:keepLines/>
        <w:spacing w:before="0" w:after="0"/>
        <w:rPr>
          <w:rFonts w:eastAsia="Times New Roman"/>
          <w:sz w:val="6"/>
          <w:szCs w:val="10"/>
        </w:rPr>
      </w:pPr>
    </w:p>
    <w:p w:rsidR="00AD0E67" w:rsidRDefault="00871784" w:rsidP="00662BA7">
      <w:pPr>
        <w:pStyle w:val="ICCSDICaption"/>
        <w:keepLines/>
        <w:spacing w:before="0"/>
      </w:pPr>
      <w:proofErr w:type="gramStart"/>
      <w:proofErr w:type="gramEnd"/>
      <w:commentRangeStart w:id="34"/>
      <w:r>
        <w:rPr>
          <w:rFonts w:eastAsia="Times New Roman"/>
          <w:highlight w:val="yellow"/>
        </w:rPr>
        <w:t xml:space="preserve">Table 5  Code-mixing intensity (Hindi proportion, repaired measure) against outcome, </w:t>
      </w:r>
      <w:commentRangeEnd w:id="34"/>
      <w:r>
        <w:rPr>
          <w:rStyle w:val="CommentReference"/>
        </w:rPr>
        <w:commentReference w:id="34"/>
      </w:r>
      <w:r>
        <w:rPr>
          <w:rFonts w:eastAsia="Times New Roman"/>
          <w:i/>
          <w:highlight w:val="yellow"/>
        </w:rPr>
        <w:t>n</w:t>
      </w:r>
      <w:r>
        <w:rPr>
          <w:rFonts w:eastAsia="Times New Roman"/>
          <w:highlight w:val="yellow"/>
        </w:rPr>
        <w:t xml:space="preserve"> = 1,165. First row: the pre-specified test on the paired gain (continuous ρ; tertile tests ANOVA p = 0.049, Kruskal–Wallis p = 0.078). Remaining rows: exploratory per-arm decomposition, BH-corrected.</w:t>
      </w:r>
    </w:p>
    <w:tbl>
      <w:tblPr>
        <w:tblW w:w="0" w:type="auto"/>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597"/>
      </w:tblGrid>
      <w:tr w:rsidR="00AD0E67">
        <w:trPr>
          <w:cantSplit/>
          <w:jc w:val="center"/>
        </w:trPr>
        <w:tc>
          <w:tcPr>
            <w:tcW w:w="8597" w:type="dxa"/>
            <w:tcMar>
              <w:top w:w="0" w:type="dxa"/>
              <w:left w:w="0" w:type="dxa"/>
              <w:bottom w:w="0" w:type="dxa"/>
              <w:right w:w="0" w:type="dxa"/>
            </w:tcMar>
          </w:tcPr>
          <w:tbl>
            <w:tblPr>
              <w:tblW w:w="0" w:type="auto"/>
              <w:jc w:val="center"/>
              <w:tblLayout w:type="fixed"/>
              <w:tblLook w:val="04A0" w:firstRow="1" w:lastRow="0" w:firstColumn="1" w:lastColumn="0" w:noHBand="0" w:noVBand="1"/>
            </w:tblPr>
            <w:tblGrid>
              <w:gridCol w:w="3000"/>
              <w:gridCol w:w="850"/>
              <w:gridCol w:w="1900"/>
              <w:gridCol w:w="1050"/>
              <w:gridCol w:w="1797"/>
            </w:tblGrid>
            <w:tr w:rsidR="00AD0E67">
              <w:trPr>
                <w:cantSplit/>
                <w:tblHeader/>
                <w:jc w:val="center"/>
              </w:trPr>
              <w:tc>
                <w:tcPr>
                  <w:tcW w:w="3000" w:type="dxa"/>
                  <w:tcBorders>
                    <w:top w:val="single" w:sz="10" w:space="0" w:color="000000"/>
                    <w:bottom w:val="single" w:sz="8" w:space="0" w:color="000000"/>
                  </w:tcBorders>
                  <w:shd w:val="clear" w:color="auto" w:fill="EDEDED"/>
                  <w:tcMar>
                    <w:top w:w="55" w:type="dxa"/>
                    <w:left w:w="75" w:type="dxa"/>
                    <w:bottom w:w="55" w:type="dxa"/>
                    <w:right w:w="75" w:type="dxa"/>
                  </w:tcMar>
                  <w:vAlign w:val="center"/>
                </w:tcPr>
                <w:p w:rsidR="00AD0E67" w:rsidRDefault="00871784">
                  <w:pPr>
                    <w:spacing w:after="0"/>
                    <w:jc w:val="left"/>
                  </w:pPr>
                  <w:commentRangeStart w:id="35"/>
                  <w:r>
                    <w:rPr>
                      <w:rFonts w:eastAsia="Times New Roman"/>
                      <w:b/>
                      <w:sz w:val="18"/>
                    </w:rPr>
                    <w:t>Outcome</w:t>
                  </w:r>
                  <w:commentRangeEnd w:id="35"/>
                  <w:r>
                    <w:rPr>
                      <w:rStyle w:val="CommentReference"/>
                    </w:rPr>
                    <w:commentReference w:id="35"/>
                  </w:r>
                </w:p>
              </w:tc>
              <w:tc>
                <w:tcPr>
                  <w:tcW w:w="850" w:type="dxa"/>
                  <w:tcBorders>
                    <w:top w:val="single" w:sz="10" w:space="0" w:color="000000"/>
                    <w:bottom w:val="single" w:sz="8" w:space="0" w:color="000000"/>
                  </w:tcBorders>
                  <w:shd w:val="clear" w:color="auto" w:fill="EDEDED"/>
                  <w:tcMar>
                    <w:top w:w="55" w:type="dxa"/>
                    <w:left w:w="75" w:type="dxa"/>
                    <w:bottom w:w="55" w:type="dxa"/>
                    <w:right w:w="75" w:type="dxa"/>
                  </w:tcMar>
                  <w:vAlign w:val="center"/>
                </w:tcPr>
                <w:p w:rsidR="00AD0E67" w:rsidRDefault="00871784">
                  <w:pPr>
                    <w:spacing w:after="0"/>
                    <w:jc w:val="center"/>
                  </w:pPr>
                  <w:r>
                    <w:rPr>
                      <w:rFonts w:eastAsia="Times New Roman"/>
                      <w:b/>
                      <w:sz w:val="18"/>
                    </w:rPr>
                    <w:t>ρ</w:t>
                  </w:r>
                </w:p>
              </w:tc>
              <w:tc>
                <w:tcPr>
                  <w:tcW w:w="1900" w:type="dxa"/>
                  <w:tcBorders>
                    <w:top w:val="single" w:sz="10" w:space="0" w:color="000000"/>
                    <w:bottom w:val="single" w:sz="8" w:space="0" w:color="000000"/>
                  </w:tcBorders>
                  <w:shd w:val="clear" w:color="auto" w:fill="EDEDED"/>
                  <w:tcMar>
                    <w:top w:w="55" w:type="dxa"/>
                    <w:left w:w="75" w:type="dxa"/>
                    <w:bottom w:w="55" w:type="dxa"/>
                    <w:right w:w="75" w:type="dxa"/>
                  </w:tcMar>
                  <w:vAlign w:val="center"/>
                </w:tcPr>
                <w:p w:rsidR="00AD0E67" w:rsidRDefault="00871784">
                  <w:pPr>
                    <w:spacing w:after="0"/>
                    <w:jc w:val="center"/>
                  </w:pPr>
                  <w:r>
                    <w:rPr>
                      <w:rFonts w:eastAsia="Times New Roman"/>
                      <w:b/>
                      <w:sz w:val="18"/>
                    </w:rPr>
                    <w:t>95% CI</w:t>
                  </w:r>
                </w:p>
              </w:tc>
              <w:tc>
                <w:tcPr>
                  <w:tcW w:w="1050" w:type="dxa"/>
                  <w:tcBorders>
                    <w:top w:val="single" w:sz="10" w:space="0" w:color="000000"/>
                    <w:bottom w:val="single" w:sz="8" w:space="0" w:color="000000"/>
                  </w:tcBorders>
                  <w:shd w:val="clear" w:color="auto" w:fill="EDEDED"/>
                  <w:tcMar>
                    <w:top w:w="55" w:type="dxa"/>
                    <w:left w:w="75" w:type="dxa"/>
                    <w:bottom w:w="55" w:type="dxa"/>
                    <w:right w:w="75" w:type="dxa"/>
                  </w:tcMar>
                  <w:vAlign w:val="center"/>
                </w:tcPr>
                <w:p w:rsidR="00AD0E67" w:rsidRDefault="00871784">
                  <w:pPr>
                    <w:spacing w:after="0"/>
                    <w:jc w:val="center"/>
                  </w:pPr>
                  <w:r>
                    <w:rPr>
                      <w:rFonts w:eastAsia="Times New Roman"/>
                      <w:b/>
                      <w:sz w:val="18"/>
                    </w:rPr>
                    <w:t>p</w:t>
                  </w:r>
                </w:p>
              </w:tc>
              <w:tc>
                <w:tcPr>
                  <w:tcW w:w="1797" w:type="dxa"/>
                  <w:tcBorders>
                    <w:top w:val="single" w:sz="10" w:space="0" w:color="000000"/>
                    <w:bottom w:val="single" w:sz="8" w:space="0" w:color="000000"/>
                  </w:tcBorders>
                  <w:shd w:val="clear" w:color="auto" w:fill="EDEDED"/>
                  <w:tcMar>
                    <w:top w:w="55" w:type="dxa"/>
                    <w:left w:w="75" w:type="dxa"/>
                    <w:bottom w:w="55" w:type="dxa"/>
                    <w:right w:w="75" w:type="dxa"/>
                  </w:tcMar>
                  <w:vAlign w:val="center"/>
                </w:tcPr>
                <w:p w:rsidR="00AD0E67" w:rsidRDefault="00871784">
                  <w:pPr>
                    <w:spacing w:after="0"/>
                    <w:jc w:val="center"/>
                  </w:pPr>
                  <w:r>
                    <w:rPr>
                      <w:rFonts w:eastAsia="Times New Roman"/>
                      <w:b/>
                      <w:sz w:val="18"/>
                    </w:rPr>
                    <w:t>Reading</w:t>
                  </w:r>
                </w:p>
              </w:tc>
            </w:tr>
            <w:tr w:rsidR="00AD0E67">
              <w:trPr>
                <w:cantSplit/>
                <w:jc w:val="center"/>
              </w:trPr>
              <w:tc>
                <w:tcPr>
                  <w:tcW w:w="3000" w:type="dxa"/>
                  <w:tcMar>
                    <w:top w:w="45" w:type="dxa"/>
                    <w:left w:w="75" w:type="dxa"/>
                    <w:bottom w:w="45" w:type="dxa"/>
                    <w:right w:w="75" w:type="dxa"/>
                  </w:tcMar>
                  <w:vAlign w:val="center"/>
                </w:tcPr>
                <w:p w:rsidR="00AD0E67" w:rsidRDefault="00871784">
                  <w:pPr>
                    <w:spacing w:after="0"/>
                    <w:jc w:val="left"/>
                  </w:pPr>
                  <w:r>
                    <w:rPr>
                      <w:rFonts w:eastAsia="Times New Roman"/>
                      <w:b/>
                      <w:sz w:val="18"/>
                      <w:highlight w:val="green"/>
                    </w:rPr>
                    <w:t>Gain (grounded − zero-shot), pre-specified</w:t>
                  </w:r>
                </w:p>
              </w:tc>
              <w:tc>
                <w:tcPr>
                  <w:tcW w:w="850" w:type="dxa"/>
                  <w:tcMar>
                    <w:top w:w="45" w:type="dxa"/>
                    <w:left w:w="75" w:type="dxa"/>
                    <w:bottom w:w="45" w:type="dxa"/>
                    <w:right w:w="75" w:type="dxa"/>
                  </w:tcMar>
                  <w:vAlign w:val="center"/>
                </w:tcPr>
                <w:p w:rsidR="00AD0E67" w:rsidRDefault="00871784">
                  <w:pPr>
                    <w:spacing w:after="0"/>
                    <w:jc w:val="center"/>
                  </w:pPr>
                  <w:r>
                    <w:rPr>
                      <w:rFonts w:eastAsia="Times New Roman"/>
                      <w:sz w:val="18"/>
                      <w:highlight w:val="green"/>
                    </w:rPr>
                    <w:t>+0.081</w:t>
                  </w:r>
                </w:p>
              </w:tc>
              <w:tc>
                <w:tcPr>
                  <w:tcW w:w="1900" w:type="dxa"/>
                  <w:tcMar>
                    <w:top w:w="45" w:type="dxa"/>
                    <w:left w:w="75" w:type="dxa"/>
                    <w:bottom w:w="45" w:type="dxa"/>
                    <w:right w:w="75" w:type="dxa"/>
                  </w:tcMar>
                  <w:vAlign w:val="center"/>
                </w:tcPr>
                <w:p w:rsidR="00AD0E67" w:rsidRDefault="00871784">
                  <w:pPr>
                    <w:spacing w:after="0"/>
                    <w:jc w:val="center"/>
                  </w:pPr>
                  <w:r>
                    <w:rPr>
                      <w:rFonts w:eastAsia="Times New Roman"/>
                      <w:sz w:val="18"/>
                      <w:highlight w:val="green"/>
                    </w:rPr>
                    <w:t>[+0.023, +0.138]</w:t>
                  </w:r>
                </w:p>
              </w:tc>
              <w:tc>
                <w:tcPr>
                  <w:tcW w:w="1050" w:type="dxa"/>
                  <w:tcMar>
                    <w:top w:w="45" w:type="dxa"/>
                    <w:left w:w="75" w:type="dxa"/>
                    <w:bottom w:w="45" w:type="dxa"/>
                    <w:right w:w="75" w:type="dxa"/>
                  </w:tcMar>
                  <w:vAlign w:val="center"/>
                </w:tcPr>
                <w:p w:rsidR="00AD0E67" w:rsidRDefault="00871784">
                  <w:pPr>
                    <w:spacing w:after="0"/>
                    <w:jc w:val="center"/>
                  </w:pPr>
                  <w:r>
                    <w:rPr>
                      <w:rFonts w:eastAsia="Times New Roman"/>
                      <w:sz w:val="18"/>
                      <w:highlight w:val="green"/>
                    </w:rPr>
                    <w:t>0.006</w:t>
                  </w:r>
                </w:p>
              </w:tc>
              <w:tc>
                <w:tcPr>
                  <w:tcW w:w="1797" w:type="dxa"/>
                  <w:tcMar>
                    <w:top w:w="45" w:type="dxa"/>
                    <w:left w:w="75" w:type="dxa"/>
                    <w:bottom w:w="45" w:type="dxa"/>
                    <w:right w:w="75" w:type="dxa"/>
                  </w:tcMar>
                  <w:vAlign w:val="center"/>
                </w:tcPr>
                <w:p w:rsidR="00AD0E67" w:rsidRDefault="00871784">
                  <w:pPr>
                    <w:spacing w:after="0"/>
                    <w:jc w:val="center"/>
                  </w:pPr>
                  <w:r>
                    <w:rPr>
                      <w:rFonts w:eastAsia="Times New Roman"/>
                      <w:sz w:val="18"/>
                      <w:highlight w:val="green"/>
                    </w:rPr>
                    <w:t>rises</w:t>
                  </w:r>
                </w:p>
              </w:tc>
            </w:tr>
            <w:tr w:rsidR="00AD0E67">
              <w:trPr>
                <w:cantSplit/>
                <w:jc w:val="center"/>
              </w:trPr>
              <w:tc>
                <w:tcPr>
                  <w:tcW w:w="3000" w:type="dxa"/>
                  <w:tcMar>
                    <w:top w:w="45" w:type="dxa"/>
                    <w:left w:w="75" w:type="dxa"/>
                    <w:bottom w:w="45" w:type="dxa"/>
                    <w:right w:w="75" w:type="dxa"/>
                  </w:tcMar>
                  <w:vAlign w:val="center"/>
                </w:tcPr>
                <w:p w:rsidR="00AD0E67" w:rsidRDefault="00871784">
                  <w:pPr>
                    <w:spacing w:after="0"/>
                    <w:jc w:val="left"/>
                  </w:pPr>
                  <w:r>
                    <w:rPr>
                      <w:rFonts w:eastAsia="Times New Roman"/>
                      <w:b/>
                      <w:sz w:val="18"/>
                    </w:rPr>
                    <w:t>Grounded factual support</w:t>
                  </w:r>
                </w:p>
              </w:tc>
              <w:tc>
                <w:tcPr>
                  <w:tcW w:w="850" w:type="dxa"/>
                  <w:tcMar>
                    <w:top w:w="45" w:type="dxa"/>
                    <w:left w:w="75" w:type="dxa"/>
                    <w:bottom w:w="45" w:type="dxa"/>
                    <w:right w:w="75" w:type="dxa"/>
                  </w:tcMar>
                  <w:vAlign w:val="center"/>
                </w:tcPr>
                <w:p w:rsidR="00AD0E67" w:rsidRDefault="00871784">
                  <w:pPr>
                    <w:spacing w:after="0"/>
                    <w:jc w:val="center"/>
                  </w:pPr>
                  <w:r>
                    <w:rPr>
                      <w:rFonts w:eastAsia="Times New Roman"/>
                      <w:sz w:val="18"/>
                    </w:rPr>
                    <w:t>−0.001</w:t>
                  </w:r>
                </w:p>
              </w:tc>
              <w:tc>
                <w:tcPr>
                  <w:tcW w:w="1900" w:type="dxa"/>
                  <w:tcMar>
                    <w:top w:w="45" w:type="dxa"/>
                    <w:left w:w="75" w:type="dxa"/>
                    <w:bottom w:w="45" w:type="dxa"/>
                    <w:right w:w="75" w:type="dxa"/>
                  </w:tcMar>
                  <w:vAlign w:val="center"/>
                </w:tcPr>
                <w:p w:rsidR="00AD0E67" w:rsidRDefault="00871784">
                  <w:pPr>
                    <w:spacing w:after="0"/>
                    <w:jc w:val="center"/>
                  </w:pPr>
                  <w:r>
                    <w:rPr>
                      <w:rFonts w:eastAsia="Times New Roman"/>
                      <w:sz w:val="18"/>
                    </w:rPr>
                    <w:t>[−0.058, +0.057]</w:t>
                  </w:r>
                </w:p>
              </w:tc>
              <w:tc>
                <w:tcPr>
                  <w:tcW w:w="1050" w:type="dxa"/>
                  <w:tcMar>
                    <w:top w:w="45" w:type="dxa"/>
                    <w:left w:w="75" w:type="dxa"/>
                    <w:bottom w:w="45" w:type="dxa"/>
                    <w:right w:w="75" w:type="dxa"/>
                  </w:tcMar>
                  <w:vAlign w:val="center"/>
                </w:tcPr>
                <w:p w:rsidR="00AD0E67" w:rsidRDefault="00871784">
                  <w:pPr>
                    <w:spacing w:after="0"/>
                    <w:jc w:val="center"/>
                  </w:pPr>
                  <w:r>
                    <w:rPr>
                      <w:rFonts w:eastAsia="Times New Roman"/>
                      <w:sz w:val="18"/>
                    </w:rPr>
                    <w:t>0.98</w:t>
                  </w:r>
                </w:p>
              </w:tc>
              <w:tc>
                <w:tcPr>
                  <w:tcW w:w="1797" w:type="dxa"/>
                  <w:tcMar>
                    <w:top w:w="45" w:type="dxa"/>
                    <w:left w:w="75" w:type="dxa"/>
                    <w:bottom w:w="45" w:type="dxa"/>
                    <w:right w:w="75" w:type="dxa"/>
                  </w:tcMar>
                  <w:vAlign w:val="center"/>
                </w:tcPr>
                <w:p w:rsidR="00AD0E67" w:rsidRDefault="00871784">
                  <w:pPr>
                    <w:spacing w:after="0"/>
                    <w:jc w:val="center"/>
                  </w:pPr>
                  <w:r>
                    <w:rPr>
                      <w:rFonts w:eastAsia="Times New Roman"/>
                      <w:sz w:val="18"/>
                      <w:highlight w:val="green"/>
                    </w:rPr>
                    <w:t>flat (equivalent)</w:t>
                  </w:r>
                </w:p>
              </w:tc>
            </w:tr>
            <w:tr w:rsidR="00AD0E67">
              <w:trPr>
                <w:cantSplit/>
                <w:jc w:val="center"/>
              </w:trPr>
              <w:tc>
                <w:tcPr>
                  <w:tcW w:w="3000" w:type="dxa"/>
                  <w:tcMar>
                    <w:top w:w="45" w:type="dxa"/>
                    <w:left w:w="75" w:type="dxa"/>
                    <w:bottom w:w="45" w:type="dxa"/>
                    <w:right w:w="75" w:type="dxa"/>
                  </w:tcMar>
                  <w:vAlign w:val="center"/>
                </w:tcPr>
                <w:p w:rsidR="00AD0E67" w:rsidRDefault="00871784">
                  <w:pPr>
                    <w:spacing w:after="0"/>
                    <w:jc w:val="left"/>
                  </w:pPr>
                  <w:r>
                    <w:rPr>
                      <w:rFonts w:eastAsia="Times New Roman"/>
                      <w:sz w:val="18"/>
                    </w:rPr>
                    <w:t>Zero-shot factual support</w:t>
                  </w:r>
                </w:p>
              </w:tc>
              <w:tc>
                <w:tcPr>
                  <w:tcW w:w="850" w:type="dxa"/>
                  <w:tcMar>
                    <w:top w:w="45" w:type="dxa"/>
                    <w:left w:w="75" w:type="dxa"/>
                    <w:bottom w:w="45" w:type="dxa"/>
                    <w:right w:w="75" w:type="dxa"/>
                  </w:tcMar>
                  <w:vAlign w:val="center"/>
                </w:tcPr>
                <w:p w:rsidR="00AD0E67" w:rsidRDefault="00871784">
                  <w:pPr>
                    <w:spacing w:after="0"/>
                    <w:jc w:val="center"/>
                  </w:pPr>
                  <w:r>
                    <w:rPr>
                      <w:rFonts w:eastAsia="Times New Roman"/>
                      <w:sz w:val="18"/>
                    </w:rPr>
                    <w:t>−0.116</w:t>
                  </w:r>
                </w:p>
              </w:tc>
              <w:tc>
                <w:tcPr>
                  <w:tcW w:w="1900" w:type="dxa"/>
                  <w:tcMar>
                    <w:top w:w="45" w:type="dxa"/>
                    <w:left w:w="75" w:type="dxa"/>
                    <w:bottom w:w="45" w:type="dxa"/>
                    <w:right w:w="75" w:type="dxa"/>
                  </w:tcMar>
                  <w:vAlign w:val="center"/>
                </w:tcPr>
                <w:p w:rsidR="00AD0E67" w:rsidRDefault="00871784">
                  <w:pPr>
                    <w:spacing w:after="0"/>
                    <w:jc w:val="center"/>
                  </w:pPr>
                  <w:r>
                    <w:rPr>
                      <w:rFonts w:eastAsia="Times New Roman"/>
                      <w:sz w:val="18"/>
                    </w:rPr>
                    <w:t>[−0.171, −0.059]</w:t>
                  </w:r>
                </w:p>
              </w:tc>
              <w:tc>
                <w:tcPr>
                  <w:tcW w:w="1050" w:type="dxa"/>
                  <w:tcMar>
                    <w:top w:w="45" w:type="dxa"/>
                    <w:left w:w="75" w:type="dxa"/>
                    <w:bottom w:w="45" w:type="dxa"/>
                    <w:right w:w="75" w:type="dxa"/>
                  </w:tcMar>
                  <w:vAlign w:val="center"/>
                </w:tcPr>
                <w:p w:rsidR="00AD0E67" w:rsidRDefault="00871784">
                  <w:pPr>
                    <w:spacing w:after="0"/>
                    <w:jc w:val="center"/>
                  </w:pPr>
                  <w:r>
                    <w:rPr>
                      <w:rFonts w:eastAsia="Times New Roman"/>
                      <w:sz w:val="18"/>
                    </w:rPr>
                    <w:t>0.0003</w:t>
                  </w:r>
                </w:p>
              </w:tc>
              <w:tc>
                <w:tcPr>
                  <w:tcW w:w="1797" w:type="dxa"/>
                  <w:tcMar>
                    <w:top w:w="45" w:type="dxa"/>
                    <w:left w:w="75" w:type="dxa"/>
                    <w:bottom w:w="45" w:type="dxa"/>
                    <w:right w:w="75" w:type="dxa"/>
                  </w:tcMar>
                  <w:vAlign w:val="center"/>
                </w:tcPr>
                <w:p w:rsidR="00AD0E67" w:rsidRDefault="00871784">
                  <w:pPr>
                    <w:spacing w:after="0"/>
                    <w:jc w:val="center"/>
                  </w:pPr>
                  <w:r>
                    <w:rPr>
                      <w:rFonts w:eastAsia="Times New Roman"/>
                      <w:sz w:val="18"/>
                    </w:rPr>
                    <w:t>degrades</w:t>
                  </w:r>
                </w:p>
              </w:tc>
            </w:tr>
            <w:tr w:rsidR="00AD0E67">
              <w:trPr>
                <w:cantSplit/>
                <w:jc w:val="center"/>
              </w:trPr>
              <w:tc>
                <w:tcPr>
                  <w:tcW w:w="3000" w:type="dxa"/>
                  <w:tcMar>
                    <w:top w:w="45" w:type="dxa"/>
                    <w:left w:w="75" w:type="dxa"/>
                    <w:bottom w:w="45" w:type="dxa"/>
                    <w:right w:w="75" w:type="dxa"/>
                  </w:tcMar>
                  <w:vAlign w:val="center"/>
                </w:tcPr>
                <w:p w:rsidR="00AD0E67" w:rsidRDefault="00871784">
                  <w:pPr>
                    <w:spacing w:after="0"/>
                    <w:jc w:val="left"/>
                  </w:pPr>
                  <w:r>
                    <w:rPr>
                      <w:rFonts w:eastAsia="Times New Roman"/>
                      <w:sz w:val="18"/>
                    </w:rPr>
                    <w:t>Grounded hallucination</w:t>
                  </w:r>
                </w:p>
              </w:tc>
              <w:tc>
                <w:tcPr>
                  <w:tcW w:w="850" w:type="dxa"/>
                  <w:tcMar>
                    <w:top w:w="45" w:type="dxa"/>
                    <w:left w:w="75" w:type="dxa"/>
                    <w:bottom w:w="45" w:type="dxa"/>
                    <w:right w:w="75" w:type="dxa"/>
                  </w:tcMar>
                  <w:vAlign w:val="center"/>
                </w:tcPr>
                <w:p w:rsidR="00AD0E67" w:rsidRDefault="00871784">
                  <w:pPr>
                    <w:spacing w:after="0"/>
                    <w:jc w:val="center"/>
                  </w:pPr>
                  <w:r>
                    <w:rPr>
                      <w:rFonts w:eastAsia="Times New Roman"/>
                      <w:sz w:val="18"/>
                    </w:rPr>
                    <w:t>−0.022</w:t>
                  </w:r>
                </w:p>
              </w:tc>
              <w:tc>
                <w:tcPr>
                  <w:tcW w:w="1900" w:type="dxa"/>
                  <w:tcMar>
                    <w:top w:w="45" w:type="dxa"/>
                    <w:left w:w="75" w:type="dxa"/>
                    <w:bottom w:w="45" w:type="dxa"/>
                    <w:right w:w="75" w:type="dxa"/>
                  </w:tcMar>
                  <w:vAlign w:val="center"/>
                </w:tcPr>
                <w:p w:rsidR="00AD0E67" w:rsidRDefault="00871784">
                  <w:pPr>
                    <w:spacing w:after="0"/>
                    <w:jc w:val="center"/>
                  </w:pPr>
                  <w:r>
                    <w:rPr>
                      <w:rFonts w:eastAsia="Times New Roman"/>
                      <w:sz w:val="18"/>
                    </w:rPr>
                    <w:t>[−0.080, +0.036]</w:t>
                  </w:r>
                </w:p>
              </w:tc>
              <w:tc>
                <w:tcPr>
                  <w:tcW w:w="1050" w:type="dxa"/>
                  <w:tcMar>
                    <w:top w:w="45" w:type="dxa"/>
                    <w:left w:w="75" w:type="dxa"/>
                    <w:bottom w:w="45" w:type="dxa"/>
                    <w:right w:w="75" w:type="dxa"/>
                  </w:tcMar>
                  <w:vAlign w:val="center"/>
                </w:tcPr>
                <w:p w:rsidR="00AD0E67" w:rsidRDefault="00871784">
                  <w:pPr>
                    <w:spacing w:after="0"/>
                    <w:jc w:val="center"/>
                  </w:pPr>
                  <w:r>
                    <w:rPr>
                      <w:rFonts w:eastAsia="Times New Roman"/>
                      <w:sz w:val="18"/>
                    </w:rPr>
                    <w:t>0.59</w:t>
                  </w:r>
                </w:p>
              </w:tc>
              <w:tc>
                <w:tcPr>
                  <w:tcW w:w="1797" w:type="dxa"/>
                  <w:tcMar>
                    <w:top w:w="45" w:type="dxa"/>
                    <w:left w:w="75" w:type="dxa"/>
                    <w:bottom w:w="45" w:type="dxa"/>
                    <w:right w:w="75" w:type="dxa"/>
                  </w:tcMar>
                  <w:vAlign w:val="center"/>
                </w:tcPr>
                <w:p w:rsidR="00AD0E67" w:rsidRDefault="00871784">
                  <w:pPr>
                    <w:spacing w:after="0"/>
                    <w:jc w:val="center"/>
                  </w:pPr>
                  <w:r>
                    <w:rPr>
                      <w:rFonts w:eastAsia="Times New Roman"/>
                      <w:sz w:val="18"/>
                    </w:rPr>
                    <w:t>flat</w:t>
                  </w:r>
                </w:p>
              </w:tc>
            </w:tr>
            <w:tr w:rsidR="00AD0E67">
              <w:trPr>
                <w:cantSplit/>
                <w:jc w:val="center"/>
              </w:trPr>
              <w:tc>
                <w:tcPr>
                  <w:tcW w:w="3000" w:type="dxa"/>
                  <w:tcBorders>
                    <w:bottom w:val="single" w:sz="10" w:space="0" w:color="000000"/>
                  </w:tcBorders>
                  <w:tcMar>
                    <w:top w:w="45" w:type="dxa"/>
                    <w:left w:w="75" w:type="dxa"/>
                    <w:bottom w:w="45" w:type="dxa"/>
                    <w:right w:w="75" w:type="dxa"/>
                  </w:tcMar>
                  <w:vAlign w:val="center"/>
                </w:tcPr>
                <w:p w:rsidR="00AD0E67" w:rsidRDefault="00871784">
                  <w:pPr>
                    <w:spacing w:after="0"/>
                    <w:jc w:val="left"/>
                  </w:pPr>
                  <w:r>
                    <w:rPr>
                      <w:rFonts w:eastAsia="Times New Roman"/>
                      <w:sz w:val="18"/>
                    </w:rPr>
                    <w:t>Zero-shot hallucination</w:t>
                  </w:r>
                </w:p>
              </w:tc>
              <w:tc>
                <w:tcPr>
                  <w:tcW w:w="850" w:type="dxa"/>
                  <w:tcBorders>
                    <w:bottom w:val="single" w:sz="10" w:space="0" w:color="000000"/>
                  </w:tcBorders>
                  <w:tcMar>
                    <w:top w:w="45" w:type="dxa"/>
                    <w:left w:w="75" w:type="dxa"/>
                    <w:bottom w:w="45" w:type="dxa"/>
                    <w:right w:w="75" w:type="dxa"/>
                  </w:tcMar>
                  <w:vAlign w:val="center"/>
                </w:tcPr>
                <w:p w:rsidR="00AD0E67" w:rsidRDefault="00871784">
                  <w:pPr>
                    <w:spacing w:after="0"/>
                    <w:jc w:val="center"/>
                  </w:pPr>
                  <w:r>
                    <w:rPr>
                      <w:rFonts w:eastAsia="Times New Roman"/>
                      <w:sz w:val="18"/>
                    </w:rPr>
                    <w:t>+0.042</w:t>
                  </w:r>
                </w:p>
              </w:tc>
              <w:tc>
                <w:tcPr>
                  <w:tcW w:w="1900" w:type="dxa"/>
                  <w:tcBorders>
                    <w:bottom w:val="single" w:sz="10" w:space="0" w:color="000000"/>
                  </w:tcBorders>
                  <w:tcMar>
                    <w:top w:w="45" w:type="dxa"/>
                    <w:left w:w="75" w:type="dxa"/>
                    <w:bottom w:w="45" w:type="dxa"/>
                    <w:right w:w="75" w:type="dxa"/>
                  </w:tcMar>
                  <w:vAlign w:val="center"/>
                </w:tcPr>
                <w:p w:rsidR="00AD0E67" w:rsidRDefault="00871784">
                  <w:pPr>
                    <w:spacing w:after="0"/>
                    <w:jc w:val="center"/>
                  </w:pPr>
                  <w:r>
                    <w:rPr>
                      <w:rFonts w:eastAsia="Times New Roman"/>
                      <w:sz w:val="18"/>
                    </w:rPr>
                    <w:t>[−0.018, +0.101]</w:t>
                  </w:r>
                </w:p>
              </w:tc>
              <w:tc>
                <w:tcPr>
                  <w:tcW w:w="1050" w:type="dxa"/>
                  <w:tcBorders>
                    <w:bottom w:val="single" w:sz="10" w:space="0" w:color="000000"/>
                  </w:tcBorders>
                  <w:tcMar>
                    <w:top w:w="45" w:type="dxa"/>
                    <w:left w:w="75" w:type="dxa"/>
                    <w:bottom w:w="45" w:type="dxa"/>
                    <w:right w:w="75" w:type="dxa"/>
                  </w:tcMar>
                  <w:vAlign w:val="center"/>
                </w:tcPr>
                <w:p w:rsidR="00AD0E67" w:rsidRDefault="00871784">
                  <w:pPr>
                    <w:spacing w:after="0"/>
                    <w:jc w:val="center"/>
                  </w:pPr>
                  <w:r>
                    <w:rPr>
                      <w:rFonts w:eastAsia="Times New Roman"/>
                      <w:sz w:val="18"/>
                    </w:rPr>
                    <w:t>0.30</w:t>
                  </w:r>
                </w:p>
              </w:tc>
              <w:tc>
                <w:tcPr>
                  <w:tcW w:w="1797" w:type="dxa"/>
                  <w:tcBorders>
                    <w:bottom w:val="single" w:sz="10" w:space="0" w:color="000000"/>
                  </w:tcBorders>
                  <w:tcMar>
                    <w:top w:w="45" w:type="dxa"/>
                    <w:left w:w="75" w:type="dxa"/>
                    <w:bottom w:w="45" w:type="dxa"/>
                    <w:right w:w="75" w:type="dxa"/>
                  </w:tcMar>
                  <w:vAlign w:val="center"/>
                </w:tcPr>
                <w:p w:rsidR="00AD0E67" w:rsidRDefault="00871784">
                  <w:pPr>
                    <w:spacing w:after="0"/>
                    <w:jc w:val="center"/>
                  </w:pPr>
                  <w:r>
                    <w:rPr>
                      <w:rFonts w:eastAsia="Times New Roman"/>
                      <w:sz w:val="18"/>
                    </w:rPr>
                    <w:t>flat</w:t>
                  </w:r>
                </w:p>
              </w:tc>
            </w:tr>
          </w:tbl>
          <w:p w:rsidR="00AD0E67" w:rsidRDefault="00AD0E67">
            <w:pPr>
              <w:spacing w:after="0" w:line="60" w:lineRule="exact"/>
            </w:pPr>
          </w:p>
        </w:tc>
      </w:tr>
    </w:tbl>
    <w:p w:rsidR="00395FBF" w:rsidRDefault="00395FBF" w:rsidP="00395FBF">
      <w:pPr>
        <w:keepLines/>
        <w:spacing w:after="0"/>
      </w:pPr>
      <w:r w:rsidRPr="00395FBF">
        <w:lastRenderedPageBreak/>
        <w:t xml:space="preserve">The code-mixing measure itself required repair. The original index counted the English words “doctor” and “please” as Hindi; they occur in 68.2% and 35.7% of the 1,165 evaluated queries respectively (71.0% and 38.0% across all 3,015 queries), distorting measured intensity. Two hallucination effects reported </w:t>
      </w:r>
      <w:r w:rsidR="00556B55">
        <w:t>under the original measure did no</w:t>
      </w:r>
      <w:r w:rsidRPr="00395FBF">
        <w:t>t survive the repaired lexicon and are withdrawn. All correlations above use the repaired measure.</w:t>
      </w:r>
    </w:p>
    <w:p w:rsidR="00395FBF" w:rsidRPr="00200DCA" w:rsidRDefault="00395FBF" w:rsidP="00395FBF">
      <w:pPr>
        <w:pStyle w:val="ICCSDIHeading2"/>
        <w:spacing w:before="0" w:after="0"/>
        <w:rPr>
          <w:rFonts w:eastAsia="Times New Roman"/>
          <w:sz w:val="16"/>
          <w:szCs w:val="16"/>
        </w:rPr>
      </w:pPr>
    </w:p>
    <w:p w:rsidR="00AD0E67" w:rsidRDefault="00871784" w:rsidP="00395FBF">
      <w:pPr>
        <w:pStyle w:val="ICCSDIHeading2"/>
        <w:spacing w:before="0"/>
      </w:pPr>
      <w:proofErr w:type="gramStart"/>
      <w:proofErr w:type="gramEnd"/>
      <w:r>
        <w:rPr>
          <w:rFonts w:eastAsia="Times New Roman"/>
        </w:rPr>
        <w:t>5.5  Evidence Provenance (H03)</w:t>
      </w:r>
      <w:commentRangeStart w:id="36"/>
      <w:r>
        <w:rPr>
          <w:rFonts w:eastAsia="Times New Roman"/>
          <w:highlight w:val="cyan"/>
        </w:rPr>
        <w:t>: Exploratory</w:t>
      </w:r>
      <w:commentRangeEnd w:id="36"/>
      <w:r>
        <w:rPr>
          <w:rStyle w:val="CommentReference"/>
        </w:rPr>
        <w:commentReference w:id="36"/>
      </w:r>
    </w:p>
    <w:p w:rsidR="007F55A6" w:rsidRDefault="007F55A6">
      <w:pPr>
        <w:keepLines/>
        <w:rPr>
          <w:rFonts w:eastAsia="Times New Roman"/>
        </w:rPr>
      </w:pPr>
      <w:r w:rsidRPr="007F55A6">
        <w:rPr>
          <w:rFonts w:eastAsia="Times New Roman"/>
        </w:rPr>
        <w:t>Does authoritative case evidence beat general biomedical text? The candidate corpora differ enormously in topical coverage of the 18 condition groups (</w:t>
      </w:r>
      <w:proofErr w:type="spellStart"/>
      <w:r w:rsidRPr="007F55A6">
        <w:rPr>
          <w:rFonts w:eastAsia="Times New Roman"/>
        </w:rPr>
        <w:t>MultiCaRe</w:t>
      </w:r>
      <w:proofErr w:type="spellEnd"/>
      <w:r w:rsidRPr="007F55A6">
        <w:rPr>
          <w:rFonts w:eastAsia="Times New Roman"/>
        </w:rPr>
        <w:t xml:space="preserve"> 67.9%, </w:t>
      </w:r>
      <w:proofErr w:type="spellStart"/>
      <w:r w:rsidRPr="007F55A6">
        <w:rPr>
          <w:rFonts w:eastAsia="Times New Roman"/>
        </w:rPr>
        <w:t>MMedBench</w:t>
      </w:r>
      <w:proofErr w:type="spellEnd"/>
      <w:r w:rsidRPr="007F55A6">
        <w:rPr>
          <w:rFonts w:eastAsia="Times New Roman"/>
        </w:rPr>
        <w:t xml:space="preserve">-English 16.4%, </w:t>
      </w:r>
      <w:proofErr w:type="spellStart"/>
      <w:proofErr w:type="gramStart"/>
      <w:r w:rsidRPr="007F55A6">
        <w:rPr>
          <w:rFonts w:eastAsia="Times New Roman"/>
        </w:rPr>
        <w:t>PubMedQA</w:t>
      </w:r>
      <w:proofErr w:type="spellEnd"/>
      <w:proofErr w:type="gramEnd"/>
      <w:r w:rsidRPr="007F55A6">
        <w:rPr>
          <w:rFonts w:eastAsia="Times New Roman"/>
        </w:rPr>
        <w:t xml:space="preserve"> 2.1%), so an unmatched comparison would measure corpus topicality, not evidence provenance. Four matched corpora of 1,872 documents each are constructed: </w:t>
      </w:r>
      <w:proofErr w:type="spellStart"/>
      <w:r w:rsidRPr="007F55A6">
        <w:rPr>
          <w:rFonts w:eastAsia="Times New Roman"/>
        </w:rPr>
        <w:t>MultiCaRe</w:t>
      </w:r>
      <w:proofErr w:type="spellEnd"/>
      <w:r w:rsidRPr="007F55A6">
        <w:rPr>
          <w:rFonts w:eastAsia="Times New Roman"/>
        </w:rPr>
        <w:t xml:space="preserve"> case reports, </w:t>
      </w:r>
      <w:proofErr w:type="spellStart"/>
      <w:r w:rsidRPr="007F55A6">
        <w:rPr>
          <w:rFonts w:eastAsia="Times New Roman"/>
        </w:rPr>
        <w:t>PubMedQA</w:t>
      </w:r>
      <w:proofErr w:type="spellEnd"/>
      <w:r w:rsidRPr="007F55A6">
        <w:rPr>
          <w:rFonts w:eastAsia="Times New Roman"/>
        </w:rPr>
        <w:t xml:space="preserve"> abstracts, </w:t>
      </w:r>
      <w:proofErr w:type="spellStart"/>
      <w:r w:rsidRPr="007F55A6">
        <w:rPr>
          <w:rFonts w:eastAsia="Times New Roman"/>
        </w:rPr>
        <w:t>MMedBench</w:t>
      </w:r>
      <w:proofErr w:type="spellEnd"/>
      <w:r w:rsidRPr="007F55A6">
        <w:rPr>
          <w:rFonts w:eastAsia="Times New Roman"/>
        </w:rPr>
        <w:t xml:space="preserve"> English exam text, and a sentence-shuffled </w:t>
      </w:r>
      <w:proofErr w:type="spellStart"/>
      <w:r w:rsidRPr="007F55A6">
        <w:rPr>
          <w:rFonts w:eastAsia="Times New Roman"/>
        </w:rPr>
        <w:t>MultiCaRe</w:t>
      </w:r>
      <w:proofErr w:type="spellEnd"/>
      <w:r w:rsidRPr="007F55A6">
        <w:rPr>
          <w:rFonts w:eastAsia="Times New Roman"/>
        </w:rPr>
        <w:t xml:space="preserve"> control; gpt-oss-120b answers n = 160 queries under each condition.</w:t>
      </w:r>
    </w:p>
    <w:p w:rsidR="00AD0E67" w:rsidRDefault="00871784" w:rsidP="007F55A6">
      <w:pPr>
        <w:keepNext/>
        <w:keepLines/>
        <w:spacing w:after="0"/>
        <w:rPr>
          <w:rFonts w:eastAsia="Times New Roman"/>
        </w:rPr>
      </w:pPr>
      <w:proofErr w:type="spellStart"/>
      <w:proofErr w:type="spellEnd"/>
      <w:proofErr w:type="spellStart"/>
      <w:proofErr w:type="gramStart"/>
      <w:proofErr w:type="spellEnd"/>
      <w:proofErr w:type="gramEnd"/>
      <w:proofErr w:type="spellStart"/>
      <w:proofErr w:type="spellEnd"/>
      <w:commentRangeStart w:id="37"/>
      <w:r>
        <w:rPr>
          <w:rFonts w:eastAsia="Times New Roman"/>
          <w:highlight w:val="yellow"/>
        </w:rPr>
        <w:t xml:space="preserve">H03’s primary outcome, answer quality, could not be tested adequately: pairwise F1 differences are small and none is significant, and the four-way omnibus rests on only 13 of 160 queries scoreable under all four conditions; with refusal rates of 76–88%, that joint event has probability near 0.1%. Moreover, most “scoreable” answers are also refusals — hedges that decline to answer yet name a concept (MultiCaRe: 59 of 63; Table 6) — so the F1 column rests largely on refusals, and requiring a genuine answer leaves no query usable under all four conditions. H03 is therefore neither rejected nor supported. </w:t>
      </w:r>
      <w:commentRangeEnd w:id="37"/>
      <w:r>
        <w:rPr>
          <w:rStyle w:val="CommentReference"/>
        </w:rPr>
        <w:commentReference w:id="37"/>
      </w:r>
      <w:r>
        <w:rPr>
          <w:rFonts w:eastAsia="Times New Roman"/>
        </w:rPr>
        <w:t xml:space="preserve">As a </w:t>
      </w:r>
      <w:r>
        <w:rPr>
          <w:rFonts w:eastAsia="Times New Roman"/>
          <w:highlight w:val="yellow"/>
        </w:rPr>
        <w:t>secondary outcome on a different dependent variable, provenance</w:t>
      </w:r>
      <w:r>
        <w:rPr>
          <w:rFonts w:eastAsia="Times New Roman"/>
        </w:rPr>
        <w:t xml:space="preserve"> significantly changes refusal behaviour (Cochran’s Q = 9.09, df = 3, p = 0.028; Table 6), and in the opposite of the expected direction: case reports, the “authoritative” source, provoke the most refusals (88.1%); exam text provokes the fewest (76.2%). </w:t>
      </w:r>
      <w:r>
        <w:rPr>
          <w:rFonts w:eastAsia="Times New Roman"/>
          <w:highlight w:val="green"/>
        </w:rPr>
        <w:t xml:space="preserve">A powered replication needs the low-refusal prompt already implemented and roughly 77 queries for 50 usable ones; at the refusal rates observed here the same design needs 616 queries (about 2.8 million generation tokens), which is why it was not run. </w:t>
      </w:r>
      <w:r>
        <w:rPr>
          <w:rFonts w:eastAsia="Times New Roman"/>
        </w:rPr>
        <w:t>This is absence of evidence, not evidence of absence</w:t>
      </w:r>
      <w:r>
        <w:rPr>
          <w:rFonts w:eastAsia="Times New Roman"/>
          <w:highlight w:val="yellow"/>
        </w:rPr>
        <w:t>, and the result is provisional.</w:t>
      </w:r>
    </w:p>
    <w:p w:rsidR="007F55A6" w:rsidRPr="007F55A6" w:rsidRDefault="007F55A6" w:rsidP="007F55A6">
      <w:pPr>
        <w:pStyle w:val="ICCSDICaption"/>
        <w:keepLines/>
        <w:spacing w:before="0" w:after="0"/>
        <w:rPr>
          <w:rFonts w:eastAsia="Times New Roman"/>
          <w:sz w:val="10"/>
          <w:szCs w:val="14"/>
        </w:rPr>
      </w:pPr>
    </w:p>
    <w:p w:rsidR="00AD0E67" w:rsidRDefault="00871784" w:rsidP="007F55A6">
      <w:pPr>
        <w:pStyle w:val="ICCSDICaption"/>
        <w:keepLines/>
        <w:spacing w:before="0"/>
      </w:pPr>
      <w:proofErr w:type="gramStart"/>
      <w:proofErr w:type="gramEnd"/>
      <w:r>
        <w:rPr>
          <w:rFonts w:eastAsia="Times New Roman"/>
        </w:rPr>
        <w:t xml:space="preserve">Table 6  Evidence-provenance conditions on four topically matched corpora of 1,872 documents each (gpt-oss-120b, </w:t>
      </w:r>
      <w:r>
        <w:rPr>
          <w:rFonts w:eastAsia="Times New Roman"/>
          <w:i/>
        </w:rPr>
        <w:t>n</w:t>
      </w:r>
      <w:r>
        <w:rPr>
          <w:rFonts w:eastAsia="Times New Roman"/>
        </w:rPr>
        <w:t xml:space="preserve"> = 160 per condition). </w:t>
      </w:r>
      <w:commentRangeStart w:id="38"/>
      <w:r>
        <w:rPr>
          <w:rFonts w:eastAsia="Times New Roman"/>
          <w:highlight w:val="green"/>
        </w:rPr>
        <w:t>“Also refusal” counts scoreable answers that the refusal detector also flagged.</w:t>
      </w:r>
      <w:commentRangeEnd w:id="38"/>
      <w:r>
        <w:rPr>
          <w:rStyle w:val="CommentReference"/>
        </w:rPr>
        <w:commentReference w:id="38"/>
      </w:r>
    </w:p>
    <w:tbl>
      <w:tblPr>
        <w:tblW w:w="0" w:type="auto"/>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597"/>
      </w:tblGrid>
      <w:tr w:rsidR="00AD0E67">
        <w:trPr>
          <w:cantSplit/>
          <w:jc w:val="center"/>
        </w:trPr>
        <w:tc>
          <w:tcPr>
            <w:tcW w:w="8597" w:type="dxa"/>
            <w:tcMar>
              <w:top w:w="0" w:type="dxa"/>
              <w:left w:w="0" w:type="dxa"/>
              <w:bottom w:w="0" w:type="dxa"/>
              <w:right w:w="0" w:type="dxa"/>
            </w:tcMar>
          </w:tcPr>
          <w:tbl>
            <w:tblPr>
              <w:tblW w:w="0" w:type="auto"/>
              <w:jc w:val="center"/>
              <w:tblLayout w:type="fixed"/>
              <w:tblLook w:val="04A0" w:firstRow="1" w:lastRow="0" w:firstColumn="1" w:lastColumn="0" w:noHBand="0" w:noVBand="1"/>
            </w:tblPr>
            <w:tblGrid>
              <w:gridCol w:w="2700"/>
              <w:gridCol w:w="1100"/>
              <w:gridCol w:w="1200"/>
              <w:gridCol w:w="1400"/>
              <w:gridCol w:w="1600"/>
            </w:tblGrid>
            <w:tr w:rsidR="00AD0E67">
              <w:trPr>
                <w:cantSplit/>
                <w:tblHeader/>
                <w:jc w:val="center"/>
              </w:trPr>
              <w:tc>
                <w:tcPr>
                  <w:tcW w:w="2700" w:type="dxa"/>
                  <w:tcBorders>
                    <w:top w:val="single" w:sz="10" w:space="0" w:color="000000"/>
                    <w:bottom w:val="single" w:sz="8" w:space="0" w:color="000000"/>
                  </w:tcBorders>
                  <w:shd w:val="clear" w:color="auto" w:fill="EDEDED"/>
                  <w:tcMar>
                    <w:top w:w="55" w:type="dxa"/>
                    <w:left w:w="75" w:type="dxa"/>
                    <w:bottom w:w="55" w:type="dxa"/>
                    <w:right w:w="75" w:type="dxa"/>
                  </w:tcMar>
                  <w:vAlign w:val="center"/>
                </w:tcPr>
                <w:p w:rsidR="00AD0E67" w:rsidRDefault="00871784">
                  <w:pPr>
                    <w:spacing w:after="0"/>
                    <w:jc w:val="left"/>
                  </w:pPr>
                  <w:commentRangeStart w:id="39"/>
                  <w:r>
                    <w:rPr>
                      <w:rFonts w:eastAsia="Times New Roman"/>
                      <w:b/>
                      <w:sz w:val="18"/>
                    </w:rPr>
                    <w:t>Evidence corpus</w:t>
                  </w:r>
                  <w:commentRangeEnd w:id="39"/>
                  <w:r>
                    <w:rPr>
                      <w:rStyle w:val="CommentReference"/>
                    </w:rPr>
                    <w:commentReference w:id="39"/>
                  </w:r>
                </w:p>
              </w:tc>
              <w:tc>
                <w:tcPr>
                  <w:tcW w:w="1100" w:type="dxa"/>
                  <w:tcBorders>
                    <w:top w:val="single" w:sz="10" w:space="0" w:color="000000"/>
                    <w:bottom w:val="single" w:sz="8" w:space="0" w:color="000000"/>
                  </w:tcBorders>
                  <w:shd w:val="clear" w:color="auto" w:fill="EDEDED"/>
                  <w:tcMar>
                    <w:top w:w="55" w:type="dxa"/>
                    <w:left w:w="75" w:type="dxa"/>
                    <w:bottom w:w="55" w:type="dxa"/>
                    <w:right w:w="75" w:type="dxa"/>
                  </w:tcMar>
                  <w:vAlign w:val="center"/>
                </w:tcPr>
                <w:p w:rsidR="00AD0E67" w:rsidRDefault="00871784">
                  <w:pPr>
                    <w:spacing w:after="0"/>
                    <w:jc w:val="center"/>
                  </w:pPr>
                  <w:r>
                    <w:rPr>
                      <w:rFonts w:eastAsia="Times New Roman"/>
                      <w:b/>
                      <w:sz w:val="18"/>
                    </w:rPr>
                    <w:t>Refusal</w:t>
                  </w:r>
                </w:p>
              </w:tc>
              <w:tc>
                <w:tcPr>
                  <w:tcW w:w="1200" w:type="dxa"/>
                  <w:tcBorders>
                    <w:top w:val="single" w:sz="10" w:space="0" w:color="000000"/>
                    <w:bottom w:val="single" w:sz="8" w:space="0" w:color="000000"/>
                  </w:tcBorders>
                  <w:shd w:val="clear" w:color="auto" w:fill="EDEDED"/>
                  <w:tcMar>
                    <w:top w:w="55" w:type="dxa"/>
                    <w:left w:w="75" w:type="dxa"/>
                    <w:bottom w:w="55" w:type="dxa"/>
                    <w:right w:w="75" w:type="dxa"/>
                  </w:tcMar>
                  <w:vAlign w:val="center"/>
                </w:tcPr>
                <w:p w:rsidR="00AD0E67" w:rsidRDefault="00871784">
                  <w:pPr>
                    <w:spacing w:after="0"/>
                    <w:jc w:val="center"/>
                  </w:pPr>
                  <w:r>
                    <w:rPr>
                      <w:rFonts w:eastAsia="Times New Roman"/>
                      <w:b/>
                      <w:sz w:val="18"/>
                    </w:rPr>
                    <w:t>Mean F1</w:t>
                  </w:r>
                </w:p>
              </w:tc>
              <w:tc>
                <w:tcPr>
                  <w:tcW w:w="1400" w:type="dxa"/>
                  <w:tcBorders>
                    <w:top w:val="single" w:sz="10" w:space="0" w:color="000000"/>
                    <w:bottom w:val="single" w:sz="8" w:space="0" w:color="000000"/>
                  </w:tcBorders>
                  <w:shd w:val="clear" w:color="auto" w:fill="EDEDED"/>
                  <w:tcMar>
                    <w:top w:w="55" w:type="dxa"/>
                    <w:left w:w="75" w:type="dxa"/>
                    <w:bottom w:w="55" w:type="dxa"/>
                    <w:right w:w="75" w:type="dxa"/>
                  </w:tcMar>
                  <w:vAlign w:val="center"/>
                </w:tcPr>
                <w:p w:rsidR="00AD0E67" w:rsidRDefault="00871784">
                  <w:pPr>
                    <w:spacing w:after="0"/>
                    <w:jc w:val="center"/>
                  </w:pPr>
                  <w:r>
                    <w:rPr>
                      <w:rFonts w:eastAsia="Times New Roman"/>
                      <w:b/>
                      <w:sz w:val="18"/>
                    </w:rPr>
                    <w:t>n scoreable</w:t>
                  </w:r>
                </w:p>
              </w:tc>
              <w:tc>
                <w:tcPr>
                  <w:tcW w:w="1600" w:type="dxa"/>
                  <w:tcBorders>
                    <w:top w:val="single" w:sz="10" w:space="0" w:color="000000"/>
                    <w:bottom w:val="single" w:sz="8" w:space="0" w:color="000000"/>
                  </w:tcBorders>
                  <w:shd w:val="clear" w:color="auto" w:fill="EDEDED"/>
                  <w:tcMar>
                    <w:top w:w="55" w:type="dxa"/>
                    <w:left w:w="75" w:type="dxa"/>
                    <w:bottom w:w="55" w:type="dxa"/>
                    <w:right w:w="75" w:type="dxa"/>
                  </w:tcMar>
                  <w:vAlign w:val="center"/>
                </w:tcPr>
                <w:p w:rsidR="00AD0E67" w:rsidRDefault="00871784">
                  <w:pPr>
                    <w:spacing w:after="0"/>
                    <w:jc w:val="center"/>
                  </w:pPr>
                  <w:r>
                    <w:rPr>
                      <w:rFonts w:eastAsia="Times New Roman"/>
                      <w:b/>
                      <w:sz w:val="18"/>
                      <w:highlight w:val="green"/>
                    </w:rPr>
                    <w:t>Also refusal</w:t>
                  </w:r>
                </w:p>
              </w:tc>
            </w:tr>
            <w:tr w:rsidR="00AD0E67">
              <w:trPr>
                <w:cantSplit/>
                <w:jc w:val="center"/>
              </w:trPr>
              <w:tc>
                <w:tcPr>
                  <w:tcW w:w="2700" w:type="dxa"/>
                  <w:tcMar>
                    <w:top w:w="45" w:type="dxa"/>
                    <w:left w:w="75" w:type="dxa"/>
                    <w:bottom w:w="45" w:type="dxa"/>
                    <w:right w:w="75" w:type="dxa"/>
                  </w:tcMar>
                  <w:vAlign w:val="center"/>
                </w:tcPr>
                <w:p w:rsidR="00AD0E67" w:rsidRDefault="00871784">
                  <w:pPr>
                    <w:spacing w:after="0"/>
                    <w:jc w:val="left"/>
                  </w:pPr>
                  <w:r>
                    <w:rPr>
                      <w:rFonts w:eastAsia="Times New Roman"/>
                      <w:sz w:val="18"/>
                    </w:rPr>
                    <w:t>MultiCaRe (case reports)</w:t>
                  </w:r>
                </w:p>
              </w:tc>
              <w:tc>
                <w:tcPr>
                  <w:tcW w:w="1100" w:type="dxa"/>
                  <w:tcMar>
                    <w:top w:w="45" w:type="dxa"/>
                    <w:left w:w="75" w:type="dxa"/>
                    <w:bottom w:w="45" w:type="dxa"/>
                    <w:right w:w="75" w:type="dxa"/>
                  </w:tcMar>
                  <w:vAlign w:val="center"/>
                </w:tcPr>
                <w:p w:rsidR="00AD0E67" w:rsidRDefault="00871784">
                  <w:pPr>
                    <w:spacing w:after="0"/>
                    <w:jc w:val="center"/>
                  </w:pPr>
                  <w:r>
                    <w:rPr>
                      <w:rFonts w:eastAsia="Times New Roman"/>
                      <w:sz w:val="18"/>
                    </w:rPr>
                    <w:t>88.1%</w:t>
                  </w:r>
                </w:p>
              </w:tc>
              <w:tc>
                <w:tcPr>
                  <w:tcW w:w="1200" w:type="dxa"/>
                  <w:tcMar>
                    <w:top w:w="45" w:type="dxa"/>
                    <w:left w:w="75" w:type="dxa"/>
                    <w:bottom w:w="45" w:type="dxa"/>
                    <w:right w:w="75" w:type="dxa"/>
                  </w:tcMar>
                  <w:vAlign w:val="center"/>
                </w:tcPr>
                <w:p w:rsidR="00AD0E67" w:rsidRDefault="00871784">
                  <w:pPr>
                    <w:spacing w:after="0"/>
                    <w:jc w:val="center"/>
                  </w:pPr>
                  <w:r>
                    <w:rPr>
                      <w:rFonts w:eastAsia="Times New Roman"/>
                      <w:sz w:val="18"/>
                    </w:rPr>
                    <w:t>0.3265</w:t>
                  </w:r>
                </w:p>
              </w:tc>
              <w:tc>
                <w:tcPr>
                  <w:tcW w:w="1400" w:type="dxa"/>
                  <w:tcMar>
                    <w:top w:w="45" w:type="dxa"/>
                    <w:left w:w="75" w:type="dxa"/>
                    <w:bottom w:w="45" w:type="dxa"/>
                    <w:right w:w="75" w:type="dxa"/>
                  </w:tcMar>
                  <w:vAlign w:val="center"/>
                </w:tcPr>
                <w:p w:rsidR="00AD0E67" w:rsidRDefault="00871784">
                  <w:pPr>
                    <w:spacing w:after="0"/>
                    <w:jc w:val="center"/>
                  </w:pPr>
                  <w:r>
                    <w:rPr>
                      <w:rFonts w:eastAsia="Times New Roman"/>
                      <w:sz w:val="18"/>
                    </w:rPr>
                    <w:t>63</w:t>
                  </w:r>
                </w:p>
              </w:tc>
              <w:tc>
                <w:tcPr>
                  <w:tcW w:w="1600" w:type="dxa"/>
                  <w:tcMar>
                    <w:top w:w="45" w:type="dxa"/>
                    <w:left w:w="75" w:type="dxa"/>
                    <w:bottom w:w="45" w:type="dxa"/>
                    <w:right w:w="75" w:type="dxa"/>
                  </w:tcMar>
                  <w:vAlign w:val="center"/>
                </w:tcPr>
                <w:p w:rsidR="00AD0E67" w:rsidRDefault="00871784">
                  <w:pPr>
                    <w:spacing w:after="0"/>
                    <w:jc w:val="center"/>
                  </w:pPr>
                  <w:r>
                    <w:rPr>
                      <w:rFonts w:eastAsia="Times New Roman"/>
                      <w:sz w:val="18"/>
                      <w:highlight w:val="green"/>
                    </w:rPr>
                    <w:t>59</w:t>
                  </w:r>
                </w:p>
              </w:tc>
            </w:tr>
            <w:tr w:rsidR="00AD0E67">
              <w:trPr>
                <w:cantSplit/>
                <w:jc w:val="center"/>
              </w:trPr>
              <w:tc>
                <w:tcPr>
                  <w:tcW w:w="2700" w:type="dxa"/>
                  <w:tcMar>
                    <w:top w:w="45" w:type="dxa"/>
                    <w:left w:w="75" w:type="dxa"/>
                    <w:bottom w:w="45" w:type="dxa"/>
                    <w:right w:w="75" w:type="dxa"/>
                  </w:tcMar>
                  <w:vAlign w:val="center"/>
                </w:tcPr>
                <w:p w:rsidR="00AD0E67" w:rsidRDefault="00871784">
                  <w:pPr>
                    <w:spacing w:after="0"/>
                    <w:jc w:val="left"/>
                  </w:pPr>
                  <w:r>
                    <w:rPr>
                      <w:rFonts w:eastAsia="Times New Roman"/>
                      <w:sz w:val="18"/>
                    </w:rPr>
                    <w:t>Shuffled MultiCaRe control</w:t>
                  </w:r>
                </w:p>
              </w:tc>
              <w:tc>
                <w:tcPr>
                  <w:tcW w:w="1100" w:type="dxa"/>
                  <w:tcMar>
                    <w:top w:w="45" w:type="dxa"/>
                    <w:left w:w="75" w:type="dxa"/>
                    <w:bottom w:w="45" w:type="dxa"/>
                    <w:right w:w="75" w:type="dxa"/>
                  </w:tcMar>
                  <w:vAlign w:val="center"/>
                </w:tcPr>
                <w:p w:rsidR="00AD0E67" w:rsidRDefault="00871784">
                  <w:pPr>
                    <w:spacing w:after="0"/>
                    <w:jc w:val="center"/>
                  </w:pPr>
                  <w:r>
                    <w:rPr>
                      <w:rFonts w:eastAsia="Times New Roman"/>
                      <w:sz w:val="18"/>
                    </w:rPr>
                    <w:t>82.5%</w:t>
                  </w:r>
                </w:p>
              </w:tc>
              <w:tc>
                <w:tcPr>
                  <w:tcW w:w="1200" w:type="dxa"/>
                  <w:tcMar>
                    <w:top w:w="45" w:type="dxa"/>
                    <w:left w:w="75" w:type="dxa"/>
                    <w:bottom w:w="45" w:type="dxa"/>
                    <w:right w:w="75" w:type="dxa"/>
                  </w:tcMar>
                  <w:vAlign w:val="center"/>
                </w:tcPr>
                <w:p w:rsidR="00AD0E67" w:rsidRDefault="00871784">
                  <w:pPr>
                    <w:spacing w:after="0"/>
                    <w:jc w:val="center"/>
                  </w:pPr>
                  <w:r>
                    <w:rPr>
                      <w:rFonts w:eastAsia="Times New Roman"/>
                      <w:sz w:val="18"/>
                    </w:rPr>
                    <w:t>0.3186</w:t>
                  </w:r>
                </w:p>
              </w:tc>
              <w:tc>
                <w:tcPr>
                  <w:tcW w:w="1400" w:type="dxa"/>
                  <w:tcMar>
                    <w:top w:w="45" w:type="dxa"/>
                    <w:left w:w="75" w:type="dxa"/>
                    <w:bottom w:w="45" w:type="dxa"/>
                    <w:right w:w="75" w:type="dxa"/>
                  </w:tcMar>
                  <w:vAlign w:val="center"/>
                </w:tcPr>
                <w:p w:rsidR="00AD0E67" w:rsidRDefault="00871784">
                  <w:pPr>
                    <w:spacing w:after="0"/>
                    <w:jc w:val="center"/>
                  </w:pPr>
                  <w:r>
                    <w:rPr>
                      <w:rFonts w:eastAsia="Times New Roman"/>
                      <w:sz w:val="18"/>
                    </w:rPr>
                    <w:t>61</w:t>
                  </w:r>
                </w:p>
              </w:tc>
              <w:tc>
                <w:tcPr>
                  <w:tcW w:w="1600" w:type="dxa"/>
                  <w:tcMar>
                    <w:top w:w="45" w:type="dxa"/>
                    <w:left w:w="75" w:type="dxa"/>
                    <w:bottom w:w="45" w:type="dxa"/>
                    <w:right w:w="75" w:type="dxa"/>
                  </w:tcMar>
                  <w:vAlign w:val="center"/>
                </w:tcPr>
                <w:p w:rsidR="00AD0E67" w:rsidRDefault="00871784">
                  <w:pPr>
                    <w:spacing w:after="0"/>
                    <w:jc w:val="center"/>
                  </w:pPr>
                  <w:r>
                    <w:rPr>
                      <w:rFonts w:eastAsia="Times New Roman"/>
                      <w:sz w:val="18"/>
                      <w:highlight w:val="green"/>
                    </w:rPr>
                    <w:t>53</w:t>
                  </w:r>
                </w:p>
              </w:tc>
            </w:tr>
            <w:tr w:rsidR="00AD0E67">
              <w:trPr>
                <w:cantSplit/>
                <w:jc w:val="center"/>
              </w:trPr>
              <w:tc>
                <w:tcPr>
                  <w:tcW w:w="2700" w:type="dxa"/>
                  <w:tcMar>
                    <w:top w:w="45" w:type="dxa"/>
                    <w:left w:w="75" w:type="dxa"/>
                    <w:bottom w:w="45" w:type="dxa"/>
                    <w:right w:w="75" w:type="dxa"/>
                  </w:tcMar>
                  <w:vAlign w:val="center"/>
                </w:tcPr>
                <w:p w:rsidR="00AD0E67" w:rsidRDefault="00871784">
                  <w:pPr>
                    <w:spacing w:after="0"/>
                    <w:jc w:val="left"/>
                  </w:pPr>
                  <w:r>
                    <w:rPr>
                      <w:rFonts w:eastAsia="Times New Roman"/>
                      <w:sz w:val="18"/>
                    </w:rPr>
                    <w:t>PubMedQA (abstracts)</w:t>
                  </w:r>
                </w:p>
              </w:tc>
              <w:tc>
                <w:tcPr>
                  <w:tcW w:w="1100" w:type="dxa"/>
                  <w:tcMar>
                    <w:top w:w="45" w:type="dxa"/>
                    <w:left w:w="75" w:type="dxa"/>
                    <w:bottom w:w="45" w:type="dxa"/>
                    <w:right w:w="75" w:type="dxa"/>
                  </w:tcMar>
                  <w:vAlign w:val="center"/>
                </w:tcPr>
                <w:p w:rsidR="00AD0E67" w:rsidRDefault="00871784">
                  <w:pPr>
                    <w:spacing w:after="0"/>
                    <w:jc w:val="center"/>
                  </w:pPr>
                  <w:r>
                    <w:rPr>
                      <w:rFonts w:eastAsia="Times New Roman"/>
                      <w:sz w:val="18"/>
                    </w:rPr>
                    <w:t>79.4%</w:t>
                  </w:r>
                </w:p>
              </w:tc>
              <w:tc>
                <w:tcPr>
                  <w:tcW w:w="1200" w:type="dxa"/>
                  <w:tcMar>
                    <w:top w:w="45" w:type="dxa"/>
                    <w:left w:w="75" w:type="dxa"/>
                    <w:bottom w:w="45" w:type="dxa"/>
                    <w:right w:w="75" w:type="dxa"/>
                  </w:tcMar>
                  <w:vAlign w:val="center"/>
                </w:tcPr>
                <w:p w:rsidR="00AD0E67" w:rsidRDefault="00871784">
                  <w:pPr>
                    <w:spacing w:after="0"/>
                    <w:jc w:val="center"/>
                  </w:pPr>
                  <w:r>
                    <w:rPr>
                      <w:rFonts w:eastAsia="Times New Roman"/>
                      <w:sz w:val="18"/>
                    </w:rPr>
                    <w:t>0.3476</w:t>
                  </w:r>
                </w:p>
              </w:tc>
              <w:tc>
                <w:tcPr>
                  <w:tcW w:w="1400" w:type="dxa"/>
                  <w:tcMar>
                    <w:top w:w="45" w:type="dxa"/>
                    <w:left w:w="75" w:type="dxa"/>
                    <w:bottom w:w="45" w:type="dxa"/>
                    <w:right w:w="75" w:type="dxa"/>
                  </w:tcMar>
                  <w:vAlign w:val="center"/>
                </w:tcPr>
                <w:p w:rsidR="00AD0E67" w:rsidRDefault="00871784">
                  <w:pPr>
                    <w:spacing w:after="0"/>
                    <w:jc w:val="center"/>
                  </w:pPr>
                  <w:r>
                    <w:rPr>
                      <w:rFonts w:eastAsia="Times New Roman"/>
                      <w:sz w:val="18"/>
                    </w:rPr>
                    <w:t>70</w:t>
                  </w:r>
                </w:p>
              </w:tc>
              <w:tc>
                <w:tcPr>
                  <w:tcW w:w="1600" w:type="dxa"/>
                  <w:tcMar>
                    <w:top w:w="45" w:type="dxa"/>
                    <w:left w:w="75" w:type="dxa"/>
                    <w:bottom w:w="45" w:type="dxa"/>
                    <w:right w:w="75" w:type="dxa"/>
                  </w:tcMar>
                  <w:vAlign w:val="center"/>
                </w:tcPr>
                <w:p w:rsidR="00AD0E67" w:rsidRDefault="00871784">
                  <w:pPr>
                    <w:spacing w:after="0"/>
                    <w:jc w:val="center"/>
                  </w:pPr>
                  <w:r>
                    <w:rPr>
                      <w:rFonts w:eastAsia="Times New Roman"/>
                      <w:sz w:val="18"/>
                      <w:highlight w:val="green"/>
                    </w:rPr>
                    <w:t>53</w:t>
                  </w:r>
                </w:p>
              </w:tc>
            </w:tr>
            <w:tr w:rsidR="00AD0E67">
              <w:trPr>
                <w:cantSplit/>
                <w:jc w:val="center"/>
              </w:trPr>
              <w:tc>
                <w:tcPr>
                  <w:tcW w:w="2700" w:type="dxa"/>
                  <w:tcBorders>
                    <w:bottom w:val="single" w:sz="10" w:space="0" w:color="000000"/>
                  </w:tcBorders>
                  <w:tcMar>
                    <w:top w:w="45" w:type="dxa"/>
                    <w:left w:w="75" w:type="dxa"/>
                    <w:bottom w:w="45" w:type="dxa"/>
                    <w:right w:w="75" w:type="dxa"/>
                  </w:tcMar>
                  <w:vAlign w:val="center"/>
                </w:tcPr>
                <w:p w:rsidR="00AD0E67" w:rsidRDefault="00871784">
                  <w:pPr>
                    <w:spacing w:after="0"/>
                    <w:jc w:val="left"/>
                  </w:pPr>
                  <w:r>
                    <w:rPr>
                      <w:rFonts w:eastAsia="Times New Roman"/>
                      <w:sz w:val="18"/>
                    </w:rPr>
                    <w:t>MMedBench (exam text)</w:t>
                  </w:r>
                </w:p>
              </w:tc>
              <w:tc>
                <w:tcPr>
                  <w:tcW w:w="1100" w:type="dxa"/>
                  <w:tcBorders>
                    <w:bottom w:val="single" w:sz="10" w:space="0" w:color="000000"/>
                  </w:tcBorders>
                  <w:tcMar>
                    <w:top w:w="45" w:type="dxa"/>
                    <w:left w:w="75" w:type="dxa"/>
                    <w:bottom w:w="45" w:type="dxa"/>
                    <w:right w:w="75" w:type="dxa"/>
                  </w:tcMar>
                  <w:vAlign w:val="center"/>
                </w:tcPr>
                <w:p w:rsidR="00AD0E67" w:rsidRDefault="00871784">
                  <w:pPr>
                    <w:spacing w:after="0"/>
                    <w:jc w:val="center"/>
                  </w:pPr>
                  <w:r>
                    <w:rPr>
                      <w:rFonts w:eastAsia="Times New Roman"/>
                      <w:sz w:val="18"/>
                    </w:rPr>
                    <w:t>76.2%</w:t>
                  </w:r>
                </w:p>
              </w:tc>
              <w:tc>
                <w:tcPr>
                  <w:tcW w:w="1200" w:type="dxa"/>
                  <w:tcBorders>
                    <w:bottom w:val="single" w:sz="10" w:space="0" w:color="000000"/>
                  </w:tcBorders>
                  <w:tcMar>
                    <w:top w:w="45" w:type="dxa"/>
                    <w:left w:w="75" w:type="dxa"/>
                    <w:bottom w:w="45" w:type="dxa"/>
                    <w:right w:w="75" w:type="dxa"/>
                  </w:tcMar>
                  <w:vAlign w:val="center"/>
                </w:tcPr>
                <w:p w:rsidR="00AD0E67" w:rsidRDefault="00871784">
                  <w:pPr>
                    <w:spacing w:after="0"/>
                    <w:jc w:val="center"/>
                  </w:pPr>
                  <w:r>
                    <w:rPr>
                      <w:rFonts w:eastAsia="Times New Roman"/>
                      <w:sz w:val="18"/>
                    </w:rPr>
                    <w:t>0.2659</w:t>
                  </w:r>
                </w:p>
              </w:tc>
              <w:tc>
                <w:tcPr>
                  <w:tcW w:w="1400" w:type="dxa"/>
                  <w:tcBorders>
                    <w:bottom w:val="single" w:sz="10" w:space="0" w:color="000000"/>
                  </w:tcBorders>
                  <w:tcMar>
                    <w:top w:w="45" w:type="dxa"/>
                    <w:left w:w="75" w:type="dxa"/>
                    <w:bottom w:w="45" w:type="dxa"/>
                    <w:right w:w="75" w:type="dxa"/>
                  </w:tcMar>
                  <w:vAlign w:val="center"/>
                </w:tcPr>
                <w:p w:rsidR="00AD0E67" w:rsidRDefault="00871784">
                  <w:pPr>
                    <w:spacing w:after="0"/>
                    <w:jc w:val="center"/>
                  </w:pPr>
                  <w:r>
                    <w:rPr>
                      <w:rFonts w:eastAsia="Times New Roman"/>
                      <w:sz w:val="18"/>
                    </w:rPr>
                    <w:t>66</w:t>
                  </w:r>
                </w:p>
              </w:tc>
              <w:tc>
                <w:tcPr>
                  <w:tcW w:w="1600" w:type="dxa"/>
                  <w:tcBorders>
                    <w:bottom w:val="single" w:sz="10" w:space="0" w:color="000000"/>
                  </w:tcBorders>
                  <w:tcMar>
                    <w:top w:w="45" w:type="dxa"/>
                    <w:left w:w="75" w:type="dxa"/>
                    <w:bottom w:w="45" w:type="dxa"/>
                    <w:right w:w="75" w:type="dxa"/>
                  </w:tcMar>
                  <w:vAlign w:val="center"/>
                </w:tcPr>
                <w:p w:rsidR="00AD0E67" w:rsidRDefault="00871784">
                  <w:pPr>
                    <w:spacing w:after="0"/>
                    <w:jc w:val="center"/>
                  </w:pPr>
                  <w:r>
                    <w:rPr>
                      <w:rFonts w:eastAsia="Times New Roman"/>
                      <w:sz w:val="18"/>
                      <w:highlight w:val="green"/>
                    </w:rPr>
                    <w:t>56</w:t>
                  </w:r>
                </w:p>
              </w:tc>
            </w:tr>
          </w:tbl>
          <w:p w:rsidR="00AD0E67" w:rsidRDefault="00AD0E67">
            <w:pPr>
              <w:spacing w:after="0" w:line="60" w:lineRule="exact"/>
            </w:pPr>
          </w:p>
        </w:tc>
      </w:tr>
    </w:tbl>
    <w:p w:rsidR="00200DCA" w:rsidRPr="00200DCA" w:rsidRDefault="00200DCA" w:rsidP="00200DCA">
      <w:pPr>
        <w:pStyle w:val="ICCSDIHeading2"/>
        <w:spacing w:before="0" w:after="0"/>
        <w:rPr>
          <w:rFonts w:eastAsia="Times New Roman"/>
          <w:sz w:val="16"/>
          <w:szCs w:val="16"/>
        </w:rPr>
      </w:pPr>
    </w:p>
    <w:p w:rsidR="00AD0E67" w:rsidRDefault="00871784" w:rsidP="00200DCA">
      <w:pPr>
        <w:pStyle w:val="ICCSDIHeading2"/>
        <w:spacing w:before="0"/>
      </w:pPr>
      <w:proofErr w:type="gramStart"/>
      <w:r>
        <w:rPr>
          <w:rFonts w:eastAsia="Times New Roman"/>
        </w:rPr>
        <w:t>5.6  Negative</w:t>
      </w:r>
      <w:proofErr w:type="gramEnd"/>
      <w:r>
        <w:rPr>
          <w:rFonts w:eastAsia="Times New Roman"/>
        </w:rPr>
        <w:t xml:space="preserve"> and Corrected Results</w:t>
      </w:r>
    </w:p>
    <w:p w:rsidR="00AD0E67" w:rsidRDefault="00871784">
      <w:pPr>
        <w:keepLines/>
      </w:pPr>
      <w:r>
        <w:rPr>
          <w:rFonts w:eastAsia="Times New Roman"/>
        </w:rPr>
        <w:t xml:space="preserve">A published heuristic does not transfer to this setting. The similarity-gap heuristic for adaptive context selection proposed for multimodal medical RAG [6] fires when adjacent retrieval </w:t>
      </w:r>
      <w:proofErr w:type="spellStart"/>
      <w:r>
        <w:rPr>
          <w:rFonts w:eastAsia="Times New Roman"/>
        </w:rPr>
        <w:t>neighbours</w:t>
      </w:r>
      <w:proofErr w:type="spellEnd"/>
      <w:r>
        <w:rPr>
          <w:rFonts w:eastAsia="Times New Roman"/>
        </w:rPr>
        <w:t xml:space="preserve"> differ by at least 0.248 in similarity. On this data it fires on 0 of 3,015 queries: the largest gap occurring anywhere is 0.109. Swept across thresholds against fixed-</w:t>
      </w:r>
      <w:r>
        <w:rPr>
          <w:rFonts w:eastAsia="Times New Roman"/>
          <w:i/>
        </w:rPr>
        <w:t>k</w:t>
      </w:r>
      <w:r>
        <w:rPr>
          <w:rFonts w:eastAsia="Times New Roman"/>
        </w:rPr>
        <w:t xml:space="preserve"> selection at matched evidence budget, it wins 0 of 6 settings; </w:t>
      </w:r>
      <w:r w:rsidR="00815F82">
        <w:rPr>
          <w:rFonts w:eastAsia="Times New Roman"/>
        </w:rPr>
        <w:t xml:space="preserve">where </w:t>
      </w:r>
      <w:r>
        <w:rPr>
          <w:rFonts w:eastAsia="Times New Roman"/>
        </w:rPr>
        <w:t>precision is flat (0.112–0.115) at every setting while recall falls monotonically. The similarity gap carries no relevance information here, and no claim is made that adaptive context selection works in this setting.</w:t>
      </w:r>
    </w:p>
    <w:p w:rsidR="00AD0E67" w:rsidRDefault="00871784" w:rsidP="006D7823">
      <w:pPr>
        <w:keepLines/>
        <w:spacing w:after="0"/>
        <w:rPr>
          <w:rFonts w:eastAsia="Times New Roman"/>
        </w:rPr>
      </w:pPr>
      <w:r>
        <w:rPr>
          <w:rFonts w:eastAsia="Times New Roman"/>
        </w:rPr>
        <w:t>A configuration defect dominated the orig</w:t>
      </w:r>
      <w:r w:rsidR="00883050">
        <w:rPr>
          <w:rFonts w:eastAsia="Times New Roman"/>
        </w:rPr>
        <w:t>inal retrieval comparison. F</w:t>
      </w:r>
      <w:r>
        <w:rPr>
          <w:rFonts w:eastAsia="Times New Roman"/>
          <w:highlight w:val="cyan"/>
        </w:rPr>
        <w:t xml:space="preserve">irst dense index was built with a 128-token sequence limit, truncating 99.9% of case narratives (median 300 tokens) and 60.0% of queries, while the lexical baselines read full documents, giving BM25 roughly 2.4 times more information. Correcting the limit and adding passage chunking raised dense Success@1 on Hinglish from 0.1144 to 0.1280 and reversed the dense-versus-BM25 ordering; raising the sequence limit alone reaches 0.1310, so passage chunking is adopted not because it </w:t>
      </w:r>
      <w:proofErr w:type="spellStart"/>
      <w:r>
        <w:rPr>
          <w:rFonts w:eastAsia="Times New Roman"/>
        </w:rPr>
        <w:t>maximises</w:t>
      </w:r>
      <w:proofErr w:type="spellEnd"/>
      <w:r>
        <w:rPr>
          <w:rFonts w:eastAsia="Times New Roman"/>
        </w:rPr>
        <w:t xml:space="preserve"> that figure but because it puts dense and lexical retrieval on matched content. The uncorrected comparison supported the opposite conclusion; it is reported because silent truncation defects are easy to ship and expensive to detect. The withdrawn hallucination effects are reported in Sect. 5.4.</w:t>
      </w:r>
    </w:p>
    <w:p w:rsidR="00FB146D" w:rsidRPr="00FB146D" w:rsidRDefault="00FB146D" w:rsidP="00FB146D">
      <w:pPr>
        <w:pStyle w:val="ICCSDIHeading1"/>
        <w:spacing w:before="0" w:after="0"/>
        <w:rPr>
          <w:rFonts w:eastAsia="Times New Roman"/>
          <w:sz w:val="22"/>
          <w:szCs w:val="18"/>
        </w:rPr>
      </w:pPr>
    </w:p>
    <w:p w:rsidR="00AD0E67" w:rsidRDefault="00871784" w:rsidP="006D7823">
      <w:pPr>
        <w:pStyle w:val="ICCSDIHeading1"/>
        <w:spacing w:before="0"/>
      </w:pPr>
      <w:r>
        <w:rPr>
          <w:rFonts w:eastAsia="Times New Roman"/>
        </w:rPr>
        <w:t>6</w:t>
      </w:r>
      <w:r w:rsidR="00330BC1">
        <w:rPr>
          <w:rFonts w:eastAsia="Times New Roman"/>
        </w:rPr>
        <w:t>.</w:t>
      </w:r>
      <w:r>
        <w:rPr>
          <w:rFonts w:eastAsia="Times New Roman"/>
        </w:rPr>
        <w:t xml:space="preserve">  Discussion</w:t>
      </w:r>
    </w:p>
    <w:p w:rsidR="00AD0E67" w:rsidRDefault="00871784">
      <w:pPr>
        <w:keepLines/>
      </w:pPr>
      <w:proofErr w:type="spellStart"/>
      <w:proofErr w:type="spellEnd"/>
      <w:proofErr w:type="spellStart"/>
      <w:proofErr w:type="spellEnd"/>
      <w:r>
        <w:rPr>
          <w:rFonts w:eastAsia="Times New Roman"/>
        </w:rPr>
        <w:t>The retrieval findings are the study’s most decision-relevant. The code-mixing penalty is significant under every system tested</w:t>
      </w:r>
      <w:commentRangeStart w:id="40"/>
      <w:r>
        <w:rPr>
          <w:rFonts w:eastAsia="Times New Roman"/>
          <w:highlight w:val="green"/>
        </w:rPr>
        <w:t>, at every depth and on every metric,</w:t>
      </w:r>
      <w:commentRangeEnd w:id="40"/>
      <w:r>
        <w:rPr>
          <w:rStyle w:val="CommentReference"/>
        </w:rPr>
        <w:commentReference w:id="40"/>
      </w:r>
      <w:r>
        <w:rPr>
          <w:rFonts w:eastAsia="Times New Roman"/>
        </w:rPr>
        <w:t xml:space="preserve"> and roughly 4.4 times larger for lexical than for dense retrieval</w:t>
      </w:r>
      <w:r>
        <w:rPr>
          <w:rFonts w:eastAsia="Times New Roman"/>
          <w:highlight w:val="green"/>
        </w:rPr>
        <w:t xml:space="preserve"> at rank 1, with a wider gap at depth</w:t>
      </w:r>
      <w:r>
        <w:rPr>
          <w:rFonts w:eastAsia="Times New Roman"/>
        </w:rPr>
        <w:t xml:space="preserve">, producing a best-on-English and worst-on-Hinglish crossover for BM25. </w:t>
      </w:r>
      <w:r>
        <w:rPr>
          <w:rFonts w:eastAsia="Times New Roman"/>
          <w:highlight w:val="green"/>
        </w:rPr>
        <w:t xml:space="preserve">Because the English arm is a clinician-written summary rather than a translation, the estimate is an upper bound on the language effect alone (Sect. 5.1). </w:t>
      </w:r>
      <w:r>
        <w:rPr>
          <w:rFonts w:eastAsia="Times New Roman"/>
        </w:rPr>
        <w:t>For deployments whose users write romanised code-switched queries the architectural implication is direct: the retrieval layer should be cross-lingual and dense, or hybrid, because the surface-form matching is exactly what romanisation destroys</w:t>
      </w:r>
      <w:r>
        <w:rPr>
          <w:rFonts w:eastAsia="Times New Roman"/>
          <w:highlight w:val="green"/>
        </w:rPr>
        <w:t>; translating the query first does not rescue lexical retrieval</w:t>
      </w:r>
      <w:r>
        <w:rPr>
          <w:rFonts w:eastAsia="Times New Roman"/>
        </w:rPr>
        <w:t>.</w:t>
      </w:r>
    </w:p>
    <w:p w:rsidR="00AD0E67" w:rsidRDefault="00871784">
      <w:pPr>
        <w:keepLines/>
      </w:pPr>
      <w:proofErr w:type="spellStart"/>
      <w:proofErr w:type="spellEnd"/>
      <w:proofErr w:type="spellStart"/>
      <w:proofErr w:type="spellEnd"/>
      <w:proofErr w:type="spellStart"/>
      <w:proofErr w:type="spellEnd"/>
      <w:proofErr w:type="spellStart"/>
      <w:proofErr w:type="spellEnd"/>
      <w:proofErr w:type="spellStart"/>
      <w:proofErr w:type="spellEnd"/>
      <w:commentRangeStart w:id="41"/>
      <w:r>
        <w:rPr>
          <w:rFonts w:eastAsia="Times New Roman"/>
          <w:highlight w:val="cyan"/>
        </w:rPr>
        <w:t>The MuRIL result points to script rather than language</w:t>
      </w:r>
      <w:commentRangeEnd w:id="41"/>
      <w:r>
        <w:rPr>
          <w:rStyle w:val="CommentReference"/>
        </w:rPr>
        <w:commentReference w:id="41"/>
      </w:r>
      <w:r>
        <w:rPr>
          <w:rFonts w:eastAsia="Times New Roman"/>
        </w:rPr>
        <w:t xml:space="preserve">: an encoder pretrained on the right language in the wrong script retrieves at chance (0.0640 against a 0.0626 floor) and recovers to 0.1821 on identical content in English. </w:t>
      </w:r>
      <w:r>
        <w:rPr>
          <w:rFonts w:eastAsia="Times New Roman"/>
          <w:highlight w:val="yellow"/>
        </w:rPr>
        <w:t>But transliterating the query into Devanagari recovers only 6.5% of that gap, so script is not the binding constraint: either the encoder’s Hindi representations are weaker than its English ones on this clinical content, or a hand-built transliteration is too approximate to carry the content, and the study cannot separate the two. Transliteration-aware pretraining or romanisation normalisation remains the indicated remedy; this study tests the cheapest version of it and finds it insufficient.</w:t>
      </w:r>
    </w:p>
    <w:p w:rsidR="00AD0E67" w:rsidRDefault="00871784">
      <w:pPr>
        <w:keepLines/>
      </w:pPr>
      <w:proofErr w:type="spellStart"/>
      <w:proofErr w:type="spellEnd"/>
      <w:proofErr w:type="spellStart"/>
      <w:proofErr w:type="spellEnd"/>
      <w:r>
        <w:rPr>
          <w:rFonts w:eastAsia="Times New Roman"/>
        </w:rPr>
        <w:t xml:space="preserve">Grounding is better described as a robustness and behaviour mechanism than a guaranteed quality gain. It stabilises factual support against code-mixing intensity, </w:t>
      </w:r>
      <w:commentRangeStart w:id="42"/>
      <w:r>
        <w:rPr>
          <w:rFonts w:eastAsia="Times New Roman"/>
          <w:highlight w:val="cyan"/>
        </w:rPr>
        <w:t xml:space="preserve">shifts one generator toward precision over recall, </w:t>
      </w:r>
      <w:commentRangeEnd w:id="42"/>
      <w:r>
        <w:rPr>
          <w:rStyle w:val="CommentReference"/>
        </w:rPr>
        <w:commentReference w:id="42"/>
      </w:r>
      <w:r>
        <w:rPr>
          <w:rFonts w:eastAsia="Times New Roman"/>
        </w:rPr>
        <w:t xml:space="preserve">and converts silent confabulation into explicit refusal when the evidence does not fit. Whether that trade profits depends on the generator (the two families disagree in sign under the unbiased reference), </w:t>
      </w:r>
      <w:r>
        <w:rPr>
          <w:rFonts w:eastAsia="Times New Roman"/>
          <w:highlight w:val="cyan"/>
        </w:rPr>
        <w:t>the size of any reported gain depends on the scoring reference, and part of the measured gain is an extraction artefact whose direction favours the result (Sect. 5.2)</w:t>
      </w:r>
      <w:r>
        <w:rPr>
          <w:rFonts w:eastAsia="Times New Roman"/>
        </w:rPr>
        <w:t>. None of this retracts the effect; it bounds how it may honestly be reported.</w:t>
      </w:r>
    </w:p>
    <w:p w:rsidR="00AD0E67" w:rsidRDefault="00871784">
      <w:pPr>
        <w:keepLines/>
      </w:pPr>
      <w:proofErr w:type="spellStart"/>
      <w:proofErr w:type="spellEnd"/>
      <w:r>
        <w:rPr>
          <w:rFonts w:eastAsia="Times New Roman"/>
        </w:rPr>
        <w:t xml:space="preserve">The evaluation findings generalise beyond this system. Factuality should be scored with F1 rather than precision alone; degenerate baselines should accompany scored tables, since a one-word constant outscoring a real system 4.7-fold is otherwise invisible; </w:t>
      </w:r>
      <w:commentRangeStart w:id="43"/>
      <w:r>
        <w:rPr>
          <w:rFonts w:eastAsia="Times New Roman"/>
          <w:highlight w:val="green"/>
        </w:rPr>
        <w:t xml:space="preserve">concept extractors should be audited against an independent reader, per arm, because an arm-dependent bias does not cancel in a paired difference; </w:t>
      </w:r>
      <w:commentRangeEnd w:id="43"/>
      <w:r>
        <w:rPr>
          <w:rStyle w:val="CommentReference"/>
        </w:rPr>
        <w:commentReference w:id="43"/>
      </w:r>
      <w:r>
        <w:rPr>
          <w:rFonts w:eastAsia="Times New Roman"/>
        </w:rPr>
        <w:t xml:space="preserve">refusal and coverage belong beside every factuality number, because refusals vanish from naive means precisely where systems fail; factuality and hallucination should not be reported as two findings when one is the complement of the other; references neither arm saw are preferable; </w:t>
      </w:r>
      <w:r>
        <w:rPr>
          <w:rFonts w:eastAsia="Times New Roman"/>
          <w:highlight w:val="yellow"/>
        </w:rPr>
        <w:t>dose–response should be tested as it was planned, on the paired difference, with per-arm correlations as the decomposition</w:t>
      </w:r>
      <w:r>
        <w:rPr>
          <w:rFonts w:eastAsia="Times New Roman"/>
        </w:rPr>
        <w:t>; and corpora should be topically matched before effects are attributed to provenance.</w:t>
      </w:r>
    </w:p>
    <w:p w:rsidR="00AD0E67" w:rsidRDefault="00871784" w:rsidP="00032E1E">
      <w:pPr>
        <w:keepLines/>
        <w:spacing w:after="0"/>
        <w:rPr>
          <w:rFonts w:eastAsia="Times New Roman"/>
        </w:rPr>
      </w:pPr>
      <w:r>
        <w:rPr>
          <w:rFonts w:eastAsia="Times New Roman"/>
        </w:rPr>
        <w:t>Finally, hosted-model decommissioning is a concrete reproducibility hazard: the generator behind the largest analyses disappeared mid-study. Archiving raw outputs kept every number in this paper re-</w:t>
      </w:r>
      <w:proofErr w:type="spellStart"/>
      <w:r>
        <w:rPr>
          <w:rFonts w:eastAsia="Times New Roman"/>
        </w:rPr>
        <w:t>scorable</w:t>
      </w:r>
      <w:proofErr w:type="spellEnd"/>
      <w:r>
        <w:rPr>
          <w:rFonts w:eastAsia="Times New Roman"/>
        </w:rPr>
        <w:t>; without that discipline, the corrections reported here would have been impossible.</w:t>
      </w:r>
    </w:p>
    <w:p w:rsidR="00032E1E" w:rsidRPr="00200DCA" w:rsidRDefault="00032E1E" w:rsidP="00032E1E">
      <w:pPr>
        <w:pStyle w:val="ICCSDIHeading2"/>
        <w:spacing w:before="0" w:after="0"/>
        <w:rPr>
          <w:rFonts w:eastAsia="Times New Roman"/>
          <w:sz w:val="16"/>
          <w:szCs w:val="16"/>
        </w:rPr>
      </w:pPr>
    </w:p>
    <w:p w:rsidR="00AD0E67" w:rsidRDefault="00AB6A4E" w:rsidP="00032E1E">
      <w:pPr>
        <w:pStyle w:val="ICCSDIHeading2"/>
        <w:spacing w:before="0"/>
      </w:pPr>
      <w:r>
        <w:rPr>
          <w:rFonts w:eastAsia="Times New Roman"/>
        </w:rPr>
        <w:t xml:space="preserve">6.1 </w:t>
      </w:r>
      <w:r w:rsidR="00871784">
        <w:rPr>
          <w:rFonts w:eastAsia="Times New Roman"/>
        </w:rPr>
        <w:t>Limitations and Threats to Validity</w:t>
      </w:r>
    </w:p>
    <w:p w:rsidR="00E612ED" w:rsidRPr="00E612ED" w:rsidRDefault="00E612ED" w:rsidP="006370D3">
      <w:pPr>
        <w:keepLines/>
        <w:rPr>
          <w:rFonts w:eastAsia="Times New Roman"/>
        </w:rPr>
      </w:pPr>
      <w:commentRangeStart w:id="44"/>
      <w:r>
        <w:rPr>
          <w:rFonts w:eastAsia="Times New Roman"/>
          <w:highlight w:val="yellow"/>
        </w:rPr>
        <w:t xml:space="preserve">Ten limitations bound the claims, and each comes with its measured extent. </w:t>
      </w:r>
      <w:commentRangeEnd w:id="44"/>
      <w:r>
        <w:rPr>
          <w:rStyle w:val="CommentReference"/>
        </w:rPr>
        <w:commentReference w:id="44"/>
      </w:r>
      <w:r>
        <w:rPr>
          <w:rFonts w:eastAsia="Times New Roman"/>
        </w:rPr>
        <w:t>First, the relevance labels are coarse: condition-group matching over 18 groups admits same-group but clinically irrelevant cases, so absolute Success@1 is a lower bound on true relevance</w:t>
      </w:r>
      <w:r>
        <w:rPr>
          <w:rFonts w:eastAsia="Times New Roman"/>
          <w:highlight w:val="green"/>
        </w:rPr>
        <w:t>; the graded variant reported in Sect. 4.2 is an automatic proxy, not a clinical judgment</w:t>
      </w:r>
      <w:r>
        <w:rPr>
          <w:rFonts w:eastAsia="Times New Roman"/>
        </w:rPr>
        <w:t>. Second, the concept lexicon includes only 26 concepts and has not been validated by clinicians</w:t>
      </w:r>
      <w:r>
        <w:rPr>
          <w:rFonts w:eastAsia="Times New Roman"/>
          <w:highlight w:val="green"/>
        </w:rPr>
        <w:t>; against an independent model reader its extractor reaches κ = 0.494 with precision 0.412, and the over-attribution is larger in the zero-shot arm, which inflates the grounding effect of Sect. 5.3 by an amount that is bounded but not determined. Clinician validation remains future work</w:t>
      </w:r>
      <w:r>
        <w:rPr>
          <w:rFonts w:eastAsia="Times New Roman"/>
        </w:rPr>
        <w:t>. Third, the unbiased reference is narrow and repetitive: it averages 1.5 concepts, takes 412 distinct values across 2,988 rows, and a single value accounts for 22% of rows; cluster bootstraps deal with the induced non-independence, but the construct captured is partial</w:t>
      </w:r>
      <w:r>
        <w:rPr>
          <w:rFonts w:eastAsia="Times New Roman"/>
          <w:highlight w:val="green"/>
        </w:rPr>
        <w:t>, and its free-text captions contain frequent misspellings that a lexical extractor cannot match</w:t>
      </w:r>
      <w:r>
        <w:rPr>
          <w:rFonts w:eastAsia="Times New Roman"/>
        </w:rPr>
        <w:t>. Fourth, generation results are generator-dependent: two results differ in sign between the generator families under the unbiased reference, and both are reported with neither being chosen.</w:t>
      </w:r>
    </w:p>
    <w:p w:rsidR="00E612ED" w:rsidRDefault="00E612ED" w:rsidP="00442A9C">
      <w:pPr>
        <w:keepLines/>
        <w:spacing w:after="0"/>
        <w:rPr>
          <w:rFonts w:eastAsia="Times New Roman"/>
        </w:rPr>
      </w:pPr>
      <w:proofErr w:type="spellStart"/>
      <w:proofErr w:type="spellEnd"/>
      <w:proofErr w:type="spellStart"/>
      <w:proofErr w:type="spellEnd"/>
      <w:r>
        <w:rPr>
          <w:rFonts w:eastAsia="Times New Roman"/>
        </w:rPr>
        <w:t xml:space="preserve">Fifth, provider instability is a real threat: llama-3.1-8b-instant, the generator behind the </w:t>
      </w:r>
      <w:r>
        <w:rPr>
          <w:rFonts w:eastAsia="Times New Roman"/>
          <w:i/>
        </w:rPr>
        <w:t>n</w:t>
      </w:r>
      <w:r>
        <w:rPr>
          <w:rFonts w:eastAsia="Times New Roman"/>
        </w:rPr>
        <w:t xml:space="preserve"> = 1,165 analyses, was decommissioned mid-study and now returns HTTP 404, so its outputs remain archived and re-scorable but no new generations are possible, a genuine danger for research on hosted models</w:t>
      </w:r>
      <w:commentRangeStart w:id="45"/>
      <w:r>
        <w:rPr>
          <w:rFonts w:eastAsia="Times New Roman"/>
          <w:highlight w:val="green"/>
        </w:rPr>
        <w:t>; the gpt-oss models are open-weight, so their results are regenerable in principle, and the archived generations make every number re-scorable</w:t>
      </w:r>
      <w:commentRangeEnd w:id="45"/>
      <w:r>
        <w:rPr>
          <w:rStyle w:val="CommentReference"/>
        </w:rPr>
        <w:commentReference w:id="45"/>
      </w:r>
      <w:r>
        <w:rPr>
          <w:rFonts w:eastAsia="Times New Roman"/>
        </w:rPr>
        <w:t>. Sixth, the H₀₃ answer-quality comparison is under-powered, with only 13 of 160 queries scoreable under all four evidence conditions</w:t>
      </w:r>
      <w:r>
        <w:rPr>
          <w:rFonts w:eastAsia="Times New Roman"/>
          <w:highlight w:val="green"/>
        </w:rPr>
        <w:t>, most of them refusals; a powered replication needs roughly 616 queries under the present prompt or 77 under the low-refusal one</w:t>
      </w:r>
      <w:r>
        <w:rPr>
          <w:rFonts w:eastAsia="Times New Roman"/>
        </w:rPr>
        <w:t xml:space="preserve"> (Sect. 5.5). Seventh, no clinical deployment claim is made: absolute Success@1 of 0.1751 on Hinglish, roughly two to three times the random floor, is far below what patient-facing use would require</w:t>
      </w:r>
      <w:r>
        <w:rPr>
          <w:rFonts w:eastAsia="Times New Roman"/>
          <w:highlight w:val="green"/>
        </w:rPr>
        <w:t>, although Success@10 of 0.656 makes the pipeline usable as a first-stage candidate generator. Eighth, the English arm of the penalty comparison is a clinician-written summary, not a translation, so the penalty is an upper bound on the language effect and conflates language with conciseness and register (Sect. 5.1). Ninth, the transliteration is a hand-verified lexicon with rule-based mapping for the tail rather than a trained model, so its recovery is a lower bound, and the translation baseline covers a 500-query stratified subset. Tenth, H04 was formulated after the initial retrieval experiments and is confirmatory only in the sense that it was then tested on the full matched set</w:t>
      </w:r>
      <w:r>
        <w:rPr>
          <w:rFonts w:eastAsia="Times New Roman"/>
        </w:rPr>
        <w:t>.</w:t>
      </w:r>
    </w:p>
    <w:p w:rsidR="00FB146D" w:rsidRPr="00FB146D" w:rsidRDefault="00FB146D" w:rsidP="00FB146D">
      <w:pPr>
        <w:pStyle w:val="ICCSDIHeading1"/>
        <w:spacing w:before="0" w:after="0"/>
        <w:rPr>
          <w:rFonts w:eastAsia="Times New Roman"/>
          <w:sz w:val="22"/>
          <w:szCs w:val="18"/>
        </w:rPr>
      </w:pPr>
    </w:p>
    <w:p w:rsidR="00AD0E67" w:rsidRDefault="00871784" w:rsidP="00032E1E">
      <w:pPr>
        <w:pStyle w:val="ICCSDIHeading1"/>
        <w:spacing w:before="0"/>
      </w:pPr>
      <w:r>
        <w:rPr>
          <w:rFonts w:eastAsia="Times New Roman"/>
        </w:rPr>
        <w:t>7</w:t>
      </w:r>
      <w:r w:rsidR="00330BC1">
        <w:rPr>
          <w:rFonts w:eastAsia="Times New Roman"/>
        </w:rPr>
        <w:t>.</w:t>
      </w:r>
      <w:r>
        <w:rPr>
          <w:rFonts w:eastAsia="Times New Roman"/>
        </w:rPr>
        <w:t xml:space="preserve">  Conclusion and Future Work</w:t>
      </w:r>
    </w:p>
    <w:p w:rsidR="00AD0E67" w:rsidRDefault="00871784">
      <w:pPr>
        <w:keepLines/>
      </w:pPr>
      <w:proofErr w:type="spellStart"/>
      <w:proofErr w:type="spellEnd"/>
      <w:r>
        <w:rPr>
          <w:rFonts w:eastAsia="Times New Roman"/>
        </w:rPr>
        <w:t>This study set out to characterise, rather than improve, retrieval-augmented generation for Hinglish clinical questions over English case reports. Code-mixing significantly degrades clinical retrieval, about four times more for lexical than for dense methods</w:t>
      </w:r>
      <w:commentRangeStart w:id="46"/>
      <w:r>
        <w:rPr>
          <w:rFonts w:eastAsia="Times New Roman"/>
          <w:highlight w:val="green"/>
        </w:rPr>
        <w:t xml:space="preserve"> at rank 1 and more at depth; neither transliteration nor translation removes the penalty for lexical retrieval</w:t>
      </w:r>
      <w:commentRangeEnd w:id="46"/>
      <w:r>
        <w:rPr>
          <w:rStyle w:val="CommentReference"/>
        </w:rPr>
        <w:commentReference w:id="46"/>
      </w:r>
      <w:r>
        <w:rPr>
          <w:rFonts w:eastAsia="Times New Roman"/>
        </w:rPr>
        <w:t xml:space="preserve">; and while grounding </w:t>
      </w:r>
      <w:r>
        <w:rPr>
          <w:rFonts w:eastAsia="Times New Roman"/>
          <w:highlight w:val="cyan"/>
        </w:rPr>
        <w:t>increases evidence-referenced factual support</w:t>
      </w:r>
      <w:r>
        <w:rPr>
          <w:rFonts w:eastAsia="Times New Roman"/>
        </w:rPr>
        <w:t xml:space="preserve"> and shields it from the code-mixing intensity, the apparent size of that benefit depends substantially on the evaluation protocol</w:t>
      </w:r>
      <w:r>
        <w:rPr>
          <w:rFonts w:eastAsia="Times New Roman"/>
          <w:highlight w:val="green"/>
        </w:rPr>
        <w:t xml:space="preserve"> and is partly an extraction artefact</w:t>
      </w:r>
      <w:r>
        <w:rPr>
          <w:rFonts w:eastAsia="Times New Roman"/>
        </w:rPr>
        <w:t>.</w:t>
      </w:r>
    </w:p>
    <w:p w:rsidR="00AD0E67" w:rsidRDefault="00871784">
      <w:pPr>
        <w:keepLines/>
      </w:pPr>
      <w:r>
        <w:rPr>
          <w:rFonts w:eastAsia="Times New Roman"/>
        </w:rPr>
        <w:t xml:space="preserve">The contributions are the retrieval-stage code-mixing penalty with its lexical/dense asymmetry and </w:t>
      </w:r>
      <w:commentRangeStart w:id="47"/>
      <w:r>
        <w:rPr>
          <w:rFonts w:eastAsia="Times New Roman"/>
          <w:highlight w:val="cyan"/>
        </w:rPr>
        <w:t>tested script-mismatch mechanism</w:t>
      </w:r>
      <w:commentRangeEnd w:id="47"/>
      <w:r>
        <w:rPr>
          <w:rStyle w:val="CommentReference"/>
        </w:rPr>
        <w:commentReference w:id="47"/>
      </w:r>
      <w:r>
        <w:rPr>
          <w:rFonts w:eastAsia="Times New Roman"/>
        </w:rPr>
        <w:t xml:space="preserve">; </w:t>
      </w:r>
      <w:r>
        <w:rPr>
          <w:rFonts w:eastAsia="Times New Roman"/>
          <w:highlight w:val="cyan"/>
        </w:rPr>
        <w:t>pre-specified</w:t>
      </w:r>
      <w:r>
        <w:rPr>
          <w:rFonts w:eastAsia="Times New Roman"/>
        </w:rPr>
        <w:t xml:space="preserve"> hypothesis tests replicated across two generator families</w:t>
      </w:r>
      <w:r>
        <w:rPr>
          <w:rFonts w:eastAsia="Times New Roman"/>
          <w:highlight w:val="cyan"/>
        </w:rPr>
        <w:t xml:space="preserve"> under oracle evidence</w:t>
      </w:r>
      <w:r>
        <w:rPr>
          <w:rFonts w:eastAsia="Times New Roman"/>
        </w:rPr>
        <w:t xml:space="preserve">; and a demonstration that evaluation design changes the reported benefit, with the degenerate baselines </w:t>
      </w:r>
      <w:r>
        <w:rPr>
          <w:rFonts w:eastAsia="Times New Roman"/>
          <w:highlight w:val="green"/>
        </w:rPr>
        <w:t xml:space="preserve">and extractor audit </w:t>
      </w:r>
      <w:r>
        <w:rPr>
          <w:rFonts w:eastAsia="Times New Roman"/>
        </w:rPr>
        <w:t>needed to detect it.</w:t>
      </w:r>
    </w:p>
    <w:p w:rsidR="00DE1D81" w:rsidRDefault="00DE1D81" w:rsidP="00801CA3">
      <w:pPr>
        <w:keepLines/>
        <w:spacing w:after="0"/>
      </w:pPr>
      <w:r>
        <w:t>Future work should replace coarse condition-group labels with graded clinical relevance, validate the 26-concept lexicon with clinicians</w:t>
      </w:r>
      <w:commentRangeStart w:id="48"/>
      <w:r>
        <w:rPr>
          <w:highlight w:val="green"/>
        </w:rPr>
        <w:t xml:space="preserve"> (a blinded annotation protocol is released with the code)</w:t>
      </w:r>
      <w:commentRangeEnd w:id="48"/>
      <w:r>
        <w:rPr>
          <w:rStyle w:val="CommentReference"/>
        </w:rPr>
        <w:commentReference w:id="48"/>
      </w:r>
      <w:r>
        <w:t xml:space="preserve">, adopt richer references, </w:t>
      </w:r>
      <w:r>
        <w:rPr>
          <w:highlight w:val="green"/>
        </w:rPr>
        <w:t xml:space="preserve">replace the summary-based English arm with human translations so that language and register are separated, </w:t>
      </w:r>
      <w:r>
        <w:t>test transliteration-aware encoders against script mismatch, and power the provenance comparison for answer quality</w:t>
      </w:r>
      <w:r>
        <w:rPr>
          <w:highlight w:val="green"/>
        </w:rPr>
        <w:t xml:space="preserve"> with the low-refusal prompt</w:t>
      </w:r>
      <w:r>
        <w:t>. Each tightens a bound measured here.</w:t>
      </w:r>
    </w:p>
    <w:p w:rsidR="00801CA3" w:rsidRPr="00801CA3" w:rsidRDefault="00801CA3" w:rsidP="00801CA3">
      <w:pPr>
        <w:pStyle w:val="ICCSDIBackHeading"/>
        <w:spacing w:before="0" w:after="0"/>
        <w:rPr>
          <w:rFonts w:eastAsia="Times New Roman"/>
          <w:sz w:val="24"/>
          <w:szCs w:val="24"/>
        </w:rPr>
      </w:pPr>
    </w:p>
    <w:p w:rsidR="00442A9C" w:rsidRPr="00801CA3" w:rsidRDefault="00871784" w:rsidP="00801CA3">
      <w:pPr>
        <w:pStyle w:val="ICCSDIBackHeading"/>
        <w:spacing w:before="0"/>
        <w:rPr>
          <w:rFonts w:eastAsia="Times New Roman"/>
          <w:b w:val="0"/>
          <w:sz w:val="20"/>
        </w:rPr>
      </w:pPr>
      <w:r w:rsidRPr="001B7EB7">
        <w:rPr>
          <w:rFonts w:eastAsia="Times New Roman"/>
          <w:sz w:val="24"/>
          <w:szCs w:val="24"/>
        </w:rPr>
        <w:t>Acknowledgements</w:t>
      </w:r>
      <w:r w:rsidR="004F2A35">
        <w:rPr>
          <w:rFonts w:eastAsia="Times New Roman"/>
        </w:rPr>
        <w:t>:</w:t>
      </w:r>
      <w:r w:rsidR="00A97916">
        <w:rPr>
          <w:rFonts w:eastAsia="Times New Roman"/>
        </w:rPr>
        <w:t xml:space="preserve"> </w:t>
      </w:r>
      <w:r w:rsidR="00801CA3" w:rsidRPr="00801CA3">
        <w:rPr>
          <w:rFonts w:eastAsia="Times New Roman"/>
          <w:b w:val="0"/>
          <w:sz w:val="20"/>
        </w:rPr>
        <w:t xml:space="preserve">The authors thank NMIMS </w:t>
      </w:r>
      <w:proofErr w:type="spellStart"/>
      <w:r w:rsidR="00801CA3" w:rsidRPr="00801CA3">
        <w:rPr>
          <w:rFonts w:eastAsia="Times New Roman"/>
          <w:b w:val="0"/>
          <w:sz w:val="20"/>
        </w:rPr>
        <w:t>Nilkamal</w:t>
      </w:r>
      <w:proofErr w:type="spellEnd"/>
      <w:r w:rsidR="00801CA3" w:rsidRPr="00801CA3">
        <w:rPr>
          <w:rFonts w:eastAsia="Times New Roman"/>
          <w:b w:val="0"/>
          <w:sz w:val="20"/>
        </w:rPr>
        <w:t xml:space="preserve"> School of Mathematics, Applied Statistics &amp; Analytics for institutional support and express their sincere gratitude to Prof. Dr. Rajesh </w:t>
      </w:r>
      <w:proofErr w:type="spellStart"/>
      <w:r w:rsidR="00801CA3" w:rsidRPr="00801CA3">
        <w:rPr>
          <w:rFonts w:eastAsia="Times New Roman"/>
          <w:b w:val="0"/>
          <w:sz w:val="20"/>
        </w:rPr>
        <w:t>Maurya</w:t>
      </w:r>
      <w:proofErr w:type="spellEnd"/>
      <w:r w:rsidR="00801CA3" w:rsidRPr="00801CA3">
        <w:rPr>
          <w:rFonts w:eastAsia="Times New Roman"/>
          <w:b w:val="0"/>
          <w:sz w:val="20"/>
        </w:rPr>
        <w:t xml:space="preserve"> for his valuable guidance and mentorship throughout this research.</w:t>
      </w:r>
    </w:p>
    <w:p w:rsidR="00AD0E67" w:rsidRDefault="00871784">
      <w:pPr>
        <w:pStyle w:val="ICCSDIBackHeading"/>
      </w:pPr>
      <w:r w:rsidRPr="001B7EB7">
        <w:rPr>
          <w:rFonts w:eastAsia="Times New Roman"/>
          <w:sz w:val="24"/>
          <w:szCs w:val="24"/>
        </w:rPr>
        <w:t>Declarations</w:t>
      </w:r>
      <w:r w:rsidR="004F2A35">
        <w:rPr>
          <w:rFonts w:eastAsia="Times New Roman"/>
        </w:rPr>
        <w:t>:</w:t>
      </w:r>
    </w:p>
    <w:p w:rsidR="00AD0E67" w:rsidRDefault="00871784">
      <w:pPr>
        <w:keepLines/>
        <w:spacing w:after="120" w:line="240" w:lineRule="exact"/>
      </w:pPr>
      <w:r w:rsidRPr="001B7EB7">
        <w:rPr>
          <w:rFonts w:eastAsia="Times New Roman"/>
          <w:b/>
          <w:sz w:val="22"/>
        </w:rPr>
        <w:t>Funding</w:t>
      </w:r>
      <w:r w:rsidR="00330BC1">
        <w:rPr>
          <w:rFonts w:eastAsia="Times New Roman"/>
          <w:b/>
        </w:rPr>
        <w:t>:</w:t>
      </w:r>
      <w:r>
        <w:rPr>
          <w:rFonts w:eastAsia="Times New Roman"/>
        </w:rPr>
        <w:t xml:space="preserve">  The authors received no specific funding for this work.</w:t>
      </w:r>
    </w:p>
    <w:p w:rsidR="00AD0E67" w:rsidRDefault="00871784">
      <w:pPr>
        <w:keepLines/>
        <w:spacing w:after="120" w:line="240" w:lineRule="exact"/>
      </w:pPr>
      <w:r w:rsidRPr="001B7EB7">
        <w:rPr>
          <w:rFonts w:eastAsia="Times New Roman"/>
          <w:b/>
          <w:sz w:val="22"/>
        </w:rPr>
        <w:t xml:space="preserve">Competing </w:t>
      </w:r>
      <w:r w:rsidR="001B7EB7" w:rsidRPr="001B7EB7">
        <w:rPr>
          <w:rFonts w:eastAsia="Times New Roman"/>
          <w:b/>
          <w:sz w:val="22"/>
        </w:rPr>
        <w:t>Interests:</w:t>
      </w:r>
      <w:r w:rsidR="001B7EB7">
        <w:rPr>
          <w:rFonts w:eastAsia="Times New Roman"/>
        </w:rPr>
        <w:t xml:space="preserve">  </w:t>
      </w:r>
      <w:r>
        <w:rPr>
          <w:rFonts w:eastAsia="Times New Roman"/>
        </w:rPr>
        <w:t>The authors declare no competing interests.</w:t>
      </w:r>
    </w:p>
    <w:p w:rsidR="00AD0E67" w:rsidRDefault="00871784">
      <w:pPr>
        <w:keepLines/>
        <w:spacing w:after="120" w:line="240" w:lineRule="exact"/>
      </w:pPr>
      <w:r w:rsidRPr="001B7EB7">
        <w:rPr>
          <w:rFonts w:eastAsia="Times New Roman"/>
          <w:b/>
          <w:sz w:val="22"/>
          <w:szCs w:val="24"/>
        </w:rPr>
        <w:lastRenderedPageBreak/>
        <w:t xml:space="preserve">Ethics </w:t>
      </w:r>
      <w:r w:rsidR="001B7EB7">
        <w:rPr>
          <w:rFonts w:eastAsia="Times New Roman"/>
          <w:b/>
          <w:sz w:val="22"/>
          <w:szCs w:val="24"/>
        </w:rPr>
        <w:t>Approval and Consent to</w:t>
      </w:r>
      <w:r w:rsidR="001B7EB7" w:rsidRPr="001B7EB7">
        <w:rPr>
          <w:rFonts w:eastAsia="Times New Roman"/>
          <w:b/>
          <w:sz w:val="22"/>
          <w:szCs w:val="24"/>
        </w:rPr>
        <w:t xml:space="preserve"> Participate:</w:t>
      </w:r>
      <w:r w:rsidR="001B7EB7" w:rsidRPr="001B7EB7">
        <w:rPr>
          <w:rFonts w:eastAsia="Times New Roman"/>
          <w:sz w:val="22"/>
          <w:szCs w:val="24"/>
        </w:rPr>
        <w:t xml:space="preserve">  </w:t>
      </w:r>
      <w:r>
        <w:rPr>
          <w:rFonts w:eastAsia="Times New Roman"/>
        </w:rPr>
        <w:t>Not applicable;</w:t>
      </w:r>
      <w:r w:rsidR="001B7EB7">
        <w:rPr>
          <w:rFonts w:eastAsia="Times New Roman"/>
        </w:rPr>
        <w:t xml:space="preserve"> as</w:t>
      </w:r>
      <w:r>
        <w:rPr>
          <w:rFonts w:eastAsia="Times New Roman"/>
        </w:rPr>
        <w:t xml:space="preserve"> this study </w:t>
      </w:r>
      <w:r w:rsidR="001B7EB7">
        <w:rPr>
          <w:rFonts w:eastAsia="Times New Roman"/>
        </w:rPr>
        <w:t xml:space="preserve">only </w:t>
      </w:r>
      <w:r>
        <w:rPr>
          <w:rFonts w:eastAsia="Times New Roman"/>
        </w:rPr>
        <w:t>analyses publicly available, de-identified datasets and involved no human or animal participants.</w:t>
      </w:r>
    </w:p>
    <w:p w:rsidR="00AD0E67" w:rsidRDefault="00871784">
      <w:pPr>
        <w:keepLines/>
        <w:spacing w:after="120" w:line="240" w:lineRule="exact"/>
      </w:pPr>
      <w:r w:rsidRPr="001B7EB7">
        <w:rPr>
          <w:rFonts w:eastAsia="Times New Roman"/>
          <w:b/>
          <w:sz w:val="22"/>
          <w:szCs w:val="24"/>
        </w:rPr>
        <w:t xml:space="preserve">Data </w:t>
      </w:r>
      <w:r w:rsidR="001B7EB7" w:rsidRPr="001B7EB7">
        <w:rPr>
          <w:rFonts w:eastAsia="Times New Roman"/>
          <w:b/>
          <w:sz w:val="22"/>
          <w:szCs w:val="24"/>
        </w:rPr>
        <w:t>Availability:</w:t>
      </w:r>
      <w:r w:rsidR="001B7EB7">
        <w:rPr>
          <w:rFonts w:eastAsia="Times New Roman"/>
        </w:rPr>
        <w:t xml:space="preserve">  </w:t>
      </w:r>
      <w:r>
        <w:rPr>
          <w:rFonts w:eastAsia="Times New Roman"/>
        </w:rPr>
        <w:t xml:space="preserve">MMCQS [1] and </w:t>
      </w:r>
      <w:proofErr w:type="spellStart"/>
      <w:r>
        <w:rPr>
          <w:rFonts w:eastAsia="Times New Roman"/>
        </w:rPr>
        <w:t>MultiCaRe</w:t>
      </w:r>
      <w:proofErr w:type="spellEnd"/>
      <w:r>
        <w:rPr>
          <w:rFonts w:eastAsia="Times New Roman"/>
        </w:rPr>
        <w:t xml:space="preserve"> [2] are publicly available datasets. Scored result files and generator outputs are version-controlled in the code repository (see Code availability); derived pairing tables and FAISS indices are deposited at </w:t>
      </w:r>
      <w:hyperlink r:id="rId14">
        <w:r>
          <w:rPr>
            <w:rStyle w:val="Hyperlink"/>
          </w:rPr>
          <w:t>https://doi.org/10.5281/zenodo.22166651</w:t>
        </w:r>
      </w:hyperlink>
      <w:r>
        <w:t>.</w:t>
      </w:r>
    </w:p>
    <w:p w:rsidR="00AD0E67" w:rsidRDefault="00871784">
      <w:pPr>
        <w:keepLines/>
        <w:spacing w:after="120" w:line="240" w:lineRule="exact"/>
      </w:pPr>
      <w:r w:rsidRPr="001B7EB7">
        <w:rPr>
          <w:rFonts w:eastAsia="Times New Roman"/>
          <w:b/>
          <w:sz w:val="22"/>
          <w:szCs w:val="24"/>
        </w:rPr>
        <w:t xml:space="preserve">Materials </w:t>
      </w:r>
      <w:r w:rsidR="001B7EB7" w:rsidRPr="001B7EB7">
        <w:rPr>
          <w:rFonts w:eastAsia="Times New Roman"/>
          <w:b/>
          <w:sz w:val="22"/>
          <w:szCs w:val="24"/>
        </w:rPr>
        <w:t>Availability</w:t>
      </w:r>
      <w:r w:rsidRPr="001B7EB7">
        <w:rPr>
          <w:rFonts w:eastAsia="Times New Roman"/>
          <w:b/>
          <w:sz w:val="22"/>
          <w:szCs w:val="24"/>
        </w:rPr>
        <w:t xml:space="preserve">:  </w:t>
      </w:r>
      <w:r>
        <w:rPr>
          <w:rFonts w:eastAsia="Times New Roman"/>
          <w:b/>
        </w:rPr>
        <w:t>Not applicable.</w:t>
      </w:r>
    </w:p>
    <w:p w:rsidR="00AD0E67" w:rsidRDefault="00E2076C">
      <w:pPr>
        <w:keepLines/>
        <w:spacing w:after="120" w:line="240" w:lineRule="exact"/>
      </w:pPr>
      <w:r>
        <w:rPr>
          <w:rFonts w:eastAsia="Times New Roman"/>
          <w:sz w:val="22"/>
          <w:szCs w:val="24"/>
        </w:rPr>
        <w:t xml:space="preserve">Code Availability: Available at https://github.com/saaachis/hinglish-grounded-medical-rag, release tag </w:t>
      </w:r>
      <w:commentRangeStart w:id="49"/>
      <w:r>
        <w:rPr>
          <w:rFonts w:eastAsia="Times New Roman"/>
          <w:sz w:val="22"/>
          <w:szCs w:val="24"/>
          <w:highlight w:val="yellow"/>
        </w:rPr>
        <w:t>v1.1-iccsdi2026-revised</w:t>
      </w:r>
      <w:commentRangeEnd w:id="49"/>
      <w:r>
        <w:rPr>
          <w:rStyle w:val="CommentReference"/>
        </w:rPr>
        <w:commentReference w:id="49"/>
      </w:r>
      <w:r>
        <w:rPr>
          <w:rFonts w:eastAsia="Times New Roman"/>
          <w:sz w:val="22"/>
          <w:szCs w:val="24"/>
        </w:rPr>
        <w:t>. Archived outputs permit re-scoring of every reported number (Sect. 6.1)</w:t>
      </w:r>
      <w:r>
        <w:rPr>
          <w:rFonts w:eastAsia="Times New Roman"/>
          <w:sz w:val="22"/>
          <w:szCs w:val="24"/>
          <w:highlight w:val="green"/>
        </w:rPr>
        <w:t>, and python -m src.analysis.verify_paper_numbers checks every headline value in this manuscript against the committed results</w:t>
      </w:r>
      <w:r>
        <w:rPr>
          <w:rFonts w:eastAsia="Times New Roman"/>
          <w:sz w:val="22"/>
          <w:szCs w:val="24"/>
        </w:rPr>
        <w:t>.</w:t>
      </w:r>
    </w:p>
    <w:p w:rsidR="00AD0E67" w:rsidRDefault="00871784" w:rsidP="001B7EB7">
      <w:pPr>
        <w:keepLines/>
        <w:spacing w:after="0" w:line="240" w:lineRule="exact"/>
      </w:pPr>
      <w:r w:rsidRPr="001B7EB7">
        <w:rPr>
          <w:rFonts w:eastAsia="Times New Roman"/>
          <w:b/>
          <w:sz w:val="22"/>
          <w:szCs w:val="24"/>
        </w:rPr>
        <w:t xml:space="preserve">Author </w:t>
      </w:r>
      <w:r w:rsidR="001B7EB7" w:rsidRPr="001B7EB7">
        <w:rPr>
          <w:rFonts w:eastAsia="Times New Roman"/>
          <w:b/>
          <w:sz w:val="22"/>
          <w:szCs w:val="24"/>
        </w:rPr>
        <w:t>Contributions:</w:t>
      </w:r>
      <w:r w:rsidR="001B7EB7" w:rsidRPr="001B7EB7">
        <w:rPr>
          <w:rFonts w:eastAsia="Times New Roman"/>
          <w:sz w:val="22"/>
          <w:szCs w:val="24"/>
        </w:rPr>
        <w:t xml:space="preserve">  </w:t>
      </w:r>
      <w:proofErr w:type="spellStart"/>
      <w:r>
        <w:rPr>
          <w:rFonts w:eastAsia="Times New Roman"/>
        </w:rPr>
        <w:t>Devika</w:t>
      </w:r>
      <w:proofErr w:type="spellEnd"/>
      <w:r>
        <w:rPr>
          <w:rFonts w:eastAsia="Times New Roman"/>
        </w:rPr>
        <w:t xml:space="preserve"> </w:t>
      </w:r>
      <w:proofErr w:type="spellStart"/>
      <w:r>
        <w:rPr>
          <w:rFonts w:eastAsia="Times New Roman"/>
        </w:rPr>
        <w:t>Jonjale</w:t>
      </w:r>
      <w:proofErr w:type="spellEnd"/>
      <w:r>
        <w:rPr>
          <w:rFonts w:eastAsia="Times New Roman"/>
        </w:rPr>
        <w:t xml:space="preserve"> and Saachi Shinde contributed equally to the </w:t>
      </w:r>
      <w:proofErr w:type="spellStart"/>
      <w:r>
        <w:rPr>
          <w:rFonts w:eastAsia="Times New Roman"/>
        </w:rPr>
        <w:t>conceptualisation</w:t>
      </w:r>
      <w:proofErr w:type="spellEnd"/>
      <w:r>
        <w:rPr>
          <w:rFonts w:eastAsia="Times New Roman"/>
        </w:rPr>
        <w:t>, method</w:t>
      </w:r>
      <w:bookmarkStart w:id="0" w:name="_GoBack"/>
      <w:bookmarkEnd w:id="0"/>
      <w:r>
        <w:rPr>
          <w:rFonts w:eastAsia="Times New Roman"/>
        </w:rPr>
        <w:t xml:space="preserve">ology, software, data </w:t>
      </w:r>
      <w:proofErr w:type="spellStart"/>
      <w:r>
        <w:rPr>
          <w:rFonts w:eastAsia="Times New Roman"/>
        </w:rPr>
        <w:t>curation</w:t>
      </w:r>
      <w:proofErr w:type="spellEnd"/>
      <w:r>
        <w:rPr>
          <w:rFonts w:eastAsia="Times New Roman"/>
        </w:rPr>
        <w:t xml:space="preserve">, formal analysis, validation, </w:t>
      </w:r>
      <w:proofErr w:type="spellStart"/>
      <w:r>
        <w:rPr>
          <w:rFonts w:eastAsia="Times New Roman"/>
        </w:rPr>
        <w:t>visualisation</w:t>
      </w:r>
      <w:proofErr w:type="spellEnd"/>
      <w:r>
        <w:rPr>
          <w:rFonts w:eastAsia="Times New Roman"/>
        </w:rPr>
        <w:t>, and writing of this work.</w:t>
      </w:r>
    </w:p>
    <w:p w:rsidR="00D12BE6" w:rsidRPr="00801CA3" w:rsidRDefault="00D12BE6" w:rsidP="00D12BE6">
      <w:pPr>
        <w:pStyle w:val="ICCSDIBackHeading"/>
        <w:spacing w:before="0" w:after="0"/>
        <w:rPr>
          <w:rFonts w:eastAsia="Times New Roman"/>
        </w:rPr>
      </w:pPr>
    </w:p>
    <w:p w:rsidR="00AD0E67" w:rsidRDefault="00871784" w:rsidP="00D12BE6">
      <w:pPr>
        <w:pStyle w:val="ICCSDIBackHeading"/>
        <w:spacing w:before="0"/>
      </w:pPr>
      <w:r w:rsidRPr="00D12BE6">
        <w:rPr>
          <w:rFonts w:eastAsia="Times New Roman"/>
          <w:sz w:val="24"/>
          <w:szCs w:val="24"/>
        </w:rPr>
        <w:t>References</w:t>
      </w:r>
      <w:r w:rsidR="00DE1D81">
        <w:rPr>
          <w:rFonts w:eastAsia="Times New Roman"/>
        </w:rPr>
        <w:t>:</w:t>
      </w:r>
    </w:p>
    <w:p w:rsidR="00AD0E67" w:rsidRDefault="00871784">
      <w:pPr>
        <w:pStyle w:val="ICCSDIReference"/>
        <w:keepLines/>
      </w:pPr>
      <w:r>
        <w:rPr>
          <w:rFonts w:eastAsia="Times New Roman"/>
        </w:rPr>
        <w:t xml:space="preserve">[1] Ghosh, A., Acharya, A., </w:t>
      </w:r>
      <w:proofErr w:type="spellStart"/>
      <w:r>
        <w:rPr>
          <w:rFonts w:eastAsia="Times New Roman"/>
        </w:rPr>
        <w:t>Jha</w:t>
      </w:r>
      <w:proofErr w:type="spellEnd"/>
      <w:r>
        <w:rPr>
          <w:rFonts w:eastAsia="Times New Roman"/>
        </w:rPr>
        <w:t xml:space="preserve">, </w:t>
      </w:r>
      <w:proofErr w:type="gramStart"/>
      <w:r>
        <w:rPr>
          <w:rFonts w:eastAsia="Times New Roman"/>
        </w:rPr>
        <w:t>P</w:t>
      </w:r>
      <w:proofErr w:type="gramEnd"/>
      <w:r>
        <w:rPr>
          <w:rFonts w:eastAsia="Times New Roman"/>
        </w:rPr>
        <w:t xml:space="preserve">., et al.: </w:t>
      </w:r>
      <w:proofErr w:type="spellStart"/>
      <w:r>
        <w:rPr>
          <w:rFonts w:eastAsia="Times New Roman"/>
        </w:rPr>
        <w:t>MedSumm</w:t>
      </w:r>
      <w:proofErr w:type="spellEnd"/>
      <w:r>
        <w:rPr>
          <w:rFonts w:eastAsia="Times New Roman"/>
        </w:rPr>
        <w:t xml:space="preserve">: a multimodal approach to summarizing code-mixed Hindi–English clinical queries. </w:t>
      </w:r>
      <w:proofErr w:type="gramStart"/>
      <w:r>
        <w:rPr>
          <w:rFonts w:eastAsia="Times New Roman"/>
        </w:rPr>
        <w:t>arXiv:</w:t>
      </w:r>
      <w:proofErr w:type="gramEnd"/>
      <w:r>
        <w:rPr>
          <w:rFonts w:eastAsia="Times New Roman"/>
        </w:rPr>
        <w:t>2401.01596 (2024)</w:t>
      </w:r>
    </w:p>
    <w:p w:rsidR="00AD0E67" w:rsidRDefault="00871784">
      <w:pPr>
        <w:pStyle w:val="ICCSDIReference"/>
        <w:keepLines/>
      </w:pPr>
      <w:r>
        <w:rPr>
          <w:rFonts w:eastAsia="Times New Roman"/>
        </w:rPr>
        <w:t xml:space="preserve">[2] </w:t>
      </w:r>
      <w:proofErr w:type="spellStart"/>
      <w:r>
        <w:rPr>
          <w:rFonts w:eastAsia="Times New Roman"/>
        </w:rPr>
        <w:t>Nievas</w:t>
      </w:r>
      <w:proofErr w:type="spellEnd"/>
      <w:r>
        <w:rPr>
          <w:rFonts w:eastAsia="Times New Roman"/>
        </w:rPr>
        <w:t xml:space="preserve"> </w:t>
      </w:r>
      <w:proofErr w:type="spellStart"/>
      <w:r>
        <w:rPr>
          <w:rFonts w:eastAsia="Times New Roman"/>
        </w:rPr>
        <w:t>Offidani</w:t>
      </w:r>
      <w:proofErr w:type="spellEnd"/>
      <w:r>
        <w:rPr>
          <w:rFonts w:eastAsia="Times New Roman"/>
        </w:rPr>
        <w:t xml:space="preserve">, M., </w:t>
      </w:r>
      <w:proofErr w:type="spellStart"/>
      <w:r>
        <w:rPr>
          <w:rFonts w:eastAsia="Times New Roman"/>
        </w:rPr>
        <w:t>Roffet</w:t>
      </w:r>
      <w:proofErr w:type="spellEnd"/>
      <w:r>
        <w:rPr>
          <w:rFonts w:eastAsia="Times New Roman"/>
        </w:rPr>
        <w:t xml:space="preserve">, F., González </w:t>
      </w:r>
      <w:proofErr w:type="spellStart"/>
      <w:r>
        <w:rPr>
          <w:rFonts w:eastAsia="Times New Roman"/>
        </w:rPr>
        <w:t>Galtier</w:t>
      </w:r>
      <w:proofErr w:type="spellEnd"/>
      <w:r>
        <w:rPr>
          <w:rFonts w:eastAsia="Times New Roman"/>
        </w:rPr>
        <w:t xml:space="preserve">, M.C., et al.: An open-source clinical case dataset for medical image classification and multimodal AI applications. Data 10(8), 123 (2025). </w:t>
      </w:r>
      <w:hyperlink r:id="rId16">
        <w:r>
          <w:rPr>
            <w:rStyle w:val="Hyperlink"/>
          </w:rPr>
          <w:t>https://doi.org/10.3390/data10080123</w:t>
        </w:r>
      </w:hyperlink>
    </w:p>
    <w:p w:rsidR="00AD0E67" w:rsidRDefault="00871784">
      <w:pPr>
        <w:pStyle w:val="ICCSDIReference"/>
        <w:keepLines/>
      </w:pPr>
      <w:r>
        <w:rPr>
          <w:rFonts w:eastAsia="Times New Roman"/>
        </w:rPr>
        <w:t xml:space="preserve">[3] Feng, F., Yang, Y., </w:t>
      </w:r>
      <w:proofErr w:type="spellStart"/>
      <w:r>
        <w:rPr>
          <w:rFonts w:eastAsia="Times New Roman"/>
        </w:rPr>
        <w:t>Cer</w:t>
      </w:r>
      <w:proofErr w:type="spellEnd"/>
      <w:r>
        <w:rPr>
          <w:rFonts w:eastAsia="Times New Roman"/>
        </w:rPr>
        <w:t xml:space="preserve">, D., </w:t>
      </w:r>
      <w:proofErr w:type="spellStart"/>
      <w:r>
        <w:rPr>
          <w:rFonts w:eastAsia="Times New Roman"/>
        </w:rPr>
        <w:t>Arivazhagan</w:t>
      </w:r>
      <w:proofErr w:type="spellEnd"/>
      <w:r>
        <w:rPr>
          <w:rFonts w:eastAsia="Times New Roman"/>
        </w:rPr>
        <w:t>, N., Wang, W.: Language-agnostic BERT sentence embedding. In: Proceedings of the 60th Annual Meeting of the Association for Computational Linguistics (ACL), pp. 878–891 (2022)</w:t>
      </w:r>
    </w:p>
    <w:p w:rsidR="00AD0E67" w:rsidRDefault="00871784">
      <w:pPr>
        <w:pStyle w:val="ICCSDIReference"/>
        <w:keepLines/>
      </w:pPr>
      <w:r>
        <w:rPr>
          <w:rFonts w:eastAsia="Times New Roman"/>
        </w:rPr>
        <w:t xml:space="preserve">[4] Ghosh, A., Acharya, A., </w:t>
      </w:r>
      <w:proofErr w:type="spellStart"/>
      <w:r>
        <w:rPr>
          <w:rFonts w:eastAsia="Times New Roman"/>
        </w:rPr>
        <w:t>Saha</w:t>
      </w:r>
      <w:proofErr w:type="spellEnd"/>
      <w:r>
        <w:rPr>
          <w:rFonts w:eastAsia="Times New Roman"/>
        </w:rPr>
        <w:t xml:space="preserve">, S., et al.: </w:t>
      </w:r>
      <w:proofErr w:type="spellStart"/>
      <w:r>
        <w:rPr>
          <w:rFonts w:eastAsia="Times New Roman"/>
        </w:rPr>
        <w:t>HealthAlignSumm</w:t>
      </w:r>
      <w:proofErr w:type="spellEnd"/>
      <w:r>
        <w:rPr>
          <w:rFonts w:eastAsia="Times New Roman"/>
        </w:rPr>
        <w:t>: utilizing alignment for multimodal summarization of code-mixed healthcare dialogues. In: Findings of the Association for Computational Linguistics: EMNLP 2024, pp. 11546–11560 (2024)</w:t>
      </w:r>
    </w:p>
    <w:p w:rsidR="00AD0E67" w:rsidRDefault="00871784">
      <w:pPr>
        <w:pStyle w:val="ICCSDIReference"/>
        <w:keepLines/>
      </w:pPr>
      <w:r>
        <w:rPr>
          <w:rFonts w:eastAsia="Times New Roman"/>
        </w:rPr>
        <w:t xml:space="preserve">[5] </w:t>
      </w:r>
      <w:proofErr w:type="spellStart"/>
      <w:r>
        <w:rPr>
          <w:rFonts w:eastAsia="Times New Roman"/>
        </w:rPr>
        <w:t>Xiong</w:t>
      </w:r>
      <w:proofErr w:type="spellEnd"/>
      <w:r>
        <w:rPr>
          <w:rFonts w:eastAsia="Times New Roman"/>
        </w:rPr>
        <w:t xml:space="preserve">, G., Jin, Q., Lu, Z., Zhang, </w:t>
      </w:r>
      <w:proofErr w:type="gramStart"/>
      <w:r>
        <w:rPr>
          <w:rFonts w:eastAsia="Times New Roman"/>
        </w:rPr>
        <w:t>A</w:t>
      </w:r>
      <w:proofErr w:type="gramEnd"/>
      <w:r>
        <w:rPr>
          <w:rFonts w:eastAsia="Times New Roman"/>
        </w:rPr>
        <w:t>.: Benchmarking retrieval-augmented generation for medicine. In: Findings of the Association for Computational Linguistics: ACL 2024, pp. 6233–6251 (2024)</w:t>
      </w:r>
    </w:p>
    <w:p w:rsidR="00AD0E67" w:rsidRDefault="00871784">
      <w:pPr>
        <w:pStyle w:val="ICCSDIReference"/>
        <w:keepLines/>
      </w:pPr>
      <w:r>
        <w:rPr>
          <w:rFonts w:eastAsia="Times New Roman"/>
        </w:rPr>
        <w:t xml:space="preserve">[6] Xia, P., Zhu, K., Li, </w:t>
      </w:r>
      <w:proofErr w:type="gramStart"/>
      <w:r>
        <w:rPr>
          <w:rFonts w:eastAsia="Times New Roman"/>
        </w:rPr>
        <w:t>H</w:t>
      </w:r>
      <w:proofErr w:type="gramEnd"/>
      <w:r>
        <w:rPr>
          <w:rFonts w:eastAsia="Times New Roman"/>
        </w:rPr>
        <w:t xml:space="preserve">., et al.: </w:t>
      </w:r>
      <w:proofErr w:type="spellStart"/>
      <w:r>
        <w:rPr>
          <w:rFonts w:eastAsia="Times New Roman"/>
        </w:rPr>
        <w:t>MMed</w:t>
      </w:r>
      <w:proofErr w:type="spellEnd"/>
      <w:r>
        <w:rPr>
          <w:rFonts w:eastAsia="Times New Roman"/>
        </w:rPr>
        <w:t>-RAG: versatile multimodal RAG system for medical vision language models. In: International Conference on Learning Representations (ICLR) (2025)</w:t>
      </w:r>
    </w:p>
    <w:p w:rsidR="00AD0E67" w:rsidRDefault="00871784">
      <w:pPr>
        <w:pStyle w:val="ICCSDIReference"/>
        <w:keepLines/>
      </w:pPr>
      <w:r>
        <w:rPr>
          <w:rFonts w:eastAsia="Times New Roman"/>
        </w:rPr>
        <w:t xml:space="preserve">[7] Sun, L., Zhao, J., Han, M., </w:t>
      </w:r>
      <w:proofErr w:type="spellStart"/>
      <w:r>
        <w:rPr>
          <w:rFonts w:eastAsia="Times New Roman"/>
        </w:rPr>
        <w:t>Xiong</w:t>
      </w:r>
      <w:proofErr w:type="spellEnd"/>
      <w:r>
        <w:rPr>
          <w:rFonts w:eastAsia="Times New Roman"/>
        </w:rPr>
        <w:t>, C.: Fact-aware multimodal retrieval augmentation for accurate medical radiology report generation. In: Proceedings of the 2025 Conference of the North American Chapter of the Association for Computational Linguistics (NAACL), pp. 643–655 (2025)</w:t>
      </w:r>
    </w:p>
    <w:p w:rsidR="00AD0E67" w:rsidRDefault="00871784">
      <w:pPr>
        <w:pStyle w:val="ICCSDIReference"/>
        <w:keepLines/>
      </w:pPr>
      <w:r>
        <w:rPr>
          <w:rFonts w:eastAsia="Times New Roman"/>
        </w:rPr>
        <w:t xml:space="preserve">[8] </w:t>
      </w:r>
      <w:proofErr w:type="spellStart"/>
      <w:r>
        <w:rPr>
          <w:rFonts w:eastAsia="Times New Roman"/>
        </w:rPr>
        <w:t>Lahiri</w:t>
      </w:r>
      <w:proofErr w:type="spellEnd"/>
      <w:r>
        <w:rPr>
          <w:rFonts w:eastAsia="Times New Roman"/>
        </w:rPr>
        <w:t xml:space="preserve">, A.K., Hu, </w:t>
      </w:r>
      <w:proofErr w:type="gramStart"/>
      <w:r>
        <w:rPr>
          <w:rFonts w:eastAsia="Times New Roman"/>
        </w:rPr>
        <w:t>Q.V</w:t>
      </w:r>
      <w:proofErr w:type="gramEnd"/>
      <w:r>
        <w:rPr>
          <w:rFonts w:eastAsia="Times New Roman"/>
        </w:rPr>
        <w:t xml:space="preserve">.: </w:t>
      </w:r>
      <w:proofErr w:type="spellStart"/>
      <w:r>
        <w:rPr>
          <w:rFonts w:eastAsia="Times New Roman"/>
        </w:rPr>
        <w:t>AlzheimerRAG</w:t>
      </w:r>
      <w:proofErr w:type="spellEnd"/>
      <w:r>
        <w:rPr>
          <w:rFonts w:eastAsia="Times New Roman"/>
        </w:rPr>
        <w:t xml:space="preserve">: multimodal retrieval-augmented generation for clinical use cases. Mach. Learn. </w:t>
      </w:r>
      <w:proofErr w:type="spellStart"/>
      <w:r>
        <w:rPr>
          <w:rFonts w:eastAsia="Times New Roman"/>
        </w:rPr>
        <w:t>Knowl</w:t>
      </w:r>
      <w:proofErr w:type="spellEnd"/>
      <w:r>
        <w:rPr>
          <w:rFonts w:eastAsia="Times New Roman"/>
        </w:rPr>
        <w:t xml:space="preserve">. </w:t>
      </w:r>
      <w:proofErr w:type="spellStart"/>
      <w:r>
        <w:rPr>
          <w:rFonts w:eastAsia="Times New Roman"/>
        </w:rPr>
        <w:t>Extr</w:t>
      </w:r>
      <w:proofErr w:type="spellEnd"/>
      <w:r>
        <w:rPr>
          <w:rFonts w:eastAsia="Times New Roman"/>
        </w:rPr>
        <w:t xml:space="preserve">. 7(3), 89 (2025). </w:t>
      </w:r>
      <w:hyperlink r:id="rId17">
        <w:r>
          <w:rPr>
            <w:rStyle w:val="Hyperlink"/>
          </w:rPr>
          <w:t>https://doi.org/10.3390/make7030089</w:t>
        </w:r>
      </w:hyperlink>
    </w:p>
    <w:p w:rsidR="00AD0E67" w:rsidRDefault="00871784">
      <w:pPr>
        <w:pStyle w:val="ICCSDIReference"/>
        <w:keepLines/>
      </w:pPr>
      <w:r>
        <w:rPr>
          <w:rFonts w:eastAsia="Times New Roman"/>
        </w:rPr>
        <w:t xml:space="preserve">[9] Li, C., Wong, C., Zhang, S., et al.: </w:t>
      </w:r>
      <w:proofErr w:type="spellStart"/>
      <w:r>
        <w:rPr>
          <w:rFonts w:eastAsia="Times New Roman"/>
        </w:rPr>
        <w:t>LLaVA</w:t>
      </w:r>
      <w:proofErr w:type="spellEnd"/>
      <w:r>
        <w:rPr>
          <w:rFonts w:eastAsia="Times New Roman"/>
        </w:rPr>
        <w:t>-Med: training a large language-and-vision assistant for biomedicine in one day. In: Advances in Neural Information Processing Systems (</w:t>
      </w:r>
      <w:proofErr w:type="spellStart"/>
      <w:r>
        <w:rPr>
          <w:rFonts w:eastAsia="Times New Roman"/>
        </w:rPr>
        <w:t>NeurIPS</w:t>
      </w:r>
      <w:proofErr w:type="spellEnd"/>
      <w:r>
        <w:rPr>
          <w:rFonts w:eastAsia="Times New Roman"/>
        </w:rPr>
        <w:t>), Datasets and Benchmarks Track (2023)</w:t>
      </w:r>
    </w:p>
    <w:p w:rsidR="00AD0E67" w:rsidRDefault="00871784">
      <w:pPr>
        <w:pStyle w:val="ICCSDIReference"/>
        <w:keepLines/>
      </w:pPr>
      <w:r>
        <w:rPr>
          <w:rFonts w:eastAsia="Times New Roman"/>
        </w:rPr>
        <w:t xml:space="preserve">[10] Zhang, R., </w:t>
      </w:r>
      <w:proofErr w:type="spellStart"/>
      <w:r>
        <w:rPr>
          <w:rFonts w:eastAsia="Times New Roman"/>
        </w:rPr>
        <w:t>Eickhoff</w:t>
      </w:r>
      <w:proofErr w:type="spellEnd"/>
      <w:r>
        <w:rPr>
          <w:rFonts w:eastAsia="Times New Roman"/>
        </w:rPr>
        <w:t xml:space="preserve">, </w:t>
      </w:r>
      <w:proofErr w:type="gramStart"/>
      <w:r>
        <w:rPr>
          <w:rFonts w:eastAsia="Times New Roman"/>
        </w:rPr>
        <w:t>C</w:t>
      </w:r>
      <w:proofErr w:type="gramEnd"/>
      <w:r>
        <w:rPr>
          <w:rFonts w:eastAsia="Times New Roman"/>
        </w:rPr>
        <w:t xml:space="preserve">.: </w:t>
      </w:r>
      <w:proofErr w:type="spellStart"/>
      <w:r>
        <w:rPr>
          <w:rFonts w:eastAsia="Times New Roman"/>
        </w:rPr>
        <w:t>CroCoSum</w:t>
      </w:r>
      <w:proofErr w:type="spellEnd"/>
      <w:r>
        <w:rPr>
          <w:rFonts w:eastAsia="Times New Roman"/>
        </w:rPr>
        <w:t>: a benchmark dataset for cross-lingual code-switched summarization. In: Proceedings of the 2024 Joint International Conference on Computational Linguistics, Language Resources and Evaluation (LREC-COLING 2024), pp. 4113–4126 (2024)</w:t>
      </w:r>
    </w:p>
    <w:p w:rsidR="00AD0E67" w:rsidRDefault="00871784">
      <w:pPr>
        <w:pStyle w:val="ICCSDIReference"/>
        <w:keepLines/>
      </w:pPr>
      <w:commentRangeStart w:id="50"/>
      <w:r>
        <w:rPr>
          <w:rFonts w:eastAsia="Times New Roman"/>
        </w:rPr>
        <w:t xml:space="preserve">[11] Anonymous: </w:t>
      </w:r>
      <w:commentRangeEnd w:id="50"/>
      <w:r>
        <w:rPr>
          <w:rStyle w:val="CommentReference"/>
        </w:rPr>
        <w:commentReference w:id="50"/>
      </w:r>
      <w:proofErr w:type="spellStart"/>
      <w:r>
        <w:rPr>
          <w:rFonts w:eastAsia="Times New Roman"/>
        </w:rPr>
        <w:t>HiFactMix</w:t>
      </w:r>
      <w:proofErr w:type="spellEnd"/>
      <w:r>
        <w:rPr>
          <w:rFonts w:eastAsia="Times New Roman"/>
        </w:rPr>
        <w:t>: a code-mixed benchmark and graph-aware model for evidence-based political claim verification in Hinglish. Under review, ICLR 2026 (2026)</w:t>
      </w:r>
    </w:p>
    <w:p w:rsidR="00C90D4D" w:rsidRDefault="00871784" w:rsidP="00C90D4D">
      <w:pPr>
        <w:pStyle w:val="ICCSDIReference"/>
        <w:keepLines/>
        <w:rPr>
          <w:rStyle w:val="Hyperlink"/>
        </w:rPr>
      </w:pPr>
      <w:r>
        <w:rPr>
          <w:rFonts w:eastAsia="Times New Roman"/>
        </w:rPr>
        <w:t xml:space="preserve">[12] Robertson, S., Zaragoza, H.: The probabilistic relevance framework: BM25 and beyond. Found. Trends Inf. </w:t>
      </w:r>
      <w:proofErr w:type="spellStart"/>
      <w:r>
        <w:rPr>
          <w:rFonts w:eastAsia="Times New Roman"/>
        </w:rPr>
        <w:t>Retr</w:t>
      </w:r>
      <w:proofErr w:type="spellEnd"/>
      <w:r>
        <w:rPr>
          <w:rFonts w:eastAsia="Times New Roman"/>
        </w:rPr>
        <w:t xml:space="preserve">. 3(4), 333–389 (2009). </w:t>
      </w:r>
      <w:hyperlink r:id="rId18">
        <w:r>
          <w:rPr>
            <w:rStyle w:val="Hyperlink"/>
          </w:rPr>
          <w:t>https://doi.org/10.1561/1500000019</w:t>
        </w:r>
      </w:hyperlink>
    </w:p>
    <w:p w:rsidR="00D60B97" w:rsidRDefault="00D60B97" w:rsidP="00D60B97">
      <w:pPr>
        <w:pStyle w:val="ICCSDIReference"/>
        <w:keepLines/>
      </w:pPr>
      <w:r>
        <w:t>[13</w:t>
      </w:r>
      <w:r w:rsidRPr="00C90D4D">
        <w:t xml:space="preserve">] Cormack, G.V., Clarke, C.L.A., </w:t>
      </w:r>
      <w:proofErr w:type="spellStart"/>
      <w:r w:rsidRPr="00C90D4D">
        <w:t>Buettcher</w:t>
      </w:r>
      <w:proofErr w:type="spellEnd"/>
      <w:r w:rsidRPr="00C90D4D">
        <w:t xml:space="preserve">, </w:t>
      </w:r>
      <w:proofErr w:type="gramStart"/>
      <w:r w:rsidRPr="00C90D4D">
        <w:t>S</w:t>
      </w:r>
      <w:proofErr w:type="gramEnd"/>
      <w:r w:rsidRPr="00C90D4D">
        <w:t xml:space="preserve">.: Reciprocal rank fusion outperforms Condorcet and individual rank learning methods. In: Proceedings of the 32nd International ACM SIGIR Conference on Research and Development in Information Retrieval, pp. 758–759 (2009). </w:t>
      </w:r>
      <w:hyperlink r:id="rId19" w:history="1">
        <w:r w:rsidRPr="001E7AE0">
          <w:rPr>
            <w:rStyle w:val="Hyperlink"/>
          </w:rPr>
          <w:t>https://doi.org/10.1145/1571941.1572114</w:t>
        </w:r>
      </w:hyperlink>
    </w:p>
    <w:p w:rsidR="00AD0E67" w:rsidRDefault="00D60B97" w:rsidP="00C90D4D">
      <w:pPr>
        <w:pStyle w:val="ICCSDIReference"/>
        <w:keepLines/>
        <w:rPr>
          <w:rFonts w:eastAsia="Times New Roman"/>
        </w:rPr>
      </w:pPr>
      <w:r>
        <w:rPr>
          <w:rFonts w:eastAsia="Times New Roman"/>
        </w:rPr>
        <w:t>[14</w:t>
      </w:r>
      <w:r w:rsidR="00871784">
        <w:rPr>
          <w:rFonts w:eastAsia="Times New Roman"/>
        </w:rPr>
        <w:t xml:space="preserve">] </w:t>
      </w:r>
      <w:proofErr w:type="spellStart"/>
      <w:r w:rsidR="00871784">
        <w:rPr>
          <w:rFonts w:eastAsia="Times New Roman"/>
        </w:rPr>
        <w:t>Khanuja</w:t>
      </w:r>
      <w:proofErr w:type="spellEnd"/>
      <w:r w:rsidR="00871784">
        <w:rPr>
          <w:rFonts w:eastAsia="Times New Roman"/>
        </w:rPr>
        <w:t xml:space="preserve">, S., Bansal, D., </w:t>
      </w:r>
      <w:proofErr w:type="spellStart"/>
      <w:r w:rsidR="00871784">
        <w:rPr>
          <w:rFonts w:eastAsia="Times New Roman"/>
        </w:rPr>
        <w:t>Mehtani</w:t>
      </w:r>
      <w:proofErr w:type="spellEnd"/>
      <w:r w:rsidR="00871784">
        <w:rPr>
          <w:rFonts w:eastAsia="Times New Roman"/>
        </w:rPr>
        <w:t xml:space="preserve">, S., et al.: </w:t>
      </w:r>
      <w:proofErr w:type="spellStart"/>
      <w:r w:rsidR="00871784">
        <w:rPr>
          <w:rFonts w:eastAsia="Times New Roman"/>
        </w:rPr>
        <w:t>MuRIL</w:t>
      </w:r>
      <w:proofErr w:type="spellEnd"/>
      <w:r w:rsidR="00871784">
        <w:rPr>
          <w:rFonts w:eastAsia="Times New Roman"/>
        </w:rPr>
        <w:t xml:space="preserve">: multilingual representations for Indian languages. </w:t>
      </w:r>
      <w:proofErr w:type="gramStart"/>
      <w:r w:rsidR="00871784">
        <w:rPr>
          <w:rFonts w:eastAsia="Times New Roman"/>
        </w:rPr>
        <w:t>arXiv:</w:t>
      </w:r>
      <w:proofErr w:type="gramEnd"/>
      <w:r w:rsidR="00871784">
        <w:rPr>
          <w:rFonts w:eastAsia="Times New Roman"/>
        </w:rPr>
        <w:t>2103.10730 (2021)</w:t>
      </w:r>
    </w:p>
    <w:p w:rsidR="000605E5" w:rsidRDefault="000605E5" w:rsidP="00D60B97">
      <w:pPr>
        <w:pStyle w:val="ICCSDIReference"/>
        <w:keepLines/>
        <w:ind w:left="0" w:firstLine="0"/>
      </w:pPr>
    </w:p>
    <w:sectPr w:rsidR="000605E5" w:rsidSect="0088113B">
      <w:footerReference w:type="default" r:id="rId20"/>
      <w:pgSz w:w="11909" w:h="16834"/>
      <w:pgMar w:top="1418" w:right="1304" w:bottom="1418" w:left="1304" w:header="431" w:footer="505"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Revision" w:initials="RV" w:date="2026-09-17T20:10:01Z">
    <w:p>
      <w:pPr>
        <w:pStyle w:val="CommentText"/>
      </w:pPr>
      <w:r>
        <w:rPr>
          <w:rStyle w:val="CommentReference"/>
        </w:rPr>
        <w:annotationRef/>
      </w:r>
      <w:r>
        <w:t>R3.5: the abstract now states first that the grounding gain is reference-dependent, and no longer implies a general quality improvement. R3.1: 'pre-registered' -&gt; 'pre-specified'. R3.6: H03 marked provisional. New retrieval results (R1, R2, R3.2) summarised in one sentence each.</w:t>
      </w:r>
    </w:p>
  </w:comment>
  <w:comment w:id="1" w:author="Revision" w:initials="RV" w:date="2026-09-17T20:10:01Z">
    <w:p>
      <w:pPr>
        <w:pStyle w:val="CommentText"/>
      </w:pPr>
      <w:r>
        <w:rPr>
          <w:rStyle w:val="CommentReference"/>
        </w:rPr>
        <w:annotationRef/>
      </w:r>
      <w:r>
        <w:t>R2 (clarity of problem, gap, contributions, novelty): the introduction is restructured into labelled beats — Problem, Gap, Research questions, Approach, Contributions — with the existing sentences kept where they already said the right thing.</w:t>
      </w:r>
    </w:p>
  </w:comment>
  <w:comment w:id="2" w:author="Revision" w:initials="RV" w:date="2026-09-17T20:10:01Z">
    <w:p>
      <w:pPr>
        <w:pStyle w:val="CommentText"/>
      </w:pPr>
      <w:r>
        <w:rPr>
          <w:rStyle w:val="CommentReference"/>
        </w:rPr>
        <w:annotationRef/>
      </w:r>
      <w:r>
        <w:t>Wording fix ('grounded in the patient's own style' did not say what was meant). The gap sentences that followed are expanded into their own paragraph below (R2).</w:t>
      </w:r>
    </w:p>
  </w:comment>
  <w:comment w:id="3" w:author="Revision" w:initials="RV" w:date="2026-09-17T20:10:01Z">
    <w:p>
      <w:pPr>
        <w:pStyle w:val="CommentText"/>
      </w:pPr>
      <w:r>
        <w:rPr>
          <w:rStyle w:val="CommentReference"/>
        </w:rPr>
        <w:annotationRef/>
      </w:r>
      <w:r>
        <w:t>R2: the research gap stated explicitly, in three parts that map onto the three contributions.</w:t>
      </w:r>
    </w:p>
  </w:comment>
  <w:comment w:id="4" w:author="Revision" w:initials="RV" w:date="2026-09-17T20:10:01Z">
    <w:p>
      <w:pPr>
        <w:pStyle w:val="CommentText"/>
      </w:pPr>
      <w:r>
        <w:rPr>
          <w:rStyle w:val="CommentReference"/>
        </w:rPr>
        <w:annotationRef/>
      </w:r>
      <w:r>
        <w:t>R2: research questions named and mapped onto the hypotheses.</w:t>
      </w:r>
    </w:p>
  </w:comment>
  <w:comment w:id="5" w:author="Revision" w:initials="RV" w:date="2026-09-17T20:10:01Z">
    <w:p>
      <w:pPr>
        <w:pStyle w:val="CommentText"/>
      </w:pPr>
      <w:r>
        <w:rPr>
          <w:rStyle w:val="CommentReference"/>
        </w:rPr>
        <w:annotationRef/>
      </w:r>
      <w:r>
        <w:t>R2 ('stronger justification for the proposed approach'): each design choice now says what it isolates.</w:t>
      </w:r>
    </w:p>
  </w:comment>
  <w:comment w:id="6" w:author="Revision" w:initials="RV" w:date="2026-09-17T20:10:01Z">
    <w:p>
      <w:pPr>
        <w:pStyle w:val="CommentText"/>
      </w:pPr>
      <w:r>
        <w:rPr>
          <w:rStyle w:val="CommentReference"/>
        </w:rPr>
        <w:annotationRef/>
      </w:r>
      <w:r>
        <w:t>R3.1 (pre-registration record): H01–H03 are timestamped by a public commit before the first prototype run (4 March 2026); H04 was NOT pre-specified — it first appears in August 2026 — and the paper now says so. 'factual consistency' -&gt; 'factual support' so the hypothesis names the metric that is actually measured.</w:t>
      </w:r>
    </w:p>
  </w:comment>
  <w:comment w:id="7" w:author="Revision" w:initials="RV" w:date="2026-09-17T20:10:01Z">
    <w:p>
      <w:pPr>
        <w:pStyle w:val="CommentText"/>
      </w:pPr>
      <w:r>
        <w:rPr>
          <w:rStyle w:val="CommentReference"/>
        </w:rPr>
        <w:annotationRef/>
      </w:r>
      <w:r>
        <w:t>R2: each contribution now carries its headline number. 'gold human translations' -&gt; 'gold English summaries': MMCQS supplies clinician-style summaries (~21 words), not translations (~97 words) — see Sect. 5.1. 'replicated across two generator families' is now qualified: under real retrieval the gpt-oss replication is much weaker (Table 4).</w:t>
      </w:r>
    </w:p>
  </w:comment>
  <w:comment w:id="8" w:author="Revision" w:initials="RV" w:date="2026-09-17T20:10:01Z">
    <w:p>
      <w:pPr>
        <w:pStyle w:val="CommentText"/>
      </w:pPr>
      <w:r>
        <w:rPr>
          <w:rStyle w:val="CommentReference"/>
        </w:rPr>
        <w:annotationRef/>
      </w:r>
      <w:r>
        <w:t>R2 ('comparisons with relevant existing methods'): a positioning table follows. 'translations' corrected to 'English versions' (they are summaries).</w:t>
      </w:r>
    </w:p>
  </w:comment>
  <w:comment w:id="9" w:author="Revision" w:initials="RV" w:date="2026-09-17T20:10:01Z">
    <w:p>
      <w:pPr>
        <w:pStyle w:val="CommentText"/>
      </w:pPr>
      <w:r>
        <w:rPr>
          <w:rStyle w:val="CommentReference"/>
        </w:rPr>
        <w:annotationRef/>
      </w:r>
      <w:r>
        <w:t>R2: positioning table. Ticks are taken from what each paper actually does; MedSumm supplies English summaries (the pairs this study uses) but studies summarisation, not retrieval.</w:t>
      </w:r>
    </w:p>
  </w:comment>
  <w:comment w:id="10" w:author="Revision" w:initials="RV" w:date="2026-09-17T20:10:01Z">
    <w:p>
      <w:pPr>
        <w:pStyle w:val="CommentText"/>
      </w:pPr>
      <w:r>
        <w:rPr>
          <w:rStyle w:val="CommentReference"/>
        </w:rPr>
        <w:annotationRef/>
      </w:r>
      <w:r>
        <w:t>'English equivalent' -&gt; 'English summary': the MMCQS field is a summary, and the length difference is now stated. R3.2: Recall@1 renamed Success@1 because each query has hundreds of relevant cases.</w:t>
      </w:r>
    </w:p>
  </w:comment>
  <w:comment w:id="11" w:author="Revision" w:initials="RV" w:date="2026-09-17T20:10:01Z">
    <w:p>
      <w:pPr>
        <w:pStyle w:val="CommentText"/>
      </w:pPr>
      <w:r>
        <w:rPr>
          <w:rStyle w:val="CommentReference"/>
        </w:rPr>
        <w:annotationRef/>
      </w:r>
      <w:r>
        <w:t>R3.3: the H02 estimand is now the change in the paired difference, which is what the hypothesis states; the per-arm correlations are its decomposition.</w:t>
      </w:r>
    </w:p>
  </w:comment>
  <w:comment w:id="12" w:author="Revision" w:initials="RV" w:date="2026-09-17T20:10:01Z">
    <w:p>
      <w:pPr>
        <w:pStyle w:val="CommentText"/>
      </w:pPr>
      <w:r>
        <w:rPr>
          <w:rStyle w:val="CommentReference"/>
        </w:rPr>
        <w:annotationRef/>
      </w:r>
      <w:r>
        <w:t>R3.1: the pre-registration record the reviewer asked for. The claim that all four hypotheses were fixed before analysis was not true of H04 and is corrected.</w:t>
      </w:r>
    </w:p>
  </w:comment>
  <w:comment w:id="13" w:author="Revision" w:initials="RV" w:date="2026-09-17T20:10:01Z">
    <w:p>
      <w:pPr>
        <w:pStyle w:val="CommentText"/>
      </w:pPr>
      <w:r>
        <w:rPr>
          <w:rStyle w:val="CommentReference"/>
        </w:rPr>
        <w:annotationRef/>
      </w:r>
      <w:r>
        <w:t>Data description made accurate: the English field is a summary. This is the basis of the register caveat in Sect. 5.1.</w:t>
      </w:r>
    </w:p>
  </w:comment>
  <w:comment w:id="14" w:author="Revision" w:initials="RV" w:date="2026-09-17T20:10:01Z">
    <w:p>
      <w:pPr>
        <w:pStyle w:val="CommentText"/>
      </w:pPr>
      <w:r>
        <w:rPr>
          <w:rStyle w:val="CommentReference"/>
        </w:rPr>
        <w:annotationRef/>
      </w:r>
      <w:r>
        <w:t>R3.2: Success@k, MRR@10 and nDCG@10 added, with graded relevance as an explicitly automatic proxy. R1 / R2: transliteration and translation baselines introduced here.</w:t>
      </w:r>
    </w:p>
  </w:comment>
  <w:comment w:id="15" w:author="Revision" w:initials="RV" w:date="2026-09-17T20:10:01Z">
    <w:p>
      <w:pPr>
        <w:pStyle w:val="CommentText"/>
      </w:pPr>
      <w:r>
        <w:rPr>
          <w:rStyle w:val="CommentReference"/>
        </w:rPr>
        <w:annotationRef/>
      </w:r>
      <w:r>
        <w:t>R3.3: the planned H02 test named.</w:t>
      </w:r>
    </w:p>
  </w:comment>
  <w:comment w:id="16" w:author="Revision" w:initials="RV" w:date="2026-09-17T20:10:01Z">
    <w:p>
      <w:pPr>
        <w:pStyle w:val="CommentText"/>
      </w:pPr>
      <w:r>
        <w:rPr>
          <w:rStyle w:val="CommentReference"/>
        </w:rPr>
        <w:annotationRef/>
      </w:r>
      <w:r>
        <w:t>R3.1: deviations from the plan disclosed in one place rather than left for a reader to reconstruct.</w:t>
      </w:r>
    </w:p>
  </w:comment>
  <w:comment w:id="17" w:author="Revision" w:initials="RV" w:date="2026-09-17T20:10:01Z">
    <w:p>
      <w:pPr>
        <w:pStyle w:val="CommentText"/>
      </w:pPr>
      <w:r>
        <w:rPr>
          <w:rStyle w:val="CommentReference"/>
        </w:rPr>
        <w:annotationRef/>
      </w:r>
      <w:r>
        <w:t>Models used by the new baselines recorded for reproducibility.</w:t>
      </w:r>
    </w:p>
  </w:comment>
  <w:comment w:id="18" w:author="Revision" w:initials="RV" w:date="2026-09-17T20:10:01Z">
    <w:p>
      <w:pPr>
        <w:pStyle w:val="CommentText"/>
      </w:pPr>
      <w:r>
        <w:rPr>
          <w:rStyle w:val="CommentReference"/>
        </w:rPr>
        <w:annotationRef/>
      </w:r>
      <w:r>
        <w:t>Outcome summary aligned with the corrected tests (R3.3, R3.5, R3.6).</w:t>
      </w:r>
    </w:p>
  </w:comment>
  <w:comment w:id="19" w:author="Revision" w:initials="RV" w:date="2026-09-17T20:10:02Z">
    <w:p>
      <w:pPr>
        <w:pStyle w:val="CommentText"/>
      </w:pPr>
      <w:r>
        <w:rPr>
          <w:rStyle w:val="CommentReference"/>
        </w:rPr>
        <w:annotationRef/>
      </w:r>
      <w:r>
        <w:t>R3.2: the penalty is now tested at four depths and on MRR and nDCG for every system, including the TF-IDF test that was left blank. The text no longer needs the hedge 'TF-IDF moves in the same direction'.</w:t>
      </w:r>
    </w:p>
  </w:comment>
  <w:comment w:id="20" w:author="Revision" w:initials="RV" w:date="2026-09-17T20:10:02Z">
    <w:p>
      <w:pPr>
        <w:pStyle w:val="CommentText"/>
      </w:pPr>
      <w:r>
        <w:rPr>
          <w:rStyle w:val="CommentReference"/>
        </w:rPr>
        <w:annotationRef/>
      </w:r>
      <w:r>
        <w:t>R3.2: deeper-rank columns added; the missing TF-IDF test filled in.</w:t>
      </w:r>
    </w:p>
  </w:comment>
  <w:comment w:id="21" w:author="Revision" w:initials="RV" w:date="2026-09-17T20:10:02Z">
    <w:p>
      <w:pPr>
        <w:pStyle w:val="CommentText"/>
      </w:pPr>
      <w:r>
        <w:rPr>
          <w:rStyle w:val="CommentReference"/>
        </w:rPr>
        <w:annotationRef/>
      </w:r>
      <w:r>
        <w:t>R3.2: Success@10 and MRR@10 columns (green) added from results/retrieval_v2/; TF-IDF penalty and p (yellow) were '—' in the submitted table with no reason given. Depth-adjusted random floor added for rank 10. All rank-1 values unchanged.</w:t>
      </w:r>
    </w:p>
  </w:comment>
  <w:comment w:id="22" w:author="Revision" w:initials="RV" w:date="2026-09-17T20:10:02Z">
    <w:p>
      <w:pPr>
        <w:pStyle w:val="CommentText"/>
      </w:pPr>
      <w:r>
        <w:rPr>
          <w:rStyle w:val="CommentReference"/>
        </w:rPr>
        <w:annotationRef/>
      </w:r>
      <w:r>
        <w:t>R3.2: the rank-1 ratio is the weakest version of the asymmetry; on rank-sensitive measures the gap is an order of magnitude.</w:t>
      </w:r>
    </w:p>
  </w:comment>
  <w:comment w:id="23" w:author="Revision" w:initials="RV" w:date="2026-09-17T20:10:02Z">
    <w:p>
      <w:pPr>
        <w:pStyle w:val="CommentText"/>
      </w:pPr>
      <w:r>
        <w:rPr>
          <w:rStyle w:val="CommentReference"/>
        </w:rPr>
        <w:annotationRef/>
      </w:r>
      <w:r>
        <w:t>R1 ('stronger transliteration-aware baselines'): the mechanism the submitted paper called 'a hypothesis the study motivates but does not test' is now tested. The conclusion is softened accordingly.</w:t>
      </w:r>
    </w:p>
  </w:comment>
  <w:comment w:id="24" w:author="Revision" w:initials="RV" w:date="2026-09-17T20:10:02Z">
    <w:p>
      <w:pPr>
        <w:pStyle w:val="CommentText"/>
      </w:pPr>
      <w:r>
        <w:rPr>
          <w:rStyle w:val="CommentReference"/>
        </w:rPr>
        <w:annotationRef/>
      </w:r>
      <w:r>
        <w:t>Fig. 1 regenerated with the axis relabelled Success@1 (R3.2). Values are unchanged.</w:t>
      </w:r>
    </w:p>
  </w:comment>
  <w:comment w:id="25" w:author="Revision" w:initials="RV" w:date="2026-09-17T20:10:02Z">
    <w:p>
      <w:pPr>
        <w:pStyle w:val="CommentText"/>
      </w:pPr>
      <w:r>
        <w:rPr>
          <w:rStyle w:val="CommentReference"/>
        </w:rPr>
        <w:annotationRef/>
      </w:r>
      <w:r>
        <w:t>R2 ('comparisons with relevant existing methods'): translate-then-retrieve is the standard alternative to a cross-lingual encoder. Its result also exposes that the English arm is a summary, which the paper now states as a limitation.</w:t>
      </w:r>
    </w:p>
  </w:comment>
  <w:comment w:id="26" w:author="Revision" w:initials="RV" w:date="2026-09-17T20:10:02Z">
    <w:p>
      <w:pPr>
        <w:pStyle w:val="CommentText"/>
      </w:pPr>
      <w:r>
        <w:rPr>
          <w:rStyle w:val="CommentReference"/>
        </w:rPr>
        <w:annotationRef/>
      </w:r>
      <w:r>
        <w:t>R3.2: new figure showing the penalty at every depth. The former Fig. 3 (dose–response) duplicated the numbers in the H02 table and is removed.</w:t>
      </w:r>
    </w:p>
  </w:comment>
  <w:comment w:id="27" w:author="Revision" w:initials="RV" w:date="2026-09-17T20:10:02Z">
    <w:p>
      <w:pPr>
        <w:pStyle w:val="CommentText"/>
      </w:pPr>
      <w:r>
        <w:rPr>
          <w:rStyle w:val="CommentReference"/>
        </w:rPr>
        <w:annotationRef/>
      </w:r>
      <w:r>
        <w:t>R3.4 / R1.c (lexicon not clinician-validated) and R1.d (richer factuality evidence): clinician annotation was not feasible in the revision window, so the extractor is audited against an independent model and the lexicon's coverage is measured. The arm-dependent bias is a new limitation on H01 and is stated here rather than left for a reader to find.</w:t>
      </w:r>
    </w:p>
  </w:comment>
  <w:comment w:id="28" w:author="Revision" w:initials="RV" w:date="2026-09-17T20:10:02Z">
    <w:p>
      <w:pPr>
        <w:pStyle w:val="CommentText"/>
      </w:pPr>
      <w:r>
        <w:rPr>
          <w:rStyle w:val="CommentReference"/>
        </w:rPr>
        <w:annotationRef/>
      </w:r>
      <w:r>
        <w:t>CORRECTION: the submitted Table 3 gave gpt-oss-120b +0.2659 (oracle) and +0.2238 (real retrieval); neither value exists in any committed result file. The re-scored contrasts (results/rescored/contrasts.csv) give +0.2608 and +0.0704. The real-retrieval row is what supported 'replicates across two generator families', so that claim is now qualified. R3.5: H01's rejection is tied to its protocol.</w:t>
      </w:r>
    </w:p>
  </w:comment>
  <w:comment w:id="29" w:author="Revision" w:initials="RV" w:date="2026-09-17T20:10:02Z">
    <w:p>
      <w:pPr>
        <w:pStyle w:val="CommentText"/>
      </w:pPr>
      <w:r>
        <w:rPr>
          <w:rStyle w:val="CommentReference"/>
        </w:rPr>
        <w:annotationRef/>
      </w:r>
      <w:r>
        <w:t>R3.5: Table 3 (precision only) and Fig. 2 (F1 only) are merged into one table so that the sign change between them is visible in a single row. Replaces the former Fig. 2.</w:t>
      </w:r>
    </w:p>
  </w:comment>
  <w:comment w:id="30" w:author="Revision" w:initials="RV" w:date="2026-09-17T20:10:02Z">
    <w:p>
      <w:pPr>
        <w:pStyle w:val="CommentText"/>
      </w:pPr>
      <w:r>
        <w:rPr>
          <w:rStyle w:val="CommentReference"/>
        </w:rPr>
        <w:annotationRef/>
      </w:r>
      <w:r>
        <w:t>All values from results/rescored/contrasts.csv (negation-repaired lexicon, BH-corrected across the family). Positive in 5/5 conditions against the evidence reference; positive in 1/5 on F1 against the unbiased reference.</w:t>
      </w:r>
    </w:p>
  </w:comment>
  <w:comment w:id="31" w:author="Revision" w:initials="RV" w:date="2026-09-17T20:10:02Z">
    <w:p>
      <w:pPr>
        <w:pStyle w:val="CommentText"/>
      </w:pPr>
      <w:r>
        <w:rPr>
          <w:rStyle w:val="CommentReference"/>
        </w:rPr>
        <w:annotationRef/>
      </w:r>
      <w:r>
        <w:t>Reference now points at the merged table; the gpt-oss real-retrieval F1 deltas are significant (BH p = 0.041 and 0.011), not 'n.s.' as the submitted text said.</w:t>
      </w:r>
    </w:p>
  </w:comment>
  <w:comment w:id="32" w:author="Revision" w:initials="RV" w:date="2026-09-17T20:10:02Z">
    <w:p>
      <w:pPr>
        <w:pStyle w:val="CommentText"/>
      </w:pPr>
      <w:r>
        <w:rPr>
          <w:rStyle w:val="CommentReference"/>
        </w:rPr>
        <w:annotationRef/>
      </w:r>
      <w:r>
        <w:t>CORRECTION: '+0.0875 (p = 0.041) ... small but significant' appears in no result file; the two runs give +0.0748 (p = 0.226) and +0.0755 (p = 0.106), both non-significant. The recall-for-precision sentence now names its generator, because the llama arm shows the opposite sign.</w:t>
      </w:r>
    </w:p>
  </w:comment>
  <w:comment w:id="33" w:author="Revision" w:initials="RV" w:date="2026-09-17T20:10:02Z">
    <w:p>
      <w:pPr>
        <w:pStyle w:val="CommentText"/>
      </w:pPr>
      <w:r>
        <w:rPr>
          <w:rStyle w:val="CommentReference"/>
        </w:rPr>
        <w:annotationRef/>
      </w:r>
      <w:r>
        <w:t>R3.3 (hypothesis/test misalignment): the reviewer is right. The primary test is now the pre-specified interaction on the paired gain; the per-arm correlations are its decomposition. The submitted sentence claiming the per-arm design is 'deliberately stronger' and that the difference test is non-significant is removed: the latter was true only under the old code-mixing measure.</w:t>
      </w:r>
    </w:p>
  </w:comment>
  <w:comment w:id="34" w:author="Revision" w:initials="RV" w:date="2026-09-17T20:10:02Z">
    <w:p>
      <w:pPr>
        <w:pStyle w:val="CommentText"/>
      </w:pPr>
      <w:r>
        <w:rPr>
          <w:rStyle w:val="CommentReference"/>
        </w:rPr>
        <w:annotationRef/>
      </w:r>
      <w:r>
        <w:t>R3.3: the pre-specified gain test added as the first row.</w:t>
      </w:r>
    </w:p>
  </w:comment>
  <w:comment w:id="35" w:author="Revision" w:initials="RV" w:date="2026-09-17T20:10:02Z">
    <w:p>
      <w:pPr>
        <w:pStyle w:val="CommentText"/>
      </w:pPr>
      <w:r>
        <w:rPr>
          <w:rStyle w:val="CommentReference"/>
        </w:rPr>
        <w:annotationRef/>
      </w:r>
      <w:r>
        <w:t>First row from results/h2_per_arm/h2_prespecified_test.md; the four per-arm rows are unchanged from the submitted Table 4.</w:t>
      </w:r>
    </w:p>
  </w:comment>
  <w:comment w:id="36" w:author="Revision" w:initials="RV" w:date="2026-09-17T20:10:02Z">
    <w:p>
      <w:pPr>
        <w:pStyle w:val="CommentText"/>
      </w:pPr>
      <w:r>
        <w:rPr>
          <w:rStyle w:val="CommentReference"/>
        </w:rPr>
        <w:annotationRef/>
      </w:r>
      <w:r>
        <w:t>R3.6: H03 labelled exploratory; its primary outcome was not adequately tested.</w:t>
      </w:r>
    </w:p>
  </w:comment>
  <w:comment w:id="37" w:author="Revision" w:initials="RV" w:date="2026-09-17T20:10:02Z">
    <w:p>
      <w:pPr>
        <w:pStyle w:val="CommentText"/>
      </w:pPr>
      <w:r>
        <w:rPr>
          <w:rStyle w:val="CommentReference"/>
        </w:rPr>
        <w:annotationRef/>
      </w:r>
      <w:r>
        <w:t>R3.6 and R1.e: H03 is provisional, its refusal result is a secondary outcome, and the cost of a powered replication is stated. NEW: 59 of the 63 'scoreable' MultiCaRe answers are also flagged refusals (results/h3_provenance/h3_power.md), so Table 6's F1 column is weaker than the sample size alone suggests.</w:t>
      </w:r>
    </w:p>
  </w:comment>
  <w:comment w:id="38" w:author="Revision" w:initials="RV" w:date="2026-09-17T20:10:02Z">
    <w:p>
      <w:pPr>
        <w:pStyle w:val="CommentText"/>
      </w:pPr>
      <w:r>
        <w:rPr>
          <w:rStyle w:val="CommentReference"/>
        </w:rPr>
        <w:annotationRef/>
      </w:r>
      <w:r>
        <w:t>R3.6: the refusal/scoreable overlap made visible.</w:t>
      </w:r>
    </w:p>
  </w:comment>
  <w:comment w:id="39" w:author="Revision" w:initials="RV" w:date="2026-09-17T20:10:02Z">
    <w:p>
      <w:pPr>
        <w:pStyle w:val="CommentText"/>
      </w:pPr>
      <w:r>
        <w:rPr>
          <w:rStyle w:val="CommentReference"/>
        </w:rPr>
        <w:annotationRef/>
      </w:r>
      <w:r>
        <w:t>New column from results/h3_provenance/h3_power.md; other values unchanged.</w:t>
      </w:r>
    </w:p>
  </w:comment>
  <w:comment w:id="40" w:author="Revision" w:initials="RV" w:date="2026-09-17T20:10:02Z">
    <w:p>
      <w:pPr>
        <w:pStyle w:val="CommentText"/>
      </w:pPr>
      <w:r>
        <w:rPr>
          <w:rStyle w:val="CommentReference"/>
        </w:rPr>
        <w:annotationRef/>
      </w:r>
      <w:r>
        <w:t>Discussion aligned with the new depth, translation and register results.</w:t>
      </w:r>
    </w:p>
  </w:comment>
  <w:comment w:id="41" w:author="Revision" w:initials="RV" w:date="2026-09-17T20:10:02Z">
    <w:p>
      <w:pPr>
        <w:pStyle w:val="CommentText"/>
      </w:pPr>
      <w:r>
        <w:rPr>
          <w:rStyle w:val="CommentReference"/>
        </w:rPr>
        <w:annotationRef/>
      </w:r>
      <w:r>
        <w:t>R1: the untested mechanism claim is replaced by the tested result and its two remaining readings.</w:t>
      </w:r>
    </w:p>
  </w:comment>
  <w:comment w:id="42" w:author="Revision" w:initials="RV" w:date="2026-09-17T20:10:02Z">
    <w:p>
      <w:pPr>
        <w:pStyle w:val="CommentText"/>
      </w:pPr>
      <w:r>
        <w:rPr>
          <w:rStyle w:val="CommentReference"/>
        </w:rPr>
        <w:annotationRef/>
      </w:r>
      <w:r>
        <w:t>R3.5 and the extractor audit: the discussion now carries both qualifications.</w:t>
      </w:r>
    </w:p>
  </w:comment>
  <w:comment w:id="43" w:author="Revision" w:initials="RV" w:date="2026-09-17T20:10:02Z">
    <w:p>
      <w:pPr>
        <w:pStyle w:val="CommentText"/>
      </w:pPr>
      <w:r>
        <w:rPr>
          <w:rStyle w:val="CommentReference"/>
        </w:rPr>
        <w:annotationRef/>
      </w:r>
      <w:r>
        <w:t>R3.3: the earlier recommendation to test dose–response per arm 'rather than on the noisier arm difference' contradicted the reviewer's valid point and is corrected.</w:t>
      </w:r>
    </w:p>
  </w:comment>
  <w:comment w:id="44" w:author="Revision" w:initials="RV" w:date="2026-09-17T20:10:02Z">
    <w:p>
      <w:pPr>
        <w:pStyle w:val="CommentText"/>
      </w:pPr>
      <w:r>
        <w:rPr>
          <w:rStyle w:val="CommentReference"/>
        </w:rPr>
        <w:annotationRef/>
      </w:r>
      <w:r>
        <w:t>R3.4, R1.b, R1.c: limitations 1–3 now carry the automatic-validation evidence and state explicitly that no clinician reviewed the lexicon.</w:t>
      </w:r>
    </w:p>
  </w:comment>
  <w:comment w:id="45" w:author="Revision" w:initials="RV" w:date="2026-09-17T20:10:02Z">
    <w:p>
      <w:pPr>
        <w:pStyle w:val="CommentText"/>
      </w:pPr>
      <w:r>
        <w:rPr>
          <w:rStyle w:val="CommentReference"/>
        </w:rPr>
        <w:annotationRef/>
      </w:r>
      <w:r>
        <w:t>R1.a (low absolute performance contextualised), R1.f (decommissioning mitigation), and the three new limitations from the revision analyses: register confound, approximate transliteration, and H04 being post hoc.</w:t>
      </w:r>
    </w:p>
  </w:comment>
  <w:comment w:id="46" w:author="Revision" w:initials="RV" w:date="2026-09-17T20:10:02Z">
    <w:p>
      <w:pPr>
        <w:pStyle w:val="CommentText"/>
      </w:pPr>
      <w:r>
        <w:rPr>
          <w:rStyle w:val="CommentReference"/>
        </w:rPr>
        <w:annotationRef/>
      </w:r>
      <w:r>
        <w:t>Conclusion aligned with the qualified H01 claim (R3.5) and the new baselines.</w:t>
      </w:r>
    </w:p>
  </w:comment>
  <w:comment w:id="47" w:author="Revision" w:initials="RV" w:date="2026-09-17T20:10:02Z">
    <w:p>
      <w:pPr>
        <w:pStyle w:val="CommentText"/>
      </w:pPr>
      <w:r>
        <w:rPr>
          <w:rStyle w:val="CommentReference"/>
        </w:rPr>
        <w:annotationRef/>
      </w:r>
      <w:r>
        <w:t>Terminology and replication claim aligned with the corrected results.</w:t>
      </w:r>
    </w:p>
  </w:comment>
  <w:comment w:id="48" w:author="Revision" w:initials="RV" w:date="2026-09-17T20:10:02Z">
    <w:p>
      <w:pPr>
        <w:pStyle w:val="CommentText"/>
      </w:pPr>
      <w:r>
        <w:rPr>
          <w:rStyle w:val="CommentReference"/>
        </w:rPr>
        <w:annotationRef/>
      </w:r>
      <w:r>
        <w:t>Future work updated: the annotation tooling exists in the repository, unused.</w:t>
      </w:r>
    </w:p>
  </w:comment>
  <w:comment w:id="49" w:author="Revision" w:initials="RV" w:date="2026-09-17T20:10:02Z">
    <w:p>
      <w:pPr>
        <w:pStyle w:val="CommentText"/>
      </w:pPr>
      <w:r>
        <w:rPr>
          <w:rStyle w:val="CommentReference"/>
        </w:rPr>
        <w:annotationRef/>
      </w:r>
      <w:r>
        <w:t>ACTION: the submitted tag v1.0-iccsdi2026 does not exist in the repository. Create the tag named here on the final commit and publish a GitHub release before resubmitting.</w:t>
      </w:r>
    </w:p>
  </w:comment>
  <w:comment w:id="50" w:author="Revision" w:initials="RV" w:date="2026-09-17T20:10:02Z">
    <w:p>
      <w:pPr>
        <w:pStyle w:val="CommentText"/>
      </w:pPr>
      <w:r>
        <w:rPr>
          <w:rStyle w:val="CommentReference"/>
        </w:rPr>
        <w:annotationRef/>
      </w:r>
      <w:r>
        <w:t>ACTION: 'under review, ICLR 2026' is stale — ICLR 2026 decisions are out. Check OpenReview and cite the published or arXiv version, or drop the reference.</w:t>
      </w:r>
    </w:p>
  </w:comment>
  <w:comment w:id="51" w:author="Revision" w:initials="RV" w:date="2026-09-17T20:10:02Z">
    <w:p>
      <w:pPr>
        <w:pStyle w:val="CommentText"/>
      </w:pPr>
      <w:r>
        <w:rPr>
          <w:rStyle w:val="CommentReference"/>
        </w:rPr>
        <w:annotationRef/>
      </w:r>
      <w:r>
        <w:t>CHECK: a 'Mentor' line is not a field in the ICCSDI template byline. Confirm with Prof. Maurya and the department whether he should be a co-author or remain in the Acknowledgements.</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A1FDD" w:rsidRDefault="00EA1FDD">
      <w:pPr>
        <w:spacing w:after="0" w:line="240" w:lineRule="auto"/>
      </w:pPr>
      <w:r>
        <w:separator/>
      </w:r>
    </w:p>
  </w:endnote>
  <w:endnote w:type="continuationSeparator" w:id="0">
    <w:p w:rsidR="00EA1FDD" w:rsidRDefault="00EA1F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0E67" w:rsidRDefault="00871784">
    <w:pPr>
      <w:pStyle w:val="Footer"/>
      <w:jc w:val="center"/>
    </w:pPr>
    <w:r>
      <w:rPr>
        <w:rFonts w:eastAsia="Times New Roman"/>
        <w:sz w:val="18"/>
      </w:rPr>
      <w:fldChar w:fldCharType="begin"/>
    </w:r>
    <w:r>
      <w:rPr>
        <w:rFonts w:eastAsia="Times New Roman"/>
        <w:sz w:val="18"/>
      </w:rPr>
      <w:instrText xml:space="preserve"> PAGE </w:instrText>
    </w:r>
    <w:r>
      <w:rPr>
        <w:rFonts w:eastAsia="Times New Roman"/>
        <w:sz w:val="18"/>
      </w:rPr>
      <w:fldChar w:fldCharType="separate"/>
    </w:r>
    <w:r w:rsidR="001B7EB7">
      <w:rPr>
        <w:rFonts w:eastAsia="Times New Roman"/>
        <w:noProof/>
        <w:sz w:val="18"/>
      </w:rPr>
      <w:t>10</w:t>
    </w:r>
    <w:r>
      <w:rPr>
        <w:rFonts w:eastAsia="Times New Roman"/>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A1FDD" w:rsidRDefault="00EA1FDD">
      <w:pPr>
        <w:spacing w:after="0" w:line="240" w:lineRule="auto"/>
      </w:pPr>
      <w:r>
        <w:separator/>
      </w:r>
    </w:p>
  </w:footnote>
  <w:footnote w:type="continuationSeparator" w:id="0">
    <w:p w:rsidR="00EA1FDD" w:rsidRDefault="00EA1FD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03D4D"/>
    <w:rsid w:val="00032E1E"/>
    <w:rsid w:val="00034583"/>
    <w:rsid w:val="00034616"/>
    <w:rsid w:val="00037250"/>
    <w:rsid w:val="000605E5"/>
    <w:rsid w:val="0006063C"/>
    <w:rsid w:val="00093712"/>
    <w:rsid w:val="00095A29"/>
    <w:rsid w:val="00111B42"/>
    <w:rsid w:val="0015074B"/>
    <w:rsid w:val="00170E89"/>
    <w:rsid w:val="001824C1"/>
    <w:rsid w:val="001A3D01"/>
    <w:rsid w:val="001A40B3"/>
    <w:rsid w:val="001A6484"/>
    <w:rsid w:val="001B30B0"/>
    <w:rsid w:val="001B7EB7"/>
    <w:rsid w:val="001C3E52"/>
    <w:rsid w:val="001C507E"/>
    <w:rsid w:val="00200DCA"/>
    <w:rsid w:val="00267A25"/>
    <w:rsid w:val="0029639D"/>
    <w:rsid w:val="002F0B8C"/>
    <w:rsid w:val="00313881"/>
    <w:rsid w:val="00326F90"/>
    <w:rsid w:val="00330BC1"/>
    <w:rsid w:val="003631FC"/>
    <w:rsid w:val="00394CEA"/>
    <w:rsid w:val="00395FBF"/>
    <w:rsid w:val="003E51BB"/>
    <w:rsid w:val="00442A9C"/>
    <w:rsid w:val="00472E86"/>
    <w:rsid w:val="004F2A35"/>
    <w:rsid w:val="00501969"/>
    <w:rsid w:val="00556B55"/>
    <w:rsid w:val="005A18F7"/>
    <w:rsid w:val="005B3E64"/>
    <w:rsid w:val="006370D3"/>
    <w:rsid w:val="0065177A"/>
    <w:rsid w:val="00651BF3"/>
    <w:rsid w:val="00662BA7"/>
    <w:rsid w:val="006D7823"/>
    <w:rsid w:val="007233A8"/>
    <w:rsid w:val="007371C7"/>
    <w:rsid w:val="00745AB7"/>
    <w:rsid w:val="00753D99"/>
    <w:rsid w:val="00784B26"/>
    <w:rsid w:val="00785FC5"/>
    <w:rsid w:val="007F55A6"/>
    <w:rsid w:val="00801CA3"/>
    <w:rsid w:val="00804F3E"/>
    <w:rsid w:val="00815F82"/>
    <w:rsid w:val="00834667"/>
    <w:rsid w:val="00850526"/>
    <w:rsid w:val="00871784"/>
    <w:rsid w:val="0088113B"/>
    <w:rsid w:val="00883050"/>
    <w:rsid w:val="008A5555"/>
    <w:rsid w:val="008B4EBD"/>
    <w:rsid w:val="008C2408"/>
    <w:rsid w:val="008C4352"/>
    <w:rsid w:val="008C78FC"/>
    <w:rsid w:val="008D5227"/>
    <w:rsid w:val="008F7B44"/>
    <w:rsid w:val="00910C6C"/>
    <w:rsid w:val="00912092"/>
    <w:rsid w:val="00924E4E"/>
    <w:rsid w:val="009518A3"/>
    <w:rsid w:val="0096304F"/>
    <w:rsid w:val="009633E4"/>
    <w:rsid w:val="00995E9F"/>
    <w:rsid w:val="009961F1"/>
    <w:rsid w:val="00A97916"/>
    <w:rsid w:val="00AA1D8D"/>
    <w:rsid w:val="00AB159C"/>
    <w:rsid w:val="00AB6A4E"/>
    <w:rsid w:val="00AD0E67"/>
    <w:rsid w:val="00AF561F"/>
    <w:rsid w:val="00B21A15"/>
    <w:rsid w:val="00B475E4"/>
    <w:rsid w:val="00B47730"/>
    <w:rsid w:val="00B97FD5"/>
    <w:rsid w:val="00BA4A40"/>
    <w:rsid w:val="00BC7C5F"/>
    <w:rsid w:val="00C343C7"/>
    <w:rsid w:val="00C64A8F"/>
    <w:rsid w:val="00C90D4D"/>
    <w:rsid w:val="00CB0664"/>
    <w:rsid w:val="00D12BE6"/>
    <w:rsid w:val="00D200DF"/>
    <w:rsid w:val="00D4065F"/>
    <w:rsid w:val="00D44C6E"/>
    <w:rsid w:val="00D57C85"/>
    <w:rsid w:val="00D60B97"/>
    <w:rsid w:val="00D626F3"/>
    <w:rsid w:val="00D70931"/>
    <w:rsid w:val="00DC513B"/>
    <w:rsid w:val="00DE1D81"/>
    <w:rsid w:val="00E2032D"/>
    <w:rsid w:val="00E2076C"/>
    <w:rsid w:val="00E612ED"/>
    <w:rsid w:val="00EA1FDD"/>
    <w:rsid w:val="00EB4A66"/>
    <w:rsid w:val="00ED4866"/>
    <w:rsid w:val="00EE43A8"/>
    <w:rsid w:val="00F001A4"/>
    <w:rsid w:val="00FB146D"/>
    <w:rsid w:val="00FB7673"/>
    <w:rsid w:val="00FC693F"/>
    <w:rsid w:val="00FE6FD1"/>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F9A4AEF9-9317-4D55-AB8C-96CB12919E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85FC5"/>
    <w:pPr>
      <w:spacing w:after="100" w:line="244" w:lineRule="exact"/>
      <w:jc w:val="both"/>
    </w:pPr>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CCSDIHeading1">
    <w:name w:val="ICCSDI Heading 1"/>
    <w:pPr>
      <w:keepNext/>
      <w:spacing w:before="260" w:after="100"/>
    </w:pPr>
    <w:rPr>
      <w:rFonts w:ascii="Times New Roman" w:hAnsi="Times New Roman"/>
      <w:b/>
      <w:sz w:val="28"/>
    </w:rPr>
  </w:style>
  <w:style w:type="paragraph" w:customStyle="1" w:styleId="ICCSDIHeading2">
    <w:name w:val="ICCSDI Heading 2"/>
    <w:pPr>
      <w:keepNext/>
      <w:spacing w:before="180" w:after="80"/>
    </w:pPr>
    <w:rPr>
      <w:rFonts w:ascii="Times New Roman" w:hAnsi="Times New Roman"/>
      <w:b/>
    </w:rPr>
  </w:style>
  <w:style w:type="paragraph" w:customStyle="1" w:styleId="ICCSDIBackHeading">
    <w:name w:val="ICCSDI Back Heading"/>
    <w:pPr>
      <w:keepNext/>
      <w:spacing w:before="200" w:after="80"/>
    </w:pPr>
    <w:rPr>
      <w:rFonts w:ascii="Times New Roman" w:hAnsi="Times New Roman"/>
      <w:b/>
    </w:rPr>
  </w:style>
  <w:style w:type="paragraph" w:customStyle="1" w:styleId="ICCSDIBullet">
    <w:name w:val="ICCSDI Bullet"/>
    <w:pPr>
      <w:spacing w:after="50" w:line="240" w:lineRule="exact"/>
      <w:ind w:left="346" w:hanging="230"/>
    </w:pPr>
    <w:rPr>
      <w:rFonts w:ascii="Times New Roman" w:hAnsi="Times New Roman"/>
      <w:sz w:val="20"/>
    </w:rPr>
  </w:style>
  <w:style w:type="paragraph" w:customStyle="1" w:styleId="ICCSDICaption">
    <w:name w:val="ICCSDI Caption"/>
    <w:pPr>
      <w:keepNext/>
      <w:spacing w:before="100" w:after="80"/>
    </w:pPr>
    <w:rPr>
      <w:rFonts w:ascii="Times New Roman" w:hAnsi="Times New Roman"/>
      <w:sz w:val="18"/>
    </w:rPr>
  </w:style>
  <w:style w:type="paragraph" w:customStyle="1" w:styleId="ICCSDIReference">
    <w:name w:val="ICCSDI Reference"/>
    <w:pPr>
      <w:spacing w:after="60" w:line="220" w:lineRule="exact"/>
      <w:ind w:left="331" w:hanging="331"/>
    </w:pPr>
    <w:rPr>
      <w:rFonts w:ascii="Times New Roman" w:hAnsi="Times New Roman"/>
      <w:sz w:val="18"/>
    </w:rPr>
  </w:style>
  <w:style w:type="character" w:styleId="Hyperlink">
    <w:name w:val="Hyperlink"/>
    <w:basedOn w:val="DefaultParagraphFont"/>
    <w:uiPriority w:val="99"/>
    <w:unhideWhenUsed/>
    <w:rsid w:val="00E2076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evikajonjale04@gmail.com" TargetMode="External"/><Relationship Id="rId13" Type="http://schemas.openxmlformats.org/officeDocument/2006/relationships/image" Target="media/image4.png"/><Relationship Id="rId18" Type="http://schemas.openxmlformats.org/officeDocument/2006/relationships/hyperlink" Target="https://doi.org/10.1561/1500000019"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doi.org/10.3390/make7030089" TargetMode="External"/><Relationship Id="rId2" Type="http://schemas.openxmlformats.org/officeDocument/2006/relationships/numbering" Target="numbering.xml"/><Relationship Id="rId16" Type="http://schemas.openxmlformats.org/officeDocument/2006/relationships/hyperlink" Target="https://doi.org/10.3390/data10080123"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yperlink" Target="https://github.com/saaachis/hinglish-grounded-medical-rag" TargetMode="External"/><Relationship Id="rId10" Type="http://schemas.openxmlformats.org/officeDocument/2006/relationships/image" Target="media/image1.png"/><Relationship Id="rId19" Type="http://schemas.openxmlformats.org/officeDocument/2006/relationships/hyperlink" Target="https://doi.org/10.1145/1571941.1572114" TargetMode="External"/><Relationship Id="rId4" Type="http://schemas.openxmlformats.org/officeDocument/2006/relationships/settings" Target="settings.xml"/><Relationship Id="rId9" Type="http://schemas.openxmlformats.org/officeDocument/2006/relationships/hyperlink" Target="mailto:saachi.shinde28@gmail.com" TargetMode="External"/><Relationship Id="rId14" Type="http://schemas.openxmlformats.org/officeDocument/2006/relationships/hyperlink" Target="https://doi.org/10.5281/zenodo.22166651" TargetMode="External"/><Relationship Id="rId22" Type="http://schemas.openxmlformats.org/officeDocument/2006/relationships/theme" Target="theme/theme1.xml"/><Relationship Id="rId23" Type="http://schemas.openxmlformats.org/officeDocument/2006/relationships/comments" Target="comments.xml"/><Relationship Id="rId24" Type="http://schemas.openxmlformats.org/officeDocument/2006/relationships/image" Target="media/image5.png"/><Relationship Id="rId2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CB702D2-E692-402F-B0E2-0E6222A5BD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190</TotalTime>
  <Pages>10</Pages>
  <Words>5871</Words>
  <Characters>33466</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The Code-Mixing Penalty in Clinical Retrieval-Augmented Generation</vt:lpstr>
    </vt:vector>
  </TitlesOfParts>
  <Manager/>
  <Company/>
  <LinksUpToDate>false</LinksUpToDate>
  <CharactersWithSpaces>39259</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Code-Mixing Penalty in Clinical Retrieval-Augmented Generation</dc:title>
  <dc:subject>Word manuscript template for selected extended papers associated with ICCSDI 2026</dc:subject>
  <dc:creator>Devika Jonjale;Saachi Shinde</dc:creator>
  <cp:keywords>ICCSDI 2026; SN Computer Science; manuscript template; Springer Nature</cp:keywords>
  <dc:description>Prepared from the supplied Springer Nature LaTeX manuscript structure.</dc:description>
  <cp:lastModifiedBy>Shinde</cp:lastModifiedBy>
  <cp:revision>86</cp:revision>
  <cp:lastPrinted>2026-08-30T11:55:00Z</cp:lastPrinted>
  <dcterms:created xsi:type="dcterms:W3CDTF">2013-12-23T23:15:00Z</dcterms:created>
  <dcterms:modified xsi:type="dcterms:W3CDTF">2026-09-04T18:01:00Z</dcterms:modified>
  <cp:category/>
</cp:coreProperties>
</file>