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71172" w14:textId="77777777" w:rsidR="00B97F4A" w:rsidRDefault="00B97F4A">
      <w:pPr>
        <w:jc w:val="center"/>
        <w:rPr>
          <w:b/>
          <w:sz w:val="60"/>
        </w:rPr>
      </w:pPr>
    </w:p>
    <w:p w14:paraId="26BBB2F4" w14:textId="77777777" w:rsidR="00B97F4A" w:rsidRDefault="00B97F4A">
      <w:pPr>
        <w:jc w:val="center"/>
        <w:rPr>
          <w:b/>
          <w:sz w:val="60"/>
        </w:rPr>
      </w:pPr>
    </w:p>
    <w:p w14:paraId="487BAD86" w14:textId="77777777" w:rsidR="00B97F4A" w:rsidRDefault="00B97F4A">
      <w:pPr>
        <w:jc w:val="center"/>
        <w:rPr>
          <w:b/>
          <w:sz w:val="60"/>
        </w:rPr>
      </w:pPr>
    </w:p>
    <w:p w14:paraId="19921BA3" w14:textId="77777777" w:rsidR="00B97F4A" w:rsidRDefault="00B97F4A">
      <w:pPr>
        <w:jc w:val="center"/>
        <w:rPr>
          <w:b/>
          <w:sz w:val="60"/>
        </w:rPr>
      </w:pPr>
    </w:p>
    <w:p w14:paraId="7F61130E" w14:textId="09CD06FF" w:rsidR="00B431C4" w:rsidRDefault="00000000">
      <w:pPr>
        <w:jc w:val="center"/>
      </w:pPr>
      <w:r>
        <w:rPr>
          <w:b/>
          <w:sz w:val="60"/>
        </w:rPr>
        <w:t>COVID-19 DATA ANALYSIS</w:t>
      </w:r>
    </w:p>
    <w:p w14:paraId="4A24F1E7" w14:textId="77777777" w:rsidR="00B431C4" w:rsidRDefault="00000000">
      <w:pPr>
        <w:jc w:val="center"/>
      </w:pPr>
      <w:r>
        <w:rPr>
          <w:b/>
          <w:sz w:val="32"/>
        </w:rPr>
        <w:t>Data Analysis Using Microsoft Excel, PivotTables, PivotCharts and Dashboard</w:t>
      </w:r>
    </w:p>
    <w:p w14:paraId="06610177" w14:textId="77777777" w:rsidR="00B431C4" w:rsidRDefault="00000000">
      <w:r>
        <w:br/>
      </w:r>
    </w:p>
    <w:p w14:paraId="5281DDD7" w14:textId="77777777" w:rsidR="00B431C4" w:rsidRDefault="00000000">
      <w:pPr>
        <w:jc w:val="center"/>
      </w:pPr>
      <w:r>
        <w:rPr>
          <w:sz w:val="24"/>
        </w:rPr>
        <w:t>Project Report</w:t>
      </w:r>
    </w:p>
    <w:p w14:paraId="5B285001" w14:textId="77777777" w:rsidR="00B431C4" w:rsidRDefault="00000000">
      <w:pPr>
        <w:jc w:val="center"/>
      </w:pPr>
      <w:r>
        <w:rPr>
          <w:sz w:val="24"/>
        </w:rPr>
        <w:t>Prepared using the supplied COVID-19 dataset</w:t>
      </w:r>
    </w:p>
    <w:p w14:paraId="34921A78" w14:textId="77777777" w:rsidR="00B431C4" w:rsidRDefault="00000000">
      <w:pPr>
        <w:jc w:val="center"/>
      </w:pPr>
      <w:r>
        <w:rPr>
          <w:sz w:val="24"/>
        </w:rPr>
        <w:t>Analysis period: 2020–2025</w:t>
      </w:r>
    </w:p>
    <w:p w14:paraId="640E3AD8" w14:textId="77777777" w:rsidR="00B431C4" w:rsidRDefault="00B431C4">
      <w:pPr>
        <w:jc w:val="center"/>
      </w:pPr>
    </w:p>
    <w:p w14:paraId="06F8E8A9" w14:textId="00347CEA" w:rsidR="00B97F4A" w:rsidRDefault="00B97F4A">
      <w:pPr>
        <w:jc w:val="center"/>
      </w:pPr>
      <w:r>
        <w:t>Submitted by</w:t>
      </w:r>
    </w:p>
    <w:p w14:paraId="10F454BA" w14:textId="00ABE735" w:rsidR="00B431C4" w:rsidRDefault="00B97F4A">
      <w:pPr>
        <w:jc w:val="center"/>
      </w:pPr>
      <w:r>
        <w:rPr>
          <w:sz w:val="24"/>
        </w:rPr>
        <w:t>Farhana Sultana, Rabin Das &amp; Sanju Jana</w:t>
      </w:r>
    </w:p>
    <w:p w14:paraId="564F1823" w14:textId="77777777" w:rsidR="00B431C4" w:rsidRDefault="00000000">
      <w:r>
        <w:br/>
      </w:r>
    </w:p>
    <w:p w14:paraId="30EB8B33" w14:textId="77777777" w:rsidR="00B431C4" w:rsidRDefault="00000000">
      <w:r>
        <w:br w:type="page"/>
      </w:r>
    </w:p>
    <w:p w14:paraId="5747EE01" w14:textId="77777777" w:rsidR="00B431C4" w:rsidRDefault="00000000">
      <w:pPr>
        <w:jc w:val="center"/>
      </w:pPr>
      <w:r>
        <w:rPr>
          <w:b/>
          <w:sz w:val="44"/>
        </w:rPr>
        <w:lastRenderedPageBreak/>
        <w:t>Abstract</w:t>
      </w:r>
    </w:p>
    <w:p w14:paraId="25EB57B8" w14:textId="77777777" w:rsidR="00B97F4A" w:rsidRDefault="00B97F4A"/>
    <w:p w14:paraId="7D828B54" w14:textId="4BBCD2AF" w:rsidR="00B431C4" w:rsidRPr="00B97F4A" w:rsidRDefault="00000000">
      <w:pPr>
        <w:rPr>
          <w:sz w:val="24"/>
          <w:szCs w:val="24"/>
        </w:rPr>
      </w:pPr>
      <w:r w:rsidRPr="00B97F4A">
        <w:rPr>
          <w:sz w:val="24"/>
          <w:szCs w:val="24"/>
        </w:rPr>
        <w:t>This project presents an Excel-based analysis of COVID-19 data for Indian States and Union Territories covering the period from 2020 to 2025. The supplied dataset contains 198 records and eight analytical fields: Year, State/UT, New COVID Cases, Deaths, Recovered Cases, Active Cases at Year End, Recovery Rate %, and Case Fatality Rate %. The purpose of the project is to convert the raw dataset into meaningful information through data cleaning, aggregation, PivotTables, PivotCharts, dashboard design, and forecasting.</w:t>
      </w:r>
    </w:p>
    <w:p w14:paraId="14281618" w14:textId="77777777" w:rsidR="00B431C4" w:rsidRPr="00B97F4A" w:rsidRDefault="00000000">
      <w:pPr>
        <w:rPr>
          <w:sz w:val="24"/>
          <w:szCs w:val="24"/>
        </w:rPr>
      </w:pPr>
      <w:r w:rsidRPr="00B97F4A">
        <w:rPr>
          <w:sz w:val="24"/>
          <w:szCs w:val="24"/>
        </w:rPr>
        <w:t>The analysis shows strong variation in the recorded values across years. In the supplied dataset, 2021 has the highest total number of new COVID-19 cases at 34,265,213 and also the highest recorded deaths at 2,071,089. The highest total recovered cases occur in 2022, with 4,043,534 recoveries. The active-case total is also highest in 2021 at 30,350,527. From 2023 onward, the recorded values decline substantially, reaching 6,495 new cases and zero recorded deaths in 2025.</w:t>
      </w:r>
    </w:p>
    <w:p w14:paraId="60E464DE" w14:textId="77777777" w:rsidR="00B431C4" w:rsidRPr="00B97F4A" w:rsidRDefault="00000000">
      <w:pPr>
        <w:rPr>
          <w:sz w:val="24"/>
          <w:szCs w:val="24"/>
        </w:rPr>
      </w:pPr>
      <w:r w:rsidRPr="00B97F4A">
        <w:rPr>
          <w:sz w:val="24"/>
          <w:szCs w:val="24"/>
        </w:rPr>
        <w:t>The dashboard combines year-wise and state-wise views, including a year-wise new-case chart, state-wise recovery rate chart, case-fatality-rate chart, year-wise recovery-rate chart, death-count chart, and a pie chart showing the relative contribution of new cases, active cases, recovered cases, and deaths. A forecasting model included in the workbook extends the new-case trend into 2026 and 2027. The forecast shown in the dashboard estimates about 325 cases for 2026 and 30 cases for 2027, with confidence ranges of approximately 163–488 and 15–45 respectively.</w:t>
      </w:r>
    </w:p>
    <w:p w14:paraId="34FE83CC" w14:textId="77777777" w:rsidR="00B431C4" w:rsidRPr="00B97F4A" w:rsidRDefault="00000000">
      <w:pPr>
        <w:rPr>
          <w:sz w:val="24"/>
          <w:szCs w:val="24"/>
        </w:rPr>
      </w:pPr>
      <w:r w:rsidRPr="00B97F4A">
        <w:rPr>
          <w:sz w:val="24"/>
          <w:szCs w:val="24"/>
        </w:rPr>
        <w:t>The project demonstrates how spreadsheet-based analytics can transform a structured dataset into a visual decision-support tool. At the same time, the results should be interpreted as an analysis of the supplied dataset rather than as independently verified public-health statistics, because some values and calculated rates show unusual patterns.</w:t>
      </w:r>
    </w:p>
    <w:p w14:paraId="2312F936" w14:textId="77777777" w:rsidR="00B431C4" w:rsidRDefault="00000000">
      <w:r>
        <w:br w:type="page"/>
      </w:r>
    </w:p>
    <w:p w14:paraId="29EF46C3" w14:textId="6CB1A0D5" w:rsidR="00B431C4" w:rsidRDefault="00000000">
      <w:pPr>
        <w:jc w:val="center"/>
      </w:pPr>
      <w:r>
        <w:rPr>
          <w:b/>
          <w:sz w:val="44"/>
        </w:rPr>
        <w:lastRenderedPageBreak/>
        <w:t>Introduction</w:t>
      </w:r>
    </w:p>
    <w:p w14:paraId="66C6B768" w14:textId="77777777" w:rsidR="00B97F4A" w:rsidRDefault="00B97F4A"/>
    <w:p w14:paraId="5B7A7EE1" w14:textId="50910702" w:rsidR="00B431C4" w:rsidRPr="00B97F4A" w:rsidRDefault="00000000">
      <w:pPr>
        <w:rPr>
          <w:sz w:val="24"/>
          <w:szCs w:val="28"/>
        </w:rPr>
      </w:pPr>
      <w:r w:rsidRPr="00B97F4A">
        <w:rPr>
          <w:sz w:val="24"/>
          <w:szCs w:val="28"/>
        </w:rPr>
        <w:t>COVID-19 was a major global health emergency that affected public health, education, employment, businesses, transportation, travel, and everyday life. The rapid spread of the virus created large volumes of data containing information about infections, deaths, recoveries, and active cases. Organizing and analyzing such information is important because raw numbers alone are difficult to interpret. Data analysis helps identify patterns, compare regions, and understand how the situation changed over time.</w:t>
      </w:r>
    </w:p>
    <w:p w14:paraId="056267FE" w14:textId="77777777" w:rsidR="00B431C4" w:rsidRPr="00B97F4A" w:rsidRDefault="00000000">
      <w:pPr>
        <w:rPr>
          <w:sz w:val="24"/>
          <w:szCs w:val="28"/>
        </w:rPr>
      </w:pPr>
      <w:r w:rsidRPr="00B97F4A">
        <w:rPr>
          <w:sz w:val="24"/>
          <w:szCs w:val="28"/>
        </w:rPr>
        <w:t>This project focuses on an Excel-based approach to COVID-19 data analysis. The dataset supplied for the project contains yearly observations for Indian States and Union Territories from 2020 to 2025. Instead of examining each row separately, the project summarizes the data using PivotTables and presents the results through PivotCharts and a consolidated dashboard.</w:t>
      </w:r>
    </w:p>
    <w:p w14:paraId="2B3C1E1E" w14:textId="77777777" w:rsidR="00B431C4" w:rsidRPr="00B97F4A" w:rsidRDefault="00000000">
      <w:pPr>
        <w:rPr>
          <w:sz w:val="24"/>
          <w:szCs w:val="28"/>
        </w:rPr>
      </w:pPr>
      <w:r w:rsidRPr="00B97F4A">
        <w:rPr>
          <w:sz w:val="24"/>
          <w:szCs w:val="28"/>
        </w:rPr>
        <w:t>The project follows a practical data-analysis workflow. First, the dataset is inspected and organized. Next, summary calculations are created using PivotTables. These summaries are then converted into charts so that trends and comparisons can be understood visually. Finally, the charts and filters are arranged into a dashboard that provides a single view of the most important information.</w:t>
      </w:r>
    </w:p>
    <w:p w14:paraId="3C5C2A22" w14:textId="77777777" w:rsidR="00B431C4" w:rsidRPr="00B97F4A" w:rsidRDefault="00000000">
      <w:pPr>
        <w:rPr>
          <w:sz w:val="24"/>
          <w:szCs w:val="28"/>
        </w:rPr>
      </w:pPr>
      <w:r w:rsidRPr="00B97F4A">
        <w:rPr>
          <w:sz w:val="24"/>
          <w:szCs w:val="28"/>
        </w:rPr>
        <w:t>The project also includes a forecasting component. Forecasting uses the historical trend in the dataset to estimate possible future new-case values. Such forecasts are not guarantees; they are model-based estimates that depend heavily on the quality, completeness, and consistency of the historical data.</w:t>
      </w:r>
    </w:p>
    <w:p w14:paraId="36C92DE6" w14:textId="77777777" w:rsidR="00B431C4" w:rsidRPr="00B97F4A" w:rsidRDefault="00000000">
      <w:pPr>
        <w:rPr>
          <w:sz w:val="24"/>
          <w:szCs w:val="28"/>
        </w:rPr>
      </w:pPr>
      <w:r w:rsidRPr="00B97F4A">
        <w:rPr>
          <w:sz w:val="24"/>
          <w:szCs w:val="28"/>
        </w:rPr>
        <w:t>Overall, the project demonstrates the use of Microsoft Excel as a basic business-intelligence and data-visualization tool.</w:t>
      </w:r>
    </w:p>
    <w:p w14:paraId="5EF29856" w14:textId="77777777" w:rsidR="00B431C4" w:rsidRDefault="00000000">
      <w:r>
        <w:br w:type="page"/>
      </w:r>
    </w:p>
    <w:p w14:paraId="1BCAF589" w14:textId="35F00FD4" w:rsidR="00B431C4" w:rsidRDefault="00000000">
      <w:pPr>
        <w:jc w:val="center"/>
      </w:pPr>
      <w:r>
        <w:rPr>
          <w:b/>
          <w:sz w:val="44"/>
        </w:rPr>
        <w:lastRenderedPageBreak/>
        <w:t>Objectives of the Project</w:t>
      </w:r>
    </w:p>
    <w:p w14:paraId="22914832" w14:textId="77777777" w:rsidR="00B97F4A" w:rsidRDefault="00B97F4A" w:rsidP="00B97F4A">
      <w:pPr>
        <w:pStyle w:val="ListBullet"/>
        <w:numPr>
          <w:ilvl w:val="0"/>
          <w:numId w:val="0"/>
        </w:numPr>
        <w:ind w:left="360"/>
        <w:rPr>
          <w:sz w:val="24"/>
          <w:szCs w:val="28"/>
        </w:rPr>
      </w:pPr>
    </w:p>
    <w:p w14:paraId="543A3786" w14:textId="70770F42" w:rsidR="00B431C4" w:rsidRPr="00B97F4A" w:rsidRDefault="00000000">
      <w:pPr>
        <w:pStyle w:val="ListBullet"/>
        <w:rPr>
          <w:sz w:val="24"/>
          <w:szCs w:val="28"/>
        </w:rPr>
      </w:pPr>
      <w:r w:rsidRPr="00B97F4A">
        <w:rPr>
          <w:sz w:val="24"/>
          <w:szCs w:val="28"/>
        </w:rPr>
        <w:t>To analyze COVID-19 cases across different States and Union Territories.</w:t>
      </w:r>
    </w:p>
    <w:p w14:paraId="5870F6B4" w14:textId="77777777" w:rsidR="00B431C4" w:rsidRPr="00B97F4A" w:rsidRDefault="00000000">
      <w:pPr>
        <w:pStyle w:val="ListBullet"/>
        <w:rPr>
          <w:sz w:val="24"/>
          <w:szCs w:val="28"/>
        </w:rPr>
      </w:pPr>
      <w:r w:rsidRPr="00B97F4A">
        <w:rPr>
          <w:sz w:val="24"/>
          <w:szCs w:val="28"/>
        </w:rPr>
        <w:t>To compare deaths, recovered cases, and active cases during the study period.</w:t>
      </w:r>
    </w:p>
    <w:p w14:paraId="00B54E3B" w14:textId="77777777" w:rsidR="00B431C4" w:rsidRPr="00B97F4A" w:rsidRDefault="00000000">
      <w:pPr>
        <w:pStyle w:val="ListBullet"/>
        <w:rPr>
          <w:sz w:val="24"/>
          <w:szCs w:val="28"/>
        </w:rPr>
      </w:pPr>
      <w:r w:rsidRPr="00B97F4A">
        <w:rPr>
          <w:sz w:val="24"/>
          <w:szCs w:val="28"/>
        </w:rPr>
        <w:t>To examine changes in recovery rate and case fatality rate across years and states.</w:t>
      </w:r>
    </w:p>
    <w:p w14:paraId="4686E40E" w14:textId="77777777" w:rsidR="00B431C4" w:rsidRPr="00B97F4A" w:rsidRDefault="00000000">
      <w:pPr>
        <w:pStyle w:val="ListBullet"/>
        <w:rPr>
          <w:sz w:val="24"/>
          <w:szCs w:val="28"/>
        </w:rPr>
      </w:pPr>
      <w:r w:rsidRPr="00B97F4A">
        <w:rPr>
          <w:sz w:val="24"/>
          <w:szCs w:val="28"/>
        </w:rPr>
        <w:t>To summarize the dataset using Excel PivotTables for easier interpretation.</w:t>
      </w:r>
    </w:p>
    <w:p w14:paraId="3FE7D6E3" w14:textId="77777777" w:rsidR="00B431C4" w:rsidRPr="00B97F4A" w:rsidRDefault="00000000">
      <w:pPr>
        <w:pStyle w:val="ListBullet"/>
        <w:rPr>
          <w:sz w:val="24"/>
          <w:szCs w:val="28"/>
        </w:rPr>
      </w:pPr>
      <w:r w:rsidRPr="00B97F4A">
        <w:rPr>
          <w:sz w:val="24"/>
          <w:szCs w:val="28"/>
        </w:rPr>
        <w:t>To create PivotCharts that visually represent important COVID-19 trends and comparisons.</w:t>
      </w:r>
    </w:p>
    <w:p w14:paraId="3C2B93B0" w14:textId="77777777" w:rsidR="00B431C4" w:rsidRPr="00B97F4A" w:rsidRDefault="00000000">
      <w:pPr>
        <w:pStyle w:val="ListBullet"/>
        <w:rPr>
          <w:sz w:val="24"/>
          <w:szCs w:val="28"/>
        </w:rPr>
      </w:pPr>
      <w:r w:rsidRPr="00B97F4A">
        <w:rPr>
          <w:sz w:val="24"/>
          <w:szCs w:val="28"/>
        </w:rPr>
        <w:t>To design an informative dashboard that combines multiple views of the dataset in one place.</w:t>
      </w:r>
    </w:p>
    <w:p w14:paraId="6ECD9CE1" w14:textId="77777777" w:rsidR="00B431C4" w:rsidRPr="00B97F4A" w:rsidRDefault="00000000">
      <w:pPr>
        <w:pStyle w:val="ListBullet"/>
        <w:rPr>
          <w:sz w:val="24"/>
          <w:szCs w:val="28"/>
        </w:rPr>
      </w:pPr>
      <w:r w:rsidRPr="00B97F4A">
        <w:rPr>
          <w:sz w:val="24"/>
          <w:szCs w:val="28"/>
        </w:rPr>
        <w:t>To use the available historical data to prepare a simple forecasting model for future new cases.</w:t>
      </w:r>
    </w:p>
    <w:p w14:paraId="61084AB0" w14:textId="77777777" w:rsidR="00B431C4" w:rsidRPr="00B97F4A" w:rsidRDefault="00000000">
      <w:pPr>
        <w:pStyle w:val="ListBullet"/>
        <w:rPr>
          <w:sz w:val="24"/>
          <w:szCs w:val="28"/>
        </w:rPr>
      </w:pPr>
      <w:r w:rsidRPr="00B97F4A">
        <w:rPr>
          <w:sz w:val="24"/>
          <w:szCs w:val="28"/>
        </w:rPr>
        <w:t>To identify major patterns and insights that can be communicated clearly through charts and tables.</w:t>
      </w:r>
    </w:p>
    <w:p w14:paraId="162631F5" w14:textId="77777777" w:rsidR="00B431C4" w:rsidRPr="00B97F4A" w:rsidRDefault="00000000">
      <w:pPr>
        <w:pStyle w:val="Heading2"/>
        <w:rPr>
          <w:sz w:val="36"/>
          <w:szCs w:val="32"/>
        </w:rPr>
      </w:pPr>
      <w:r w:rsidRPr="00B97F4A">
        <w:rPr>
          <w:sz w:val="36"/>
          <w:szCs w:val="32"/>
        </w:rPr>
        <w:t>Scope of the Project</w:t>
      </w:r>
    </w:p>
    <w:p w14:paraId="52574CAF" w14:textId="77777777" w:rsidR="00B431C4" w:rsidRPr="00B97F4A" w:rsidRDefault="00000000">
      <w:pPr>
        <w:rPr>
          <w:sz w:val="24"/>
          <w:szCs w:val="28"/>
        </w:rPr>
      </w:pPr>
      <w:r w:rsidRPr="00B97F4A">
        <w:rPr>
          <w:sz w:val="24"/>
          <w:szCs w:val="28"/>
        </w:rPr>
        <w:t>The scope of the project is limited to the variables available in the supplied workbook. The analysis covers the years 2020–2025 and focuses on cases, deaths, recoveries, active cases, recovery rate, and case fatality rate. The project does not attempt to explain medical causes or establish causal relationships. Its primary purpose is to demonstrate data organization, summarization, visualization, and basic forecasting in Excel.</w:t>
      </w:r>
    </w:p>
    <w:p w14:paraId="7A25B6C1" w14:textId="77777777" w:rsidR="00B431C4" w:rsidRPr="00B97F4A" w:rsidRDefault="00000000">
      <w:pPr>
        <w:pStyle w:val="Heading2"/>
        <w:rPr>
          <w:sz w:val="36"/>
          <w:szCs w:val="32"/>
        </w:rPr>
      </w:pPr>
      <w:r w:rsidRPr="00B97F4A">
        <w:rPr>
          <w:sz w:val="36"/>
          <w:szCs w:val="32"/>
        </w:rPr>
        <w:t>Expected Outcome</w:t>
      </w:r>
    </w:p>
    <w:p w14:paraId="13E0FA82" w14:textId="77777777" w:rsidR="00B431C4" w:rsidRPr="00B97F4A" w:rsidRDefault="00000000">
      <w:pPr>
        <w:rPr>
          <w:sz w:val="24"/>
          <w:szCs w:val="28"/>
        </w:rPr>
      </w:pPr>
      <w:r w:rsidRPr="00B97F4A">
        <w:rPr>
          <w:sz w:val="24"/>
          <w:szCs w:val="28"/>
        </w:rPr>
        <w:t>The expected outcome is a clear Excel dashboard supported by PivotTables and PivotCharts, together with a written interpretation of the major patterns observed in the dataset. The report documents the complete workflow so that another student can understand how the raw data was converted into the final analytical presentation.</w:t>
      </w:r>
    </w:p>
    <w:p w14:paraId="38F71263" w14:textId="77777777" w:rsidR="00B431C4" w:rsidRDefault="00000000">
      <w:r>
        <w:br w:type="page"/>
      </w:r>
    </w:p>
    <w:p w14:paraId="79892C8A" w14:textId="506CA578" w:rsidR="00B431C4" w:rsidRDefault="00000000">
      <w:pPr>
        <w:jc w:val="center"/>
      </w:pPr>
      <w:r>
        <w:rPr>
          <w:b/>
          <w:sz w:val="44"/>
        </w:rPr>
        <w:lastRenderedPageBreak/>
        <w:t>Dataset Description</w:t>
      </w:r>
    </w:p>
    <w:p w14:paraId="06ED613E" w14:textId="77777777" w:rsidR="00F05CB6" w:rsidRDefault="00F05CB6"/>
    <w:p w14:paraId="1E7E9C67" w14:textId="5BB84603" w:rsidR="00B431C4" w:rsidRPr="00F05CB6" w:rsidRDefault="00000000">
      <w:pPr>
        <w:rPr>
          <w:sz w:val="24"/>
          <w:szCs w:val="24"/>
        </w:rPr>
      </w:pPr>
      <w:r w:rsidRPr="00F05CB6">
        <w:rPr>
          <w:sz w:val="24"/>
          <w:szCs w:val="24"/>
        </w:rPr>
        <w:t xml:space="preserve">The records cover six years, from 2020 to 2025, and include observations for States and Union Territories. </w:t>
      </w:r>
    </w:p>
    <w:p w14:paraId="3478ADCD" w14:textId="77777777" w:rsidR="00F05CB6" w:rsidRDefault="00F05CB6"/>
    <w:tbl>
      <w:tblPr>
        <w:tblStyle w:val="TableGrid"/>
        <w:tblW w:w="0" w:type="auto"/>
        <w:jc w:val="center"/>
        <w:tblLook w:val="04A0" w:firstRow="1" w:lastRow="0" w:firstColumn="1" w:lastColumn="0" w:noHBand="0" w:noVBand="1"/>
      </w:tblPr>
      <w:tblGrid>
        <w:gridCol w:w="3312"/>
        <w:gridCol w:w="3312"/>
        <w:gridCol w:w="3312"/>
      </w:tblGrid>
      <w:tr w:rsidR="00B431C4" w14:paraId="3475CE8E" w14:textId="77777777">
        <w:trPr>
          <w:jc w:val="center"/>
        </w:trPr>
        <w:tc>
          <w:tcPr>
            <w:tcW w:w="3312" w:type="dxa"/>
            <w:vAlign w:val="center"/>
          </w:tcPr>
          <w:p w14:paraId="7A42CF0A" w14:textId="77777777" w:rsidR="00B431C4" w:rsidRDefault="00000000">
            <w:r>
              <w:rPr>
                <w:b/>
              </w:rPr>
              <w:t>Field</w:t>
            </w:r>
          </w:p>
        </w:tc>
        <w:tc>
          <w:tcPr>
            <w:tcW w:w="3312" w:type="dxa"/>
            <w:vAlign w:val="center"/>
          </w:tcPr>
          <w:p w14:paraId="700DB89A" w14:textId="77777777" w:rsidR="00B431C4" w:rsidRDefault="00000000">
            <w:r>
              <w:rPr>
                <w:b/>
              </w:rPr>
              <w:t>Data Type</w:t>
            </w:r>
          </w:p>
        </w:tc>
        <w:tc>
          <w:tcPr>
            <w:tcW w:w="3312" w:type="dxa"/>
            <w:vAlign w:val="center"/>
          </w:tcPr>
          <w:p w14:paraId="596FE374" w14:textId="77777777" w:rsidR="00B431C4" w:rsidRDefault="00000000">
            <w:r>
              <w:rPr>
                <w:b/>
              </w:rPr>
              <w:t>Description</w:t>
            </w:r>
          </w:p>
        </w:tc>
      </w:tr>
      <w:tr w:rsidR="00B431C4" w14:paraId="3B840268" w14:textId="77777777">
        <w:trPr>
          <w:jc w:val="center"/>
        </w:trPr>
        <w:tc>
          <w:tcPr>
            <w:tcW w:w="3312" w:type="dxa"/>
            <w:vAlign w:val="center"/>
          </w:tcPr>
          <w:p w14:paraId="2681E944" w14:textId="77777777" w:rsidR="00B431C4" w:rsidRDefault="00000000">
            <w:r>
              <w:t>Year</w:t>
            </w:r>
          </w:p>
        </w:tc>
        <w:tc>
          <w:tcPr>
            <w:tcW w:w="3312" w:type="dxa"/>
            <w:vAlign w:val="center"/>
          </w:tcPr>
          <w:p w14:paraId="60DE9AB6" w14:textId="42450A7A" w:rsidR="00B431C4" w:rsidRDefault="00B97F4A">
            <w:r w:rsidRPr="00B97F4A">
              <w:t>2020 - 2025</w:t>
            </w:r>
          </w:p>
        </w:tc>
        <w:tc>
          <w:tcPr>
            <w:tcW w:w="3312" w:type="dxa"/>
            <w:vAlign w:val="center"/>
          </w:tcPr>
          <w:p w14:paraId="56E21D1F" w14:textId="77777777" w:rsidR="00B431C4" w:rsidRDefault="00000000">
            <w:r>
              <w:t>Year of the recorded observation.</w:t>
            </w:r>
          </w:p>
        </w:tc>
      </w:tr>
      <w:tr w:rsidR="00B431C4" w14:paraId="5EE171E1" w14:textId="77777777">
        <w:trPr>
          <w:jc w:val="center"/>
        </w:trPr>
        <w:tc>
          <w:tcPr>
            <w:tcW w:w="3312" w:type="dxa"/>
            <w:vAlign w:val="center"/>
          </w:tcPr>
          <w:p w14:paraId="525D28F2" w14:textId="77777777" w:rsidR="00B431C4" w:rsidRDefault="00000000">
            <w:r>
              <w:t>State/UT</w:t>
            </w:r>
          </w:p>
        </w:tc>
        <w:tc>
          <w:tcPr>
            <w:tcW w:w="3312" w:type="dxa"/>
            <w:vAlign w:val="center"/>
          </w:tcPr>
          <w:p w14:paraId="5AF8AB99" w14:textId="2B38340C" w:rsidR="00B431C4" w:rsidRDefault="00B97F4A">
            <w:r w:rsidRPr="00B97F4A">
              <w:t>West Bengal</w:t>
            </w:r>
          </w:p>
        </w:tc>
        <w:tc>
          <w:tcPr>
            <w:tcW w:w="3312" w:type="dxa"/>
            <w:vAlign w:val="center"/>
          </w:tcPr>
          <w:p w14:paraId="10DBE4B3" w14:textId="77777777" w:rsidR="00B431C4" w:rsidRDefault="00000000">
            <w:r>
              <w:t>Name of the Indian State or Union Territory.</w:t>
            </w:r>
          </w:p>
        </w:tc>
      </w:tr>
      <w:tr w:rsidR="00B431C4" w14:paraId="7E5F9423" w14:textId="77777777">
        <w:trPr>
          <w:jc w:val="center"/>
        </w:trPr>
        <w:tc>
          <w:tcPr>
            <w:tcW w:w="3312" w:type="dxa"/>
            <w:vAlign w:val="center"/>
          </w:tcPr>
          <w:p w14:paraId="09DAB030" w14:textId="77777777" w:rsidR="00B431C4" w:rsidRDefault="00000000">
            <w:r>
              <w:t>New COVID Cases</w:t>
            </w:r>
          </w:p>
        </w:tc>
        <w:tc>
          <w:tcPr>
            <w:tcW w:w="3312" w:type="dxa"/>
            <w:vAlign w:val="center"/>
          </w:tcPr>
          <w:p w14:paraId="25A5E70C" w14:textId="67522560" w:rsidR="00B431C4" w:rsidRDefault="00B97F4A">
            <w:r w:rsidRPr="00B97F4A">
              <w:t>26,71,381</w:t>
            </w:r>
          </w:p>
        </w:tc>
        <w:tc>
          <w:tcPr>
            <w:tcW w:w="3312" w:type="dxa"/>
            <w:vAlign w:val="center"/>
          </w:tcPr>
          <w:p w14:paraId="689D8761" w14:textId="77777777" w:rsidR="00B431C4" w:rsidRDefault="00000000">
            <w:r>
              <w:t>Number of new COVID-19 cases recorded for the State/UT and year.</w:t>
            </w:r>
          </w:p>
        </w:tc>
      </w:tr>
      <w:tr w:rsidR="00B431C4" w14:paraId="61BF6C41" w14:textId="77777777">
        <w:trPr>
          <w:jc w:val="center"/>
        </w:trPr>
        <w:tc>
          <w:tcPr>
            <w:tcW w:w="3312" w:type="dxa"/>
            <w:vAlign w:val="center"/>
          </w:tcPr>
          <w:p w14:paraId="33C3053E" w14:textId="77777777" w:rsidR="00B431C4" w:rsidRDefault="00000000">
            <w:r>
              <w:t>Deaths</w:t>
            </w:r>
          </w:p>
        </w:tc>
        <w:tc>
          <w:tcPr>
            <w:tcW w:w="3312" w:type="dxa"/>
            <w:vAlign w:val="center"/>
          </w:tcPr>
          <w:p w14:paraId="5BACDF2F" w14:textId="0FACCA37" w:rsidR="00B431C4" w:rsidRDefault="00B97F4A">
            <w:r w:rsidRPr="00B97F4A">
              <w:t>6,94,485</w:t>
            </w:r>
          </w:p>
        </w:tc>
        <w:tc>
          <w:tcPr>
            <w:tcW w:w="3312" w:type="dxa"/>
            <w:vAlign w:val="center"/>
          </w:tcPr>
          <w:p w14:paraId="11FAE8BE" w14:textId="77777777" w:rsidR="00B431C4" w:rsidRDefault="00000000">
            <w:r>
              <w:t>Number of deaths recorded for the State/UT and year.</w:t>
            </w:r>
          </w:p>
        </w:tc>
      </w:tr>
      <w:tr w:rsidR="00B431C4" w14:paraId="6C6560C1" w14:textId="77777777">
        <w:trPr>
          <w:jc w:val="center"/>
        </w:trPr>
        <w:tc>
          <w:tcPr>
            <w:tcW w:w="3312" w:type="dxa"/>
            <w:vAlign w:val="center"/>
          </w:tcPr>
          <w:p w14:paraId="07A8F267" w14:textId="77777777" w:rsidR="00B431C4" w:rsidRDefault="00000000">
            <w:r>
              <w:t>Recovered Cases</w:t>
            </w:r>
          </w:p>
        </w:tc>
        <w:tc>
          <w:tcPr>
            <w:tcW w:w="3312" w:type="dxa"/>
            <w:vAlign w:val="center"/>
          </w:tcPr>
          <w:p w14:paraId="77680566" w14:textId="5BEE1BBA" w:rsidR="00B431C4" w:rsidRDefault="00B97F4A">
            <w:r w:rsidRPr="00B97F4A">
              <w:t>3,57,436</w:t>
            </w:r>
          </w:p>
        </w:tc>
        <w:tc>
          <w:tcPr>
            <w:tcW w:w="3312" w:type="dxa"/>
            <w:vAlign w:val="center"/>
          </w:tcPr>
          <w:p w14:paraId="6CA40BCB" w14:textId="77777777" w:rsidR="00B431C4" w:rsidRDefault="00000000">
            <w:r>
              <w:t>Number of recovered cases recorded for the State/UT and year.</w:t>
            </w:r>
          </w:p>
        </w:tc>
      </w:tr>
      <w:tr w:rsidR="00B431C4" w14:paraId="7928B3FE" w14:textId="77777777">
        <w:trPr>
          <w:jc w:val="center"/>
        </w:trPr>
        <w:tc>
          <w:tcPr>
            <w:tcW w:w="3312" w:type="dxa"/>
            <w:vAlign w:val="center"/>
          </w:tcPr>
          <w:p w14:paraId="083DCF9E" w14:textId="77777777" w:rsidR="00B431C4" w:rsidRDefault="00000000">
            <w:r>
              <w:t>Active Cases at Year End</w:t>
            </w:r>
          </w:p>
        </w:tc>
        <w:tc>
          <w:tcPr>
            <w:tcW w:w="3312" w:type="dxa"/>
            <w:vAlign w:val="center"/>
          </w:tcPr>
          <w:p w14:paraId="46528B7B" w14:textId="11CB7F1D" w:rsidR="00B431C4" w:rsidRDefault="00B97F4A">
            <w:r w:rsidRPr="00B97F4A">
              <w:t>16,19,460</w:t>
            </w:r>
          </w:p>
        </w:tc>
        <w:tc>
          <w:tcPr>
            <w:tcW w:w="3312" w:type="dxa"/>
            <w:vAlign w:val="center"/>
          </w:tcPr>
          <w:p w14:paraId="67BDD887" w14:textId="77777777" w:rsidR="00B431C4" w:rsidRDefault="00000000">
            <w:r>
              <w:t>Number of active cases remaining at the end of the year.</w:t>
            </w:r>
          </w:p>
        </w:tc>
      </w:tr>
      <w:tr w:rsidR="00B431C4" w14:paraId="1C5567D3" w14:textId="77777777">
        <w:trPr>
          <w:jc w:val="center"/>
        </w:trPr>
        <w:tc>
          <w:tcPr>
            <w:tcW w:w="3312" w:type="dxa"/>
            <w:vAlign w:val="center"/>
          </w:tcPr>
          <w:p w14:paraId="298E0844" w14:textId="77777777" w:rsidR="00B431C4" w:rsidRDefault="00000000">
            <w:r>
              <w:t>Recovery Rate %</w:t>
            </w:r>
          </w:p>
        </w:tc>
        <w:tc>
          <w:tcPr>
            <w:tcW w:w="3312" w:type="dxa"/>
            <w:vAlign w:val="center"/>
          </w:tcPr>
          <w:p w14:paraId="48DFEF3F" w14:textId="0194A1AC" w:rsidR="00B431C4" w:rsidRDefault="00B97F4A">
            <w:r w:rsidRPr="00B97F4A">
              <w:t>57.16167 %</w:t>
            </w:r>
          </w:p>
        </w:tc>
        <w:tc>
          <w:tcPr>
            <w:tcW w:w="3312" w:type="dxa"/>
            <w:vAlign w:val="center"/>
          </w:tcPr>
          <w:p w14:paraId="51EA15DC" w14:textId="77777777" w:rsidR="00B431C4" w:rsidRDefault="00000000">
            <w:r>
              <w:t>Recovery-rate value provided in the dataset.</w:t>
            </w:r>
          </w:p>
        </w:tc>
      </w:tr>
      <w:tr w:rsidR="00B431C4" w14:paraId="5D68A106" w14:textId="77777777">
        <w:trPr>
          <w:jc w:val="center"/>
        </w:trPr>
        <w:tc>
          <w:tcPr>
            <w:tcW w:w="3312" w:type="dxa"/>
            <w:vAlign w:val="center"/>
          </w:tcPr>
          <w:p w14:paraId="137CC765" w14:textId="77777777" w:rsidR="00B431C4" w:rsidRDefault="00000000">
            <w:r>
              <w:t>Case Fatality Rate %</w:t>
            </w:r>
          </w:p>
        </w:tc>
        <w:tc>
          <w:tcPr>
            <w:tcW w:w="3312" w:type="dxa"/>
            <w:vAlign w:val="center"/>
          </w:tcPr>
          <w:p w14:paraId="34FA3AF2" w14:textId="295D3C8D" w:rsidR="00B431C4" w:rsidRDefault="00B97F4A">
            <w:r w:rsidRPr="00B97F4A">
              <w:t>7.373333 %</w:t>
            </w:r>
          </w:p>
        </w:tc>
        <w:tc>
          <w:tcPr>
            <w:tcW w:w="3312" w:type="dxa"/>
            <w:vAlign w:val="center"/>
          </w:tcPr>
          <w:p w14:paraId="7EB413CD" w14:textId="77777777" w:rsidR="00B431C4" w:rsidRDefault="00000000">
            <w:r>
              <w:t>Case-fatality-rate value provided in the dataset.</w:t>
            </w:r>
          </w:p>
        </w:tc>
      </w:tr>
    </w:tbl>
    <w:p w14:paraId="11F63F45" w14:textId="77777777" w:rsidR="00B431C4" w:rsidRPr="00716163" w:rsidRDefault="00000000">
      <w:pPr>
        <w:pStyle w:val="Heading2"/>
        <w:rPr>
          <w:sz w:val="36"/>
          <w:szCs w:val="32"/>
        </w:rPr>
      </w:pPr>
      <w:r w:rsidRPr="00716163">
        <w:rPr>
          <w:sz w:val="36"/>
          <w:szCs w:val="32"/>
        </w:rPr>
        <w:t>Dataset Coverage</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B431C4" w14:paraId="59946766" w14:textId="77777777">
        <w:trPr>
          <w:jc w:val="center"/>
        </w:trPr>
        <w:tc>
          <w:tcPr>
            <w:tcW w:w="1656" w:type="dxa"/>
            <w:vAlign w:val="center"/>
          </w:tcPr>
          <w:p w14:paraId="2EE5F69C" w14:textId="77777777" w:rsidR="00B431C4" w:rsidRDefault="00000000">
            <w:r>
              <w:rPr>
                <w:b/>
              </w:rPr>
              <w:t>Year</w:t>
            </w:r>
          </w:p>
        </w:tc>
        <w:tc>
          <w:tcPr>
            <w:tcW w:w="1656" w:type="dxa"/>
            <w:vAlign w:val="center"/>
          </w:tcPr>
          <w:p w14:paraId="47328F85" w14:textId="77777777" w:rsidR="00B431C4" w:rsidRDefault="00000000">
            <w:r>
              <w:rPr>
                <w:b/>
              </w:rPr>
              <w:t>States/UTs</w:t>
            </w:r>
          </w:p>
        </w:tc>
        <w:tc>
          <w:tcPr>
            <w:tcW w:w="1656" w:type="dxa"/>
            <w:vAlign w:val="center"/>
          </w:tcPr>
          <w:p w14:paraId="79B8BAC7" w14:textId="77777777" w:rsidR="00B431C4" w:rsidRDefault="00000000">
            <w:r>
              <w:rPr>
                <w:b/>
              </w:rPr>
              <w:t>New Cases</w:t>
            </w:r>
          </w:p>
        </w:tc>
        <w:tc>
          <w:tcPr>
            <w:tcW w:w="1656" w:type="dxa"/>
            <w:vAlign w:val="center"/>
          </w:tcPr>
          <w:p w14:paraId="3EE25FDA" w14:textId="77777777" w:rsidR="00B431C4" w:rsidRDefault="00000000">
            <w:r>
              <w:rPr>
                <w:b/>
              </w:rPr>
              <w:t>Deaths</w:t>
            </w:r>
          </w:p>
        </w:tc>
        <w:tc>
          <w:tcPr>
            <w:tcW w:w="1656" w:type="dxa"/>
            <w:vAlign w:val="center"/>
          </w:tcPr>
          <w:p w14:paraId="0D83F5E8" w14:textId="77777777" w:rsidR="00B431C4" w:rsidRDefault="00000000">
            <w:r>
              <w:rPr>
                <w:b/>
              </w:rPr>
              <w:t>Recovered</w:t>
            </w:r>
          </w:p>
        </w:tc>
        <w:tc>
          <w:tcPr>
            <w:tcW w:w="1656" w:type="dxa"/>
            <w:vAlign w:val="center"/>
          </w:tcPr>
          <w:p w14:paraId="1A7D723E" w14:textId="77777777" w:rsidR="00B431C4" w:rsidRDefault="00000000">
            <w:r>
              <w:rPr>
                <w:b/>
              </w:rPr>
              <w:t>Active at Year End</w:t>
            </w:r>
          </w:p>
        </w:tc>
      </w:tr>
      <w:tr w:rsidR="00B431C4" w14:paraId="26B74E06" w14:textId="77777777">
        <w:trPr>
          <w:jc w:val="center"/>
        </w:trPr>
        <w:tc>
          <w:tcPr>
            <w:tcW w:w="1656" w:type="dxa"/>
            <w:vAlign w:val="center"/>
          </w:tcPr>
          <w:p w14:paraId="2D4F9AB5" w14:textId="77777777" w:rsidR="00B431C4" w:rsidRDefault="00000000">
            <w:r>
              <w:t>2020</w:t>
            </w:r>
          </w:p>
        </w:tc>
        <w:tc>
          <w:tcPr>
            <w:tcW w:w="1656" w:type="dxa"/>
            <w:vAlign w:val="center"/>
          </w:tcPr>
          <w:p w14:paraId="61EEE5BF" w14:textId="77777777" w:rsidR="00B431C4" w:rsidRDefault="00000000">
            <w:r>
              <w:t>36</w:t>
            </w:r>
          </w:p>
        </w:tc>
        <w:tc>
          <w:tcPr>
            <w:tcW w:w="1656" w:type="dxa"/>
            <w:vAlign w:val="center"/>
          </w:tcPr>
          <w:p w14:paraId="24F0C1FB" w14:textId="77777777" w:rsidR="00B431C4" w:rsidRDefault="00000000">
            <w:r>
              <w:t>10,292,112</w:t>
            </w:r>
          </w:p>
        </w:tc>
        <w:tc>
          <w:tcPr>
            <w:tcW w:w="1656" w:type="dxa"/>
            <w:vAlign w:val="center"/>
          </w:tcPr>
          <w:p w14:paraId="434E7BBF" w14:textId="77777777" w:rsidR="00B431C4" w:rsidRDefault="00000000">
            <w:r>
              <w:t>4,679,041</w:t>
            </w:r>
          </w:p>
        </w:tc>
        <w:tc>
          <w:tcPr>
            <w:tcW w:w="1656" w:type="dxa"/>
            <w:vAlign w:val="center"/>
          </w:tcPr>
          <w:p w14:paraId="34EE25C1" w14:textId="77777777" w:rsidR="00B431C4" w:rsidRDefault="00000000">
            <w:r>
              <w:t>0</w:t>
            </w:r>
          </w:p>
        </w:tc>
        <w:tc>
          <w:tcPr>
            <w:tcW w:w="1656" w:type="dxa"/>
            <w:vAlign w:val="center"/>
          </w:tcPr>
          <w:p w14:paraId="2F2B2F03" w14:textId="77777777" w:rsidR="00B431C4" w:rsidRDefault="00000000">
            <w:r>
              <w:t>5,613,071</w:t>
            </w:r>
          </w:p>
        </w:tc>
      </w:tr>
      <w:tr w:rsidR="00B431C4" w14:paraId="1EF30D4F" w14:textId="77777777">
        <w:trPr>
          <w:jc w:val="center"/>
        </w:trPr>
        <w:tc>
          <w:tcPr>
            <w:tcW w:w="1656" w:type="dxa"/>
            <w:vAlign w:val="center"/>
          </w:tcPr>
          <w:p w14:paraId="6138FE0A" w14:textId="77777777" w:rsidR="00B431C4" w:rsidRDefault="00000000">
            <w:r>
              <w:t>2021</w:t>
            </w:r>
          </w:p>
        </w:tc>
        <w:tc>
          <w:tcPr>
            <w:tcW w:w="1656" w:type="dxa"/>
            <w:vAlign w:val="center"/>
          </w:tcPr>
          <w:p w14:paraId="6276B8DF" w14:textId="0632412D" w:rsidR="00B431C4" w:rsidRDefault="00000000">
            <w:r>
              <w:t>3</w:t>
            </w:r>
            <w:r w:rsidR="00F05CB6">
              <w:t>6</w:t>
            </w:r>
          </w:p>
        </w:tc>
        <w:tc>
          <w:tcPr>
            <w:tcW w:w="1656" w:type="dxa"/>
            <w:vAlign w:val="center"/>
          </w:tcPr>
          <w:p w14:paraId="7F9F2AC9" w14:textId="77777777" w:rsidR="00B431C4" w:rsidRDefault="00000000">
            <w:r>
              <w:t>34,265,213</w:t>
            </w:r>
          </w:p>
        </w:tc>
        <w:tc>
          <w:tcPr>
            <w:tcW w:w="1656" w:type="dxa"/>
            <w:vAlign w:val="center"/>
          </w:tcPr>
          <w:p w14:paraId="183950D1" w14:textId="77777777" w:rsidR="00B431C4" w:rsidRDefault="00000000">
            <w:r>
              <w:t>2,071,089</w:t>
            </w:r>
          </w:p>
        </w:tc>
        <w:tc>
          <w:tcPr>
            <w:tcW w:w="1656" w:type="dxa"/>
            <w:vAlign w:val="center"/>
          </w:tcPr>
          <w:p w14:paraId="69DE15B3" w14:textId="77777777" w:rsidR="00B431C4" w:rsidRDefault="00000000">
            <w:r>
              <w:t>1,843,597</w:t>
            </w:r>
          </w:p>
        </w:tc>
        <w:tc>
          <w:tcPr>
            <w:tcW w:w="1656" w:type="dxa"/>
            <w:vAlign w:val="center"/>
          </w:tcPr>
          <w:p w14:paraId="07F36194" w14:textId="77777777" w:rsidR="00B431C4" w:rsidRDefault="00000000">
            <w:r>
              <w:t>30,350,527</w:t>
            </w:r>
          </w:p>
        </w:tc>
      </w:tr>
      <w:tr w:rsidR="00B431C4" w14:paraId="3A00F93D" w14:textId="77777777">
        <w:trPr>
          <w:jc w:val="center"/>
        </w:trPr>
        <w:tc>
          <w:tcPr>
            <w:tcW w:w="1656" w:type="dxa"/>
            <w:vAlign w:val="center"/>
          </w:tcPr>
          <w:p w14:paraId="6D525F6C" w14:textId="77777777" w:rsidR="00B431C4" w:rsidRDefault="00000000">
            <w:r>
              <w:t>2022</w:t>
            </w:r>
          </w:p>
        </w:tc>
        <w:tc>
          <w:tcPr>
            <w:tcW w:w="1656" w:type="dxa"/>
            <w:vAlign w:val="center"/>
          </w:tcPr>
          <w:p w14:paraId="0C239644" w14:textId="77777777" w:rsidR="00B431C4" w:rsidRDefault="00000000">
            <w:r>
              <w:t>36</w:t>
            </w:r>
          </w:p>
        </w:tc>
        <w:tc>
          <w:tcPr>
            <w:tcW w:w="1656" w:type="dxa"/>
            <w:vAlign w:val="center"/>
          </w:tcPr>
          <w:p w14:paraId="4C48750F" w14:textId="77777777" w:rsidR="00B431C4" w:rsidRDefault="00000000">
            <w:r>
              <w:t>9,840,804</w:t>
            </w:r>
          </w:p>
        </w:tc>
        <w:tc>
          <w:tcPr>
            <w:tcW w:w="1656" w:type="dxa"/>
            <w:vAlign w:val="center"/>
          </w:tcPr>
          <w:p w14:paraId="12BFAFCC" w14:textId="77777777" w:rsidR="00B431C4" w:rsidRDefault="00000000">
            <w:r>
              <w:t>71,480</w:t>
            </w:r>
          </w:p>
        </w:tc>
        <w:tc>
          <w:tcPr>
            <w:tcW w:w="1656" w:type="dxa"/>
            <w:vAlign w:val="center"/>
          </w:tcPr>
          <w:p w14:paraId="5EC7D570" w14:textId="77777777" w:rsidR="00B431C4" w:rsidRDefault="00000000">
            <w:r>
              <w:t>4,043,534</w:t>
            </w:r>
          </w:p>
        </w:tc>
        <w:tc>
          <w:tcPr>
            <w:tcW w:w="1656" w:type="dxa"/>
            <w:vAlign w:val="center"/>
          </w:tcPr>
          <w:p w14:paraId="33540999" w14:textId="77777777" w:rsidR="00B431C4" w:rsidRDefault="00000000">
            <w:r>
              <w:t>5,725,790</w:t>
            </w:r>
          </w:p>
        </w:tc>
      </w:tr>
      <w:tr w:rsidR="00B431C4" w14:paraId="612E99F3" w14:textId="77777777">
        <w:trPr>
          <w:jc w:val="center"/>
        </w:trPr>
        <w:tc>
          <w:tcPr>
            <w:tcW w:w="1656" w:type="dxa"/>
            <w:vAlign w:val="center"/>
          </w:tcPr>
          <w:p w14:paraId="52667E03" w14:textId="77777777" w:rsidR="00B431C4" w:rsidRDefault="00000000">
            <w:r>
              <w:t>2023</w:t>
            </w:r>
          </w:p>
        </w:tc>
        <w:tc>
          <w:tcPr>
            <w:tcW w:w="1656" w:type="dxa"/>
            <w:vAlign w:val="center"/>
          </w:tcPr>
          <w:p w14:paraId="40FD25A9" w14:textId="4C2DB7A8" w:rsidR="00B431C4" w:rsidRDefault="00F05CB6">
            <w:r>
              <w:t>36</w:t>
            </w:r>
          </w:p>
        </w:tc>
        <w:tc>
          <w:tcPr>
            <w:tcW w:w="1656" w:type="dxa"/>
            <w:vAlign w:val="center"/>
          </w:tcPr>
          <w:p w14:paraId="4A9AA5CD" w14:textId="77777777" w:rsidR="00B431C4" w:rsidRDefault="00000000">
            <w:r>
              <w:t>333,257</w:t>
            </w:r>
          </w:p>
        </w:tc>
        <w:tc>
          <w:tcPr>
            <w:tcW w:w="1656" w:type="dxa"/>
            <w:vAlign w:val="center"/>
          </w:tcPr>
          <w:p w14:paraId="29D78869" w14:textId="77777777" w:rsidR="00B431C4" w:rsidRDefault="00000000">
            <w:r>
              <w:t>2,342</w:t>
            </w:r>
          </w:p>
        </w:tc>
        <w:tc>
          <w:tcPr>
            <w:tcW w:w="1656" w:type="dxa"/>
            <w:vAlign w:val="center"/>
          </w:tcPr>
          <w:p w14:paraId="4C98DCF1" w14:textId="77777777" w:rsidR="00B431C4" w:rsidRDefault="00000000">
            <w:r>
              <w:t>289,543</w:t>
            </w:r>
          </w:p>
        </w:tc>
        <w:tc>
          <w:tcPr>
            <w:tcW w:w="1656" w:type="dxa"/>
            <w:vAlign w:val="center"/>
          </w:tcPr>
          <w:p w14:paraId="1F60D741" w14:textId="77777777" w:rsidR="00B431C4" w:rsidRDefault="00000000">
            <w:r>
              <w:t>41,372</w:t>
            </w:r>
          </w:p>
        </w:tc>
      </w:tr>
      <w:tr w:rsidR="00B431C4" w14:paraId="28D0BB12" w14:textId="77777777">
        <w:trPr>
          <w:jc w:val="center"/>
        </w:trPr>
        <w:tc>
          <w:tcPr>
            <w:tcW w:w="1656" w:type="dxa"/>
            <w:vAlign w:val="center"/>
          </w:tcPr>
          <w:p w14:paraId="53D4E81A" w14:textId="77777777" w:rsidR="00B431C4" w:rsidRDefault="00000000">
            <w:r>
              <w:t>2024</w:t>
            </w:r>
          </w:p>
        </w:tc>
        <w:tc>
          <w:tcPr>
            <w:tcW w:w="1656" w:type="dxa"/>
            <w:vAlign w:val="center"/>
          </w:tcPr>
          <w:p w14:paraId="29D90BB5" w14:textId="0A9B9AF3" w:rsidR="00B431C4" w:rsidRDefault="00F05CB6">
            <w:r>
              <w:t>36</w:t>
            </w:r>
          </w:p>
        </w:tc>
        <w:tc>
          <w:tcPr>
            <w:tcW w:w="1656" w:type="dxa"/>
            <w:vAlign w:val="center"/>
          </w:tcPr>
          <w:p w14:paraId="06A2E591" w14:textId="77777777" w:rsidR="00B431C4" w:rsidRDefault="00000000">
            <w:r>
              <w:t>13,842</w:t>
            </w:r>
          </w:p>
        </w:tc>
        <w:tc>
          <w:tcPr>
            <w:tcW w:w="1656" w:type="dxa"/>
            <w:vAlign w:val="center"/>
          </w:tcPr>
          <w:p w14:paraId="324D91BE" w14:textId="77777777" w:rsidR="00B431C4" w:rsidRDefault="00000000">
            <w:r>
              <w:t>6</w:t>
            </w:r>
          </w:p>
        </w:tc>
        <w:tc>
          <w:tcPr>
            <w:tcW w:w="1656" w:type="dxa"/>
            <w:vAlign w:val="center"/>
          </w:tcPr>
          <w:p w14:paraId="64DCE3FD" w14:textId="77777777" w:rsidR="00B431C4" w:rsidRDefault="00000000">
            <w:r>
              <w:t>13,515</w:t>
            </w:r>
          </w:p>
        </w:tc>
        <w:tc>
          <w:tcPr>
            <w:tcW w:w="1656" w:type="dxa"/>
            <w:vAlign w:val="center"/>
          </w:tcPr>
          <w:p w14:paraId="09234312" w14:textId="77777777" w:rsidR="00B431C4" w:rsidRDefault="00000000">
            <w:r>
              <w:t>321</w:t>
            </w:r>
          </w:p>
        </w:tc>
      </w:tr>
      <w:tr w:rsidR="00B431C4" w14:paraId="23CC5ABC" w14:textId="77777777">
        <w:trPr>
          <w:jc w:val="center"/>
        </w:trPr>
        <w:tc>
          <w:tcPr>
            <w:tcW w:w="1656" w:type="dxa"/>
            <w:vAlign w:val="center"/>
          </w:tcPr>
          <w:p w14:paraId="6AA5577C" w14:textId="77777777" w:rsidR="00B431C4" w:rsidRDefault="00000000">
            <w:r>
              <w:t>2025</w:t>
            </w:r>
          </w:p>
        </w:tc>
        <w:tc>
          <w:tcPr>
            <w:tcW w:w="1656" w:type="dxa"/>
            <w:vAlign w:val="center"/>
          </w:tcPr>
          <w:p w14:paraId="641A27DB" w14:textId="62E7DCDE" w:rsidR="00B431C4" w:rsidRDefault="00000000">
            <w:r>
              <w:t>3</w:t>
            </w:r>
            <w:r w:rsidR="00F05CB6">
              <w:t>6</w:t>
            </w:r>
          </w:p>
        </w:tc>
        <w:tc>
          <w:tcPr>
            <w:tcW w:w="1656" w:type="dxa"/>
            <w:vAlign w:val="center"/>
          </w:tcPr>
          <w:p w14:paraId="5A77E768" w14:textId="77777777" w:rsidR="00B431C4" w:rsidRDefault="00000000">
            <w:r>
              <w:t>6,495</w:t>
            </w:r>
          </w:p>
        </w:tc>
        <w:tc>
          <w:tcPr>
            <w:tcW w:w="1656" w:type="dxa"/>
            <w:vAlign w:val="center"/>
          </w:tcPr>
          <w:p w14:paraId="44F55B5F" w14:textId="77777777" w:rsidR="00B431C4" w:rsidRDefault="00000000">
            <w:r>
              <w:t>0</w:t>
            </w:r>
          </w:p>
        </w:tc>
        <w:tc>
          <w:tcPr>
            <w:tcW w:w="1656" w:type="dxa"/>
            <w:vAlign w:val="center"/>
          </w:tcPr>
          <w:p w14:paraId="13BF1625" w14:textId="77777777" w:rsidR="00B431C4" w:rsidRDefault="00000000">
            <w:r>
              <w:t>6,495</w:t>
            </w:r>
          </w:p>
        </w:tc>
        <w:tc>
          <w:tcPr>
            <w:tcW w:w="1656" w:type="dxa"/>
            <w:vAlign w:val="center"/>
          </w:tcPr>
          <w:p w14:paraId="24C1399F" w14:textId="77777777" w:rsidR="00B431C4" w:rsidRDefault="00000000">
            <w:r>
              <w:t>0</w:t>
            </w:r>
          </w:p>
        </w:tc>
      </w:tr>
    </w:tbl>
    <w:p w14:paraId="375BD0D5" w14:textId="6BEA194B" w:rsidR="00B431C4" w:rsidRDefault="00000000">
      <w:r>
        <w:br w:type="page"/>
      </w:r>
    </w:p>
    <w:p w14:paraId="58673BD1" w14:textId="29482445" w:rsidR="00B431C4" w:rsidRDefault="00000000">
      <w:pPr>
        <w:jc w:val="center"/>
      </w:pPr>
      <w:r>
        <w:rPr>
          <w:b/>
          <w:sz w:val="44"/>
        </w:rPr>
        <w:lastRenderedPageBreak/>
        <w:t>Data Analysis Using PivotTables</w:t>
      </w:r>
    </w:p>
    <w:p w14:paraId="69D22286" w14:textId="77777777" w:rsidR="00F05CB6" w:rsidRDefault="00F05CB6"/>
    <w:p w14:paraId="2E6A94E9" w14:textId="77777777" w:rsidR="00B431C4" w:rsidRPr="00F05CB6" w:rsidRDefault="00000000">
      <w:pPr>
        <w:pStyle w:val="Heading2"/>
        <w:rPr>
          <w:sz w:val="36"/>
          <w:szCs w:val="36"/>
        </w:rPr>
      </w:pPr>
      <w:r w:rsidRPr="00F05CB6">
        <w:rPr>
          <w:sz w:val="36"/>
          <w:szCs w:val="36"/>
        </w:rPr>
        <w:t>Year-wise New Cases</w:t>
      </w:r>
    </w:p>
    <w:p w14:paraId="49DF70F5" w14:textId="77777777" w:rsidR="00B431C4" w:rsidRDefault="00000000">
      <w:pPr>
        <w:rPr>
          <w:sz w:val="24"/>
          <w:szCs w:val="24"/>
        </w:rPr>
      </w:pPr>
      <w:r w:rsidRPr="00F05CB6">
        <w:rPr>
          <w:sz w:val="24"/>
          <w:szCs w:val="24"/>
        </w:rPr>
        <w:t>The PivotTable groups the data by Year and summarizes New COVID Cases, making it possible to compare the size of reported case totals over time.</w:t>
      </w:r>
    </w:p>
    <w:p w14:paraId="3CD477A3" w14:textId="68517EF0" w:rsidR="00F05CB6" w:rsidRPr="00F05CB6" w:rsidRDefault="00F05CB6">
      <w:pPr>
        <w:rPr>
          <w:sz w:val="24"/>
          <w:szCs w:val="24"/>
        </w:rPr>
      </w:pPr>
      <w:r>
        <w:rPr>
          <w:noProof/>
          <w:sz w:val="24"/>
          <w:szCs w:val="24"/>
        </w:rPr>
        <w:drawing>
          <wp:inline distT="0" distB="0" distL="0" distR="0" wp14:anchorId="197F9CF3" wp14:editId="56FA66C1">
            <wp:extent cx="4427604" cy="2049958"/>
            <wp:effectExtent l="0" t="0" r="0" b="7620"/>
            <wp:docPr id="97707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72103" name="Picture 977072103"/>
                    <pic:cNvPicPr/>
                  </pic:nvPicPr>
                  <pic:blipFill>
                    <a:blip r:embed="rId8"/>
                    <a:stretch>
                      <a:fillRect/>
                    </a:stretch>
                  </pic:blipFill>
                  <pic:spPr>
                    <a:xfrm>
                      <a:off x="0" y="0"/>
                      <a:ext cx="4427604" cy="2049958"/>
                    </a:xfrm>
                    <a:prstGeom prst="rect">
                      <a:avLst/>
                    </a:prstGeom>
                  </pic:spPr>
                </pic:pic>
              </a:graphicData>
            </a:graphic>
          </wp:inline>
        </w:drawing>
      </w:r>
    </w:p>
    <w:p w14:paraId="1BFD3754" w14:textId="77777777" w:rsidR="00B431C4" w:rsidRPr="00F05CB6" w:rsidRDefault="00000000">
      <w:pPr>
        <w:pStyle w:val="Heading2"/>
        <w:rPr>
          <w:sz w:val="36"/>
          <w:szCs w:val="36"/>
        </w:rPr>
      </w:pPr>
      <w:r w:rsidRPr="00F05CB6">
        <w:rPr>
          <w:sz w:val="36"/>
          <w:szCs w:val="36"/>
        </w:rPr>
        <w:t>Year-wise Deaths</w:t>
      </w:r>
    </w:p>
    <w:p w14:paraId="5C406090" w14:textId="77777777" w:rsidR="00B431C4" w:rsidRDefault="00000000">
      <w:pPr>
        <w:rPr>
          <w:sz w:val="24"/>
          <w:szCs w:val="24"/>
        </w:rPr>
      </w:pPr>
      <w:r w:rsidRPr="00F05CB6">
        <w:rPr>
          <w:sz w:val="24"/>
          <w:szCs w:val="24"/>
        </w:rPr>
        <w:t>The deaths field is summarized by year to identify the period with the highest recorded death count and the subsequent decline.</w:t>
      </w:r>
    </w:p>
    <w:p w14:paraId="70B49017" w14:textId="1D5916E8" w:rsidR="00F05CB6" w:rsidRPr="00F05CB6" w:rsidRDefault="00F05CB6">
      <w:pPr>
        <w:rPr>
          <w:sz w:val="24"/>
          <w:szCs w:val="24"/>
        </w:rPr>
      </w:pPr>
      <w:r>
        <w:rPr>
          <w:noProof/>
          <w:sz w:val="24"/>
          <w:szCs w:val="24"/>
        </w:rPr>
        <w:drawing>
          <wp:inline distT="0" distB="0" distL="0" distR="0" wp14:anchorId="7DD091DA" wp14:editId="5F764E12">
            <wp:extent cx="6309360" cy="1630680"/>
            <wp:effectExtent l="0" t="0" r="0" b="7620"/>
            <wp:docPr id="703194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94961" name="Picture 703194961"/>
                    <pic:cNvPicPr/>
                  </pic:nvPicPr>
                  <pic:blipFill>
                    <a:blip r:embed="rId9"/>
                    <a:stretch>
                      <a:fillRect/>
                    </a:stretch>
                  </pic:blipFill>
                  <pic:spPr>
                    <a:xfrm>
                      <a:off x="0" y="0"/>
                      <a:ext cx="6309360" cy="1630680"/>
                    </a:xfrm>
                    <a:prstGeom prst="rect">
                      <a:avLst/>
                    </a:prstGeom>
                  </pic:spPr>
                </pic:pic>
              </a:graphicData>
            </a:graphic>
          </wp:inline>
        </w:drawing>
      </w:r>
    </w:p>
    <w:p w14:paraId="2CC5665B" w14:textId="77777777" w:rsidR="00B431C4" w:rsidRPr="00F05CB6" w:rsidRDefault="00000000">
      <w:pPr>
        <w:pStyle w:val="Heading2"/>
        <w:rPr>
          <w:sz w:val="36"/>
          <w:szCs w:val="36"/>
        </w:rPr>
      </w:pPr>
      <w:r w:rsidRPr="00F05CB6">
        <w:rPr>
          <w:sz w:val="36"/>
          <w:szCs w:val="36"/>
        </w:rPr>
        <w:t>Year-wise Recovery Rate</w:t>
      </w:r>
    </w:p>
    <w:p w14:paraId="2BF47612" w14:textId="77777777" w:rsidR="00B431C4" w:rsidRDefault="00000000">
      <w:pPr>
        <w:rPr>
          <w:sz w:val="24"/>
          <w:szCs w:val="24"/>
        </w:rPr>
      </w:pPr>
      <w:r w:rsidRPr="00F05CB6">
        <w:rPr>
          <w:sz w:val="24"/>
          <w:szCs w:val="24"/>
        </w:rPr>
        <w:t>The Recovery Rate % field is grouped by year to show how the supplied recovery-rate values change across the study period.</w:t>
      </w:r>
    </w:p>
    <w:p w14:paraId="4AC7C3B9" w14:textId="2FBD4564" w:rsidR="00F05CB6" w:rsidRPr="00F05CB6" w:rsidRDefault="00F05CB6">
      <w:pPr>
        <w:rPr>
          <w:sz w:val="24"/>
          <w:szCs w:val="24"/>
        </w:rPr>
      </w:pPr>
      <w:r>
        <w:rPr>
          <w:noProof/>
          <w:sz w:val="24"/>
          <w:szCs w:val="24"/>
        </w:rPr>
        <w:drawing>
          <wp:inline distT="0" distB="0" distL="0" distR="0" wp14:anchorId="0B1BE1C7" wp14:editId="0098CBAD">
            <wp:extent cx="6309360" cy="1569720"/>
            <wp:effectExtent l="0" t="0" r="0" b="0"/>
            <wp:docPr id="1338835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35404" name="Picture 1338835404"/>
                    <pic:cNvPicPr/>
                  </pic:nvPicPr>
                  <pic:blipFill>
                    <a:blip r:embed="rId10"/>
                    <a:stretch>
                      <a:fillRect/>
                    </a:stretch>
                  </pic:blipFill>
                  <pic:spPr>
                    <a:xfrm>
                      <a:off x="0" y="0"/>
                      <a:ext cx="6309360" cy="1569720"/>
                    </a:xfrm>
                    <a:prstGeom prst="rect">
                      <a:avLst/>
                    </a:prstGeom>
                  </pic:spPr>
                </pic:pic>
              </a:graphicData>
            </a:graphic>
          </wp:inline>
        </w:drawing>
      </w:r>
    </w:p>
    <w:p w14:paraId="0B352D8D" w14:textId="01B4527D" w:rsidR="00B431C4" w:rsidRDefault="00000000">
      <w:pPr>
        <w:jc w:val="center"/>
      </w:pPr>
      <w:r>
        <w:rPr>
          <w:b/>
          <w:sz w:val="44"/>
        </w:rPr>
        <w:lastRenderedPageBreak/>
        <w:t>State-wise Analysis</w:t>
      </w:r>
    </w:p>
    <w:p w14:paraId="08649460" w14:textId="77777777" w:rsidR="00F05CB6" w:rsidRDefault="00F05CB6">
      <w:pPr>
        <w:pStyle w:val="Heading2"/>
      </w:pPr>
    </w:p>
    <w:p w14:paraId="1FC0283C" w14:textId="18FBA138" w:rsidR="00B431C4" w:rsidRPr="00716163" w:rsidRDefault="00000000">
      <w:pPr>
        <w:pStyle w:val="Heading2"/>
        <w:rPr>
          <w:sz w:val="36"/>
          <w:szCs w:val="32"/>
        </w:rPr>
      </w:pPr>
      <w:r w:rsidRPr="00716163">
        <w:rPr>
          <w:sz w:val="36"/>
          <w:szCs w:val="32"/>
        </w:rPr>
        <w:t>Top States/UTs by New COVID Cases</w:t>
      </w:r>
    </w:p>
    <w:tbl>
      <w:tblPr>
        <w:tblStyle w:val="TableGrid"/>
        <w:tblW w:w="0" w:type="auto"/>
        <w:jc w:val="center"/>
        <w:tblLook w:val="04A0" w:firstRow="1" w:lastRow="0" w:firstColumn="1" w:lastColumn="0" w:noHBand="0" w:noVBand="1"/>
      </w:tblPr>
      <w:tblGrid>
        <w:gridCol w:w="4968"/>
        <w:gridCol w:w="4968"/>
      </w:tblGrid>
      <w:tr w:rsidR="00B431C4" w14:paraId="6AF94A16" w14:textId="77777777">
        <w:trPr>
          <w:jc w:val="center"/>
        </w:trPr>
        <w:tc>
          <w:tcPr>
            <w:tcW w:w="4968" w:type="dxa"/>
            <w:vAlign w:val="center"/>
          </w:tcPr>
          <w:p w14:paraId="29D43F45" w14:textId="77777777" w:rsidR="00B431C4" w:rsidRDefault="00000000">
            <w:r>
              <w:rPr>
                <w:b/>
              </w:rPr>
              <w:t>State/UT</w:t>
            </w:r>
          </w:p>
        </w:tc>
        <w:tc>
          <w:tcPr>
            <w:tcW w:w="4968" w:type="dxa"/>
            <w:vAlign w:val="center"/>
          </w:tcPr>
          <w:p w14:paraId="4E8BF9C1" w14:textId="77777777" w:rsidR="00B431C4" w:rsidRDefault="00000000">
            <w:r>
              <w:rPr>
                <w:b/>
              </w:rPr>
              <w:t>Total New Cases (2020–2025)</w:t>
            </w:r>
          </w:p>
        </w:tc>
      </w:tr>
      <w:tr w:rsidR="00B431C4" w14:paraId="446D4B66" w14:textId="77777777">
        <w:trPr>
          <w:jc w:val="center"/>
        </w:trPr>
        <w:tc>
          <w:tcPr>
            <w:tcW w:w="4968" w:type="dxa"/>
            <w:vAlign w:val="center"/>
          </w:tcPr>
          <w:p w14:paraId="789C1A2F" w14:textId="77777777" w:rsidR="00B431C4" w:rsidRDefault="00000000">
            <w:r>
              <w:t>Maharashtra</w:t>
            </w:r>
          </w:p>
        </w:tc>
        <w:tc>
          <w:tcPr>
            <w:tcW w:w="4968" w:type="dxa"/>
            <w:vAlign w:val="center"/>
          </w:tcPr>
          <w:p w14:paraId="17A5885E" w14:textId="77777777" w:rsidR="00B431C4" w:rsidRDefault="00000000">
            <w:r>
              <w:t>10,190,569</w:t>
            </w:r>
          </w:p>
        </w:tc>
      </w:tr>
      <w:tr w:rsidR="00B431C4" w14:paraId="507FF97A" w14:textId="77777777">
        <w:trPr>
          <w:jc w:val="center"/>
        </w:trPr>
        <w:tc>
          <w:tcPr>
            <w:tcW w:w="4968" w:type="dxa"/>
            <w:vAlign w:val="center"/>
          </w:tcPr>
          <w:p w14:paraId="2FF26C4F" w14:textId="77777777" w:rsidR="00B431C4" w:rsidRDefault="00000000">
            <w:r>
              <w:t>Kerala</w:t>
            </w:r>
          </w:p>
        </w:tc>
        <w:tc>
          <w:tcPr>
            <w:tcW w:w="4968" w:type="dxa"/>
            <w:vAlign w:val="center"/>
          </w:tcPr>
          <w:p w14:paraId="0231EDE4" w14:textId="77777777" w:rsidR="00B431C4" w:rsidRDefault="00000000">
            <w:r>
              <w:t>7,670,220</w:t>
            </w:r>
          </w:p>
        </w:tc>
      </w:tr>
      <w:tr w:rsidR="00B431C4" w14:paraId="42438E4D" w14:textId="77777777">
        <w:trPr>
          <w:jc w:val="center"/>
        </w:trPr>
        <w:tc>
          <w:tcPr>
            <w:tcW w:w="4968" w:type="dxa"/>
            <w:vAlign w:val="center"/>
          </w:tcPr>
          <w:p w14:paraId="58929942" w14:textId="77777777" w:rsidR="00B431C4" w:rsidRDefault="00000000">
            <w:r>
              <w:t>Karnataka</w:t>
            </w:r>
          </w:p>
        </w:tc>
        <w:tc>
          <w:tcPr>
            <w:tcW w:w="4968" w:type="dxa"/>
            <w:vAlign w:val="center"/>
          </w:tcPr>
          <w:p w14:paraId="0B0E64F4" w14:textId="77777777" w:rsidR="00B431C4" w:rsidRDefault="00000000">
            <w:r>
              <w:t>5,002,787</w:t>
            </w:r>
          </w:p>
        </w:tc>
      </w:tr>
      <w:tr w:rsidR="00B431C4" w14:paraId="090399A1" w14:textId="77777777">
        <w:trPr>
          <w:jc w:val="center"/>
        </w:trPr>
        <w:tc>
          <w:tcPr>
            <w:tcW w:w="4968" w:type="dxa"/>
            <w:vAlign w:val="center"/>
          </w:tcPr>
          <w:p w14:paraId="34B6F983" w14:textId="77777777" w:rsidR="00B431C4" w:rsidRDefault="00000000">
            <w:r>
              <w:t>Tamil Nadu</w:t>
            </w:r>
          </w:p>
        </w:tc>
        <w:tc>
          <w:tcPr>
            <w:tcW w:w="4968" w:type="dxa"/>
            <w:vAlign w:val="center"/>
          </w:tcPr>
          <w:p w14:paraId="6A8EF2C0" w14:textId="77777777" w:rsidR="00B431C4" w:rsidRDefault="00000000">
            <w:r>
              <w:t>4,459,633</w:t>
            </w:r>
          </w:p>
        </w:tc>
      </w:tr>
      <w:tr w:rsidR="00B431C4" w14:paraId="03FCEEF2" w14:textId="77777777">
        <w:trPr>
          <w:jc w:val="center"/>
        </w:trPr>
        <w:tc>
          <w:tcPr>
            <w:tcW w:w="4968" w:type="dxa"/>
            <w:vAlign w:val="center"/>
          </w:tcPr>
          <w:p w14:paraId="6A295BD9" w14:textId="77777777" w:rsidR="00B431C4" w:rsidRDefault="00000000">
            <w:r>
              <w:t>Uttar Pradesh</w:t>
            </w:r>
          </w:p>
        </w:tc>
        <w:tc>
          <w:tcPr>
            <w:tcW w:w="4968" w:type="dxa"/>
            <w:vAlign w:val="center"/>
          </w:tcPr>
          <w:p w14:paraId="4FB59409" w14:textId="77777777" w:rsidR="00B431C4" w:rsidRDefault="00000000">
            <w:r>
              <w:t>2,732,074</w:t>
            </w:r>
          </w:p>
        </w:tc>
      </w:tr>
      <w:tr w:rsidR="00B431C4" w14:paraId="1FC1C90C" w14:textId="77777777">
        <w:trPr>
          <w:jc w:val="center"/>
        </w:trPr>
        <w:tc>
          <w:tcPr>
            <w:tcW w:w="4968" w:type="dxa"/>
            <w:vAlign w:val="center"/>
          </w:tcPr>
          <w:p w14:paraId="19676CF1" w14:textId="77777777" w:rsidR="00B431C4" w:rsidRDefault="00000000">
            <w:r>
              <w:t>West Bengal</w:t>
            </w:r>
          </w:p>
        </w:tc>
        <w:tc>
          <w:tcPr>
            <w:tcW w:w="4968" w:type="dxa"/>
            <w:vAlign w:val="center"/>
          </w:tcPr>
          <w:p w14:paraId="2FCB27C7" w14:textId="77777777" w:rsidR="00B431C4" w:rsidRDefault="00000000">
            <w:r>
              <w:t>2,671,381</w:t>
            </w:r>
          </w:p>
        </w:tc>
      </w:tr>
      <w:tr w:rsidR="00B431C4" w14:paraId="62041924" w14:textId="77777777">
        <w:trPr>
          <w:jc w:val="center"/>
        </w:trPr>
        <w:tc>
          <w:tcPr>
            <w:tcW w:w="4968" w:type="dxa"/>
            <w:vAlign w:val="center"/>
          </w:tcPr>
          <w:p w14:paraId="684A9D56" w14:textId="77777777" w:rsidR="00B431C4" w:rsidRDefault="00000000">
            <w:r>
              <w:t>Delhi</w:t>
            </w:r>
          </w:p>
        </w:tc>
        <w:tc>
          <w:tcPr>
            <w:tcW w:w="4968" w:type="dxa"/>
            <w:vAlign w:val="center"/>
          </w:tcPr>
          <w:p w14:paraId="1182CD21" w14:textId="77777777" w:rsidR="00B431C4" w:rsidRDefault="00000000">
            <w:r>
              <w:t>2,664,023</w:t>
            </w:r>
          </w:p>
        </w:tc>
      </w:tr>
      <w:tr w:rsidR="00B431C4" w14:paraId="3DF98D87" w14:textId="77777777">
        <w:trPr>
          <w:jc w:val="center"/>
        </w:trPr>
        <w:tc>
          <w:tcPr>
            <w:tcW w:w="4968" w:type="dxa"/>
            <w:vAlign w:val="center"/>
          </w:tcPr>
          <w:p w14:paraId="52457615" w14:textId="77777777" w:rsidR="00B431C4" w:rsidRDefault="00000000">
            <w:r>
              <w:t>Andhra Pradesh</w:t>
            </w:r>
          </w:p>
        </w:tc>
        <w:tc>
          <w:tcPr>
            <w:tcW w:w="4968" w:type="dxa"/>
            <w:vAlign w:val="center"/>
          </w:tcPr>
          <w:p w14:paraId="4DCFF512" w14:textId="77777777" w:rsidR="00B431C4" w:rsidRDefault="00000000">
            <w:r>
              <w:t>2,587,635</w:t>
            </w:r>
          </w:p>
        </w:tc>
      </w:tr>
      <w:tr w:rsidR="00B431C4" w14:paraId="1C0C66E7" w14:textId="77777777">
        <w:trPr>
          <w:jc w:val="center"/>
        </w:trPr>
        <w:tc>
          <w:tcPr>
            <w:tcW w:w="4968" w:type="dxa"/>
            <w:vAlign w:val="center"/>
          </w:tcPr>
          <w:p w14:paraId="29B753A7" w14:textId="77777777" w:rsidR="00B431C4" w:rsidRDefault="00000000">
            <w:r>
              <w:t>Odisha</w:t>
            </w:r>
          </w:p>
        </w:tc>
        <w:tc>
          <w:tcPr>
            <w:tcW w:w="4968" w:type="dxa"/>
            <w:vAlign w:val="center"/>
          </w:tcPr>
          <w:p w14:paraId="7910FED0" w14:textId="77777777" w:rsidR="00B431C4" w:rsidRDefault="00000000">
            <w:r>
              <w:t>1,677,558</w:t>
            </w:r>
          </w:p>
        </w:tc>
      </w:tr>
      <w:tr w:rsidR="00B431C4" w14:paraId="0E2BFAD0" w14:textId="77777777">
        <w:trPr>
          <w:jc w:val="center"/>
        </w:trPr>
        <w:tc>
          <w:tcPr>
            <w:tcW w:w="4968" w:type="dxa"/>
            <w:vAlign w:val="center"/>
          </w:tcPr>
          <w:p w14:paraId="22D470C7" w14:textId="77777777" w:rsidR="00B431C4" w:rsidRDefault="00000000">
            <w:r>
              <w:t>Rajasthan</w:t>
            </w:r>
          </w:p>
        </w:tc>
        <w:tc>
          <w:tcPr>
            <w:tcW w:w="4968" w:type="dxa"/>
            <w:vAlign w:val="center"/>
          </w:tcPr>
          <w:p w14:paraId="4AF7595C" w14:textId="77777777" w:rsidR="00B431C4" w:rsidRDefault="00000000">
            <w:r>
              <w:t>1,636,513</w:t>
            </w:r>
          </w:p>
        </w:tc>
      </w:tr>
    </w:tbl>
    <w:p w14:paraId="4841AF9D" w14:textId="77777777" w:rsidR="00B431C4" w:rsidRPr="00716163" w:rsidRDefault="00000000">
      <w:pPr>
        <w:pStyle w:val="Heading2"/>
        <w:rPr>
          <w:sz w:val="36"/>
          <w:szCs w:val="32"/>
        </w:rPr>
      </w:pPr>
      <w:r w:rsidRPr="00716163">
        <w:rPr>
          <w:sz w:val="36"/>
          <w:szCs w:val="32"/>
        </w:rPr>
        <w:t>Top States/UTs by Deaths</w:t>
      </w:r>
    </w:p>
    <w:tbl>
      <w:tblPr>
        <w:tblStyle w:val="TableGrid"/>
        <w:tblW w:w="0" w:type="auto"/>
        <w:jc w:val="center"/>
        <w:tblLook w:val="04A0" w:firstRow="1" w:lastRow="0" w:firstColumn="1" w:lastColumn="0" w:noHBand="0" w:noVBand="1"/>
      </w:tblPr>
      <w:tblGrid>
        <w:gridCol w:w="4968"/>
        <w:gridCol w:w="4968"/>
      </w:tblGrid>
      <w:tr w:rsidR="00B431C4" w14:paraId="36598CF2" w14:textId="77777777">
        <w:trPr>
          <w:jc w:val="center"/>
        </w:trPr>
        <w:tc>
          <w:tcPr>
            <w:tcW w:w="4968" w:type="dxa"/>
            <w:vAlign w:val="center"/>
          </w:tcPr>
          <w:p w14:paraId="1AFB00C4" w14:textId="77777777" w:rsidR="00B431C4" w:rsidRDefault="00000000">
            <w:r>
              <w:rPr>
                <w:b/>
              </w:rPr>
              <w:t>State/UT</w:t>
            </w:r>
          </w:p>
        </w:tc>
        <w:tc>
          <w:tcPr>
            <w:tcW w:w="4968" w:type="dxa"/>
            <w:vAlign w:val="center"/>
          </w:tcPr>
          <w:p w14:paraId="2A5913CE" w14:textId="77777777" w:rsidR="00B431C4" w:rsidRDefault="00000000">
            <w:r>
              <w:rPr>
                <w:b/>
              </w:rPr>
              <w:t>Total Deaths (2020–2025)</w:t>
            </w:r>
          </w:p>
        </w:tc>
      </w:tr>
      <w:tr w:rsidR="00B431C4" w14:paraId="69BD2F49" w14:textId="77777777">
        <w:trPr>
          <w:jc w:val="center"/>
        </w:trPr>
        <w:tc>
          <w:tcPr>
            <w:tcW w:w="4968" w:type="dxa"/>
            <w:vAlign w:val="center"/>
          </w:tcPr>
          <w:p w14:paraId="2480E1DA" w14:textId="77777777" w:rsidR="00B431C4" w:rsidRDefault="00000000">
            <w:r>
              <w:t>Maharashtra</w:t>
            </w:r>
          </w:p>
        </w:tc>
        <w:tc>
          <w:tcPr>
            <w:tcW w:w="4968" w:type="dxa"/>
            <w:vAlign w:val="center"/>
          </w:tcPr>
          <w:p w14:paraId="7F653C09" w14:textId="77777777" w:rsidR="00B431C4" w:rsidRDefault="00000000">
            <w:r>
              <w:t>968,909</w:t>
            </w:r>
          </w:p>
        </w:tc>
      </w:tr>
      <w:tr w:rsidR="00B431C4" w14:paraId="477A5D4F" w14:textId="77777777">
        <w:trPr>
          <w:jc w:val="center"/>
        </w:trPr>
        <w:tc>
          <w:tcPr>
            <w:tcW w:w="4968" w:type="dxa"/>
            <w:vAlign w:val="center"/>
          </w:tcPr>
          <w:p w14:paraId="19CBF3D7" w14:textId="77777777" w:rsidR="00B431C4" w:rsidRDefault="00000000">
            <w:r>
              <w:t>Karnataka</w:t>
            </w:r>
          </w:p>
        </w:tc>
        <w:tc>
          <w:tcPr>
            <w:tcW w:w="4968" w:type="dxa"/>
            <w:vAlign w:val="center"/>
          </w:tcPr>
          <w:p w14:paraId="40563D4C" w14:textId="77777777" w:rsidR="00B431C4" w:rsidRDefault="00000000">
            <w:r>
              <w:t>828,482</w:t>
            </w:r>
          </w:p>
        </w:tc>
      </w:tr>
      <w:tr w:rsidR="00B431C4" w14:paraId="1E05DB1C" w14:textId="77777777">
        <w:trPr>
          <w:jc w:val="center"/>
        </w:trPr>
        <w:tc>
          <w:tcPr>
            <w:tcW w:w="4968" w:type="dxa"/>
            <w:vAlign w:val="center"/>
          </w:tcPr>
          <w:p w14:paraId="3C5A6B3A" w14:textId="77777777" w:rsidR="00B431C4" w:rsidRDefault="00000000">
            <w:r>
              <w:t>West Bengal</w:t>
            </w:r>
          </w:p>
        </w:tc>
        <w:tc>
          <w:tcPr>
            <w:tcW w:w="4968" w:type="dxa"/>
            <w:vAlign w:val="center"/>
          </w:tcPr>
          <w:p w14:paraId="73D06D81" w14:textId="77777777" w:rsidR="00B431C4" w:rsidRDefault="00000000">
            <w:r>
              <w:t>804,732</w:t>
            </w:r>
          </w:p>
        </w:tc>
      </w:tr>
      <w:tr w:rsidR="00B431C4" w14:paraId="2C6CBA6A" w14:textId="77777777">
        <w:trPr>
          <w:jc w:val="center"/>
        </w:trPr>
        <w:tc>
          <w:tcPr>
            <w:tcW w:w="4968" w:type="dxa"/>
            <w:vAlign w:val="center"/>
          </w:tcPr>
          <w:p w14:paraId="61B394B7" w14:textId="77777777" w:rsidR="00B431C4" w:rsidRDefault="00000000">
            <w:r>
              <w:t>Chhattisgarh</w:t>
            </w:r>
          </w:p>
        </w:tc>
        <w:tc>
          <w:tcPr>
            <w:tcW w:w="4968" w:type="dxa"/>
            <w:vAlign w:val="center"/>
          </w:tcPr>
          <w:p w14:paraId="415D1EA0" w14:textId="77777777" w:rsidR="00B431C4" w:rsidRDefault="00000000">
            <w:r>
              <w:t>549,610</w:t>
            </w:r>
          </w:p>
        </w:tc>
      </w:tr>
      <w:tr w:rsidR="00B431C4" w14:paraId="13F4B6A5" w14:textId="77777777">
        <w:trPr>
          <w:jc w:val="center"/>
        </w:trPr>
        <w:tc>
          <w:tcPr>
            <w:tcW w:w="4968" w:type="dxa"/>
            <w:vAlign w:val="center"/>
          </w:tcPr>
          <w:p w14:paraId="623849A0" w14:textId="77777777" w:rsidR="00B431C4" w:rsidRDefault="00000000">
            <w:r>
              <w:t>Delhi</w:t>
            </w:r>
          </w:p>
        </w:tc>
        <w:tc>
          <w:tcPr>
            <w:tcW w:w="4968" w:type="dxa"/>
            <w:vAlign w:val="center"/>
          </w:tcPr>
          <w:p w14:paraId="246D6627" w14:textId="77777777" w:rsidR="00B431C4" w:rsidRDefault="00000000">
            <w:r>
              <w:t>537,910</w:t>
            </w:r>
          </w:p>
        </w:tc>
      </w:tr>
      <w:tr w:rsidR="00B431C4" w14:paraId="2D59624B" w14:textId="77777777">
        <w:trPr>
          <w:jc w:val="center"/>
        </w:trPr>
        <w:tc>
          <w:tcPr>
            <w:tcW w:w="4968" w:type="dxa"/>
            <w:vAlign w:val="center"/>
          </w:tcPr>
          <w:p w14:paraId="2E0F8E91" w14:textId="77777777" w:rsidR="00B431C4" w:rsidRDefault="00000000">
            <w:r>
              <w:t>Uttar Pradesh</w:t>
            </w:r>
          </w:p>
        </w:tc>
        <w:tc>
          <w:tcPr>
            <w:tcW w:w="4968" w:type="dxa"/>
            <w:vAlign w:val="center"/>
          </w:tcPr>
          <w:p w14:paraId="25DD141D" w14:textId="77777777" w:rsidR="00B431C4" w:rsidRDefault="00000000">
            <w:r>
              <w:t>514,406</w:t>
            </w:r>
          </w:p>
        </w:tc>
      </w:tr>
      <w:tr w:rsidR="00B431C4" w14:paraId="3AA39522" w14:textId="77777777">
        <w:trPr>
          <w:jc w:val="center"/>
        </w:trPr>
        <w:tc>
          <w:tcPr>
            <w:tcW w:w="4968" w:type="dxa"/>
            <w:vAlign w:val="center"/>
          </w:tcPr>
          <w:p w14:paraId="591CB534" w14:textId="77777777" w:rsidR="00B431C4" w:rsidRDefault="00000000">
            <w:r>
              <w:t>Andhra Pradesh</w:t>
            </w:r>
          </w:p>
        </w:tc>
        <w:tc>
          <w:tcPr>
            <w:tcW w:w="4968" w:type="dxa"/>
            <w:vAlign w:val="center"/>
          </w:tcPr>
          <w:p w14:paraId="3D60838D" w14:textId="77777777" w:rsidR="00B431C4" w:rsidRDefault="00000000">
            <w:r>
              <w:t>502,337</w:t>
            </w:r>
          </w:p>
        </w:tc>
      </w:tr>
      <w:tr w:rsidR="00B431C4" w14:paraId="6FE46E39" w14:textId="77777777">
        <w:trPr>
          <w:jc w:val="center"/>
        </w:trPr>
        <w:tc>
          <w:tcPr>
            <w:tcW w:w="4968" w:type="dxa"/>
            <w:vAlign w:val="center"/>
          </w:tcPr>
          <w:p w14:paraId="309D1C2F" w14:textId="77777777" w:rsidR="00B431C4" w:rsidRDefault="00000000">
            <w:r>
              <w:t>Kerala</w:t>
            </w:r>
          </w:p>
        </w:tc>
        <w:tc>
          <w:tcPr>
            <w:tcW w:w="4968" w:type="dxa"/>
            <w:vAlign w:val="center"/>
          </w:tcPr>
          <w:p w14:paraId="164F00F5" w14:textId="77777777" w:rsidR="00B431C4" w:rsidRDefault="00000000">
            <w:r>
              <w:t>344,547</w:t>
            </w:r>
          </w:p>
        </w:tc>
      </w:tr>
      <w:tr w:rsidR="00B431C4" w14:paraId="251C1225" w14:textId="77777777">
        <w:trPr>
          <w:jc w:val="center"/>
        </w:trPr>
        <w:tc>
          <w:tcPr>
            <w:tcW w:w="4968" w:type="dxa"/>
            <w:vAlign w:val="center"/>
          </w:tcPr>
          <w:p w14:paraId="29657BE4" w14:textId="77777777" w:rsidR="00B431C4" w:rsidRDefault="00000000">
            <w:r>
              <w:t>Tamil Nadu</w:t>
            </w:r>
          </w:p>
        </w:tc>
        <w:tc>
          <w:tcPr>
            <w:tcW w:w="4968" w:type="dxa"/>
            <w:vAlign w:val="center"/>
          </w:tcPr>
          <w:p w14:paraId="354EA4FB" w14:textId="77777777" w:rsidR="00B431C4" w:rsidRDefault="00000000">
            <w:r>
              <w:t>206,284</w:t>
            </w:r>
          </w:p>
        </w:tc>
      </w:tr>
      <w:tr w:rsidR="00B431C4" w14:paraId="0F99E5FC" w14:textId="77777777">
        <w:trPr>
          <w:jc w:val="center"/>
        </w:trPr>
        <w:tc>
          <w:tcPr>
            <w:tcW w:w="4968" w:type="dxa"/>
            <w:vAlign w:val="center"/>
          </w:tcPr>
          <w:p w14:paraId="40F0CA91" w14:textId="77777777" w:rsidR="00B431C4" w:rsidRDefault="00000000">
            <w:r>
              <w:t>Bihar</w:t>
            </w:r>
          </w:p>
        </w:tc>
        <w:tc>
          <w:tcPr>
            <w:tcW w:w="4968" w:type="dxa"/>
            <w:vAlign w:val="center"/>
          </w:tcPr>
          <w:p w14:paraId="7097EE32" w14:textId="77777777" w:rsidR="00B431C4" w:rsidRDefault="00000000">
            <w:r>
              <w:t>186,858</w:t>
            </w:r>
          </w:p>
        </w:tc>
      </w:tr>
    </w:tbl>
    <w:p w14:paraId="3274458B" w14:textId="77777777" w:rsidR="00B431C4" w:rsidRDefault="00000000">
      <w:r>
        <w:br w:type="page"/>
      </w:r>
    </w:p>
    <w:p w14:paraId="319CB466" w14:textId="64CD228E" w:rsidR="00B431C4" w:rsidRDefault="00000000">
      <w:pPr>
        <w:jc w:val="center"/>
      </w:pPr>
      <w:r>
        <w:rPr>
          <w:b/>
          <w:sz w:val="44"/>
        </w:rPr>
        <w:lastRenderedPageBreak/>
        <w:t>Pivot</w:t>
      </w:r>
      <w:r w:rsidR="00F05CB6">
        <w:rPr>
          <w:b/>
          <w:sz w:val="44"/>
        </w:rPr>
        <w:t>-</w:t>
      </w:r>
      <w:r>
        <w:rPr>
          <w:b/>
          <w:sz w:val="44"/>
        </w:rPr>
        <w:t>Charts and Visual Analysis</w:t>
      </w:r>
    </w:p>
    <w:p w14:paraId="5869902E" w14:textId="77777777" w:rsidR="00F05CB6" w:rsidRDefault="00F05CB6">
      <w:pPr>
        <w:pStyle w:val="Heading2"/>
      </w:pPr>
    </w:p>
    <w:p w14:paraId="0E2AE15D" w14:textId="60347B43" w:rsidR="00B431C4" w:rsidRPr="00716163" w:rsidRDefault="00000000">
      <w:pPr>
        <w:pStyle w:val="Heading2"/>
        <w:rPr>
          <w:sz w:val="36"/>
          <w:szCs w:val="32"/>
        </w:rPr>
      </w:pPr>
      <w:r w:rsidRPr="00716163">
        <w:rPr>
          <w:sz w:val="36"/>
          <w:szCs w:val="32"/>
        </w:rPr>
        <w:t>COVID Data Year Wise</w:t>
      </w:r>
    </w:p>
    <w:p w14:paraId="1E146AAE" w14:textId="77777777" w:rsidR="00B431C4" w:rsidRPr="00716163" w:rsidRDefault="00000000">
      <w:pPr>
        <w:rPr>
          <w:sz w:val="24"/>
          <w:szCs w:val="28"/>
        </w:rPr>
      </w:pPr>
      <w:r w:rsidRPr="00716163">
        <w:rPr>
          <w:sz w:val="24"/>
          <w:szCs w:val="28"/>
        </w:rPr>
        <w:t>This chart shows the year-wise distribution of new COVID-19 cases across different States and Union Territories.</w:t>
      </w:r>
    </w:p>
    <w:p w14:paraId="7E368362" w14:textId="26788A69" w:rsidR="00F05CB6" w:rsidRDefault="00F05CB6">
      <w:r>
        <w:rPr>
          <w:noProof/>
        </w:rPr>
        <w:drawing>
          <wp:inline distT="0" distB="0" distL="0" distR="0" wp14:anchorId="7962A16D" wp14:editId="54A99237">
            <wp:extent cx="6309360" cy="3867150"/>
            <wp:effectExtent l="0" t="0" r="0" b="0"/>
            <wp:docPr id="1056202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02051" name="Picture 1056202051"/>
                    <pic:cNvPicPr/>
                  </pic:nvPicPr>
                  <pic:blipFill>
                    <a:blip r:embed="rId11"/>
                    <a:stretch>
                      <a:fillRect/>
                    </a:stretch>
                  </pic:blipFill>
                  <pic:spPr>
                    <a:xfrm>
                      <a:off x="0" y="0"/>
                      <a:ext cx="6309360" cy="3867150"/>
                    </a:xfrm>
                    <a:prstGeom prst="rect">
                      <a:avLst/>
                    </a:prstGeom>
                  </pic:spPr>
                </pic:pic>
              </a:graphicData>
            </a:graphic>
          </wp:inline>
        </w:drawing>
      </w:r>
    </w:p>
    <w:p w14:paraId="104D4A0A" w14:textId="77777777" w:rsidR="00B431C4" w:rsidRPr="00716163" w:rsidRDefault="00000000">
      <w:pPr>
        <w:pStyle w:val="Heading2"/>
        <w:rPr>
          <w:sz w:val="36"/>
          <w:szCs w:val="32"/>
        </w:rPr>
      </w:pPr>
      <w:r w:rsidRPr="00716163">
        <w:rPr>
          <w:sz w:val="36"/>
          <w:szCs w:val="32"/>
        </w:rPr>
        <w:t>Year-wise Recovery Rate</w:t>
      </w:r>
    </w:p>
    <w:p w14:paraId="001E1749" w14:textId="77777777" w:rsidR="00B431C4" w:rsidRPr="00716163" w:rsidRDefault="00000000">
      <w:pPr>
        <w:rPr>
          <w:sz w:val="24"/>
          <w:szCs w:val="28"/>
        </w:rPr>
      </w:pPr>
      <w:r w:rsidRPr="00716163">
        <w:rPr>
          <w:sz w:val="24"/>
          <w:szCs w:val="28"/>
        </w:rPr>
        <w:t>This chart shows the change in the supplied recovery-rate values from 2020 to 2025.</w:t>
      </w:r>
    </w:p>
    <w:p w14:paraId="11D0F59A" w14:textId="558052EB" w:rsidR="00F05CB6" w:rsidRDefault="00F05CB6">
      <w:r>
        <w:rPr>
          <w:noProof/>
        </w:rPr>
        <w:drawing>
          <wp:inline distT="0" distB="0" distL="0" distR="0" wp14:anchorId="36F9F716" wp14:editId="61DD333A">
            <wp:extent cx="6309360" cy="2293620"/>
            <wp:effectExtent l="0" t="0" r="0" b="0"/>
            <wp:docPr id="70290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0009" name="Picture 70290009"/>
                    <pic:cNvPicPr/>
                  </pic:nvPicPr>
                  <pic:blipFill>
                    <a:blip r:embed="rId12"/>
                    <a:stretch>
                      <a:fillRect/>
                    </a:stretch>
                  </pic:blipFill>
                  <pic:spPr>
                    <a:xfrm>
                      <a:off x="0" y="0"/>
                      <a:ext cx="6309360" cy="2293620"/>
                    </a:xfrm>
                    <a:prstGeom prst="rect">
                      <a:avLst/>
                    </a:prstGeom>
                  </pic:spPr>
                </pic:pic>
              </a:graphicData>
            </a:graphic>
          </wp:inline>
        </w:drawing>
      </w:r>
    </w:p>
    <w:p w14:paraId="1D700118" w14:textId="77777777" w:rsidR="00B431C4" w:rsidRPr="00716163" w:rsidRDefault="00000000">
      <w:pPr>
        <w:pStyle w:val="Heading2"/>
        <w:rPr>
          <w:sz w:val="36"/>
          <w:szCs w:val="32"/>
        </w:rPr>
      </w:pPr>
      <w:r w:rsidRPr="00716163">
        <w:rPr>
          <w:sz w:val="36"/>
          <w:szCs w:val="32"/>
        </w:rPr>
        <w:lastRenderedPageBreak/>
        <w:t>Year-wise COVID Pie Chart</w:t>
      </w:r>
    </w:p>
    <w:p w14:paraId="6CE6CAB0" w14:textId="77777777" w:rsidR="00B431C4" w:rsidRPr="00716163" w:rsidRDefault="00000000">
      <w:pPr>
        <w:rPr>
          <w:sz w:val="24"/>
          <w:szCs w:val="28"/>
        </w:rPr>
      </w:pPr>
      <w:r w:rsidRPr="00716163">
        <w:rPr>
          <w:sz w:val="24"/>
          <w:szCs w:val="28"/>
        </w:rPr>
        <w:t>This chart shows the relative distribution of new cases, active cases, recovered cases, and deaths in the selected year-wise summary.</w:t>
      </w:r>
    </w:p>
    <w:p w14:paraId="518A89FA" w14:textId="78E71E2D" w:rsidR="00F05CB6" w:rsidRDefault="00F05CB6">
      <w:r>
        <w:rPr>
          <w:noProof/>
        </w:rPr>
        <w:drawing>
          <wp:inline distT="0" distB="0" distL="0" distR="0" wp14:anchorId="557D8EE5" wp14:editId="09CCE38A">
            <wp:extent cx="6309360" cy="3545840"/>
            <wp:effectExtent l="0" t="0" r="0" b="0"/>
            <wp:docPr id="10232481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48194" name="Picture 1023248194"/>
                    <pic:cNvPicPr/>
                  </pic:nvPicPr>
                  <pic:blipFill>
                    <a:blip r:embed="rId13"/>
                    <a:stretch>
                      <a:fillRect/>
                    </a:stretch>
                  </pic:blipFill>
                  <pic:spPr>
                    <a:xfrm>
                      <a:off x="0" y="0"/>
                      <a:ext cx="6309360" cy="3545840"/>
                    </a:xfrm>
                    <a:prstGeom prst="rect">
                      <a:avLst/>
                    </a:prstGeom>
                  </pic:spPr>
                </pic:pic>
              </a:graphicData>
            </a:graphic>
          </wp:inline>
        </w:drawing>
      </w:r>
    </w:p>
    <w:p w14:paraId="6CFAA969" w14:textId="77777777" w:rsidR="00B431C4" w:rsidRPr="00716163" w:rsidRDefault="00000000">
      <w:pPr>
        <w:pStyle w:val="Heading2"/>
        <w:rPr>
          <w:sz w:val="36"/>
          <w:szCs w:val="32"/>
        </w:rPr>
      </w:pPr>
      <w:r w:rsidRPr="00716163">
        <w:rPr>
          <w:sz w:val="36"/>
          <w:szCs w:val="32"/>
        </w:rPr>
        <w:t>Statewise Recovery Rate</w:t>
      </w:r>
    </w:p>
    <w:p w14:paraId="67421B80" w14:textId="77777777" w:rsidR="00B431C4" w:rsidRPr="00716163" w:rsidRDefault="00000000">
      <w:pPr>
        <w:rPr>
          <w:sz w:val="24"/>
          <w:szCs w:val="28"/>
        </w:rPr>
      </w:pPr>
      <w:r w:rsidRPr="00716163">
        <w:rPr>
          <w:sz w:val="24"/>
          <w:szCs w:val="28"/>
        </w:rPr>
        <w:t>This chart compares the supplied recovery-rate values across different States and Union Territories.</w:t>
      </w:r>
    </w:p>
    <w:p w14:paraId="3E2AFE51" w14:textId="37FD7981" w:rsidR="00F05CB6" w:rsidRDefault="00F05CB6">
      <w:r>
        <w:rPr>
          <w:noProof/>
        </w:rPr>
        <w:drawing>
          <wp:inline distT="0" distB="0" distL="0" distR="0" wp14:anchorId="122B2760" wp14:editId="463319BB">
            <wp:extent cx="6309360" cy="2837815"/>
            <wp:effectExtent l="0" t="0" r="0" b="635"/>
            <wp:docPr id="1910519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19796" name="Picture 1910519796"/>
                    <pic:cNvPicPr/>
                  </pic:nvPicPr>
                  <pic:blipFill>
                    <a:blip r:embed="rId14"/>
                    <a:stretch>
                      <a:fillRect/>
                    </a:stretch>
                  </pic:blipFill>
                  <pic:spPr>
                    <a:xfrm>
                      <a:off x="0" y="0"/>
                      <a:ext cx="6309360" cy="2837815"/>
                    </a:xfrm>
                    <a:prstGeom prst="rect">
                      <a:avLst/>
                    </a:prstGeom>
                  </pic:spPr>
                </pic:pic>
              </a:graphicData>
            </a:graphic>
          </wp:inline>
        </w:drawing>
      </w:r>
    </w:p>
    <w:p w14:paraId="0A888C65" w14:textId="77777777" w:rsidR="00F05CB6" w:rsidRDefault="00F05CB6">
      <w:pPr>
        <w:spacing w:after="200" w:line="276" w:lineRule="auto"/>
        <w:rPr>
          <w:rFonts w:asciiTheme="majorHAnsi" w:eastAsiaTheme="majorEastAsia" w:hAnsiTheme="majorHAnsi" w:cstheme="majorBidi"/>
          <w:b/>
          <w:bCs/>
          <w:color w:val="4F81BD" w:themeColor="accent1"/>
          <w:sz w:val="28"/>
          <w:szCs w:val="26"/>
        </w:rPr>
      </w:pPr>
      <w:r>
        <w:br w:type="page"/>
      </w:r>
    </w:p>
    <w:p w14:paraId="6E25EF2A" w14:textId="316F0110" w:rsidR="00B431C4" w:rsidRPr="00716163" w:rsidRDefault="00000000">
      <w:pPr>
        <w:pStyle w:val="Heading2"/>
        <w:rPr>
          <w:sz w:val="36"/>
          <w:szCs w:val="32"/>
        </w:rPr>
      </w:pPr>
      <w:r w:rsidRPr="00716163">
        <w:rPr>
          <w:sz w:val="36"/>
          <w:szCs w:val="32"/>
        </w:rPr>
        <w:lastRenderedPageBreak/>
        <w:t>Case Fatality Rate</w:t>
      </w:r>
    </w:p>
    <w:p w14:paraId="40550D27" w14:textId="77777777" w:rsidR="00B431C4" w:rsidRPr="00716163" w:rsidRDefault="00000000">
      <w:pPr>
        <w:rPr>
          <w:sz w:val="24"/>
          <w:szCs w:val="28"/>
        </w:rPr>
      </w:pPr>
      <w:r w:rsidRPr="00716163">
        <w:rPr>
          <w:sz w:val="24"/>
          <w:szCs w:val="28"/>
        </w:rPr>
        <w:t>This chart shows the change in the supplied case-fatality-rate values from 2020 to 2025.</w:t>
      </w:r>
    </w:p>
    <w:p w14:paraId="20A814B9" w14:textId="22ECD4F8" w:rsidR="00F05CB6" w:rsidRDefault="00F05CB6">
      <w:r>
        <w:rPr>
          <w:noProof/>
        </w:rPr>
        <w:drawing>
          <wp:inline distT="0" distB="0" distL="0" distR="0" wp14:anchorId="72B2E90F" wp14:editId="5BC12993">
            <wp:extent cx="6309360" cy="2511425"/>
            <wp:effectExtent l="0" t="0" r="0" b="3175"/>
            <wp:docPr id="1566990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90965" name="Picture 1566990965"/>
                    <pic:cNvPicPr/>
                  </pic:nvPicPr>
                  <pic:blipFill>
                    <a:blip r:embed="rId15"/>
                    <a:stretch>
                      <a:fillRect/>
                    </a:stretch>
                  </pic:blipFill>
                  <pic:spPr>
                    <a:xfrm>
                      <a:off x="0" y="0"/>
                      <a:ext cx="6309360" cy="2511425"/>
                    </a:xfrm>
                    <a:prstGeom prst="rect">
                      <a:avLst/>
                    </a:prstGeom>
                  </pic:spPr>
                </pic:pic>
              </a:graphicData>
            </a:graphic>
          </wp:inline>
        </w:drawing>
      </w:r>
    </w:p>
    <w:p w14:paraId="19E6646A" w14:textId="77777777" w:rsidR="00B431C4" w:rsidRPr="00716163" w:rsidRDefault="00000000">
      <w:pPr>
        <w:pStyle w:val="Heading2"/>
        <w:rPr>
          <w:sz w:val="36"/>
          <w:szCs w:val="32"/>
        </w:rPr>
      </w:pPr>
      <w:r w:rsidRPr="00716163">
        <w:rPr>
          <w:sz w:val="36"/>
          <w:szCs w:val="32"/>
        </w:rPr>
        <w:t>Death Counts</w:t>
      </w:r>
    </w:p>
    <w:p w14:paraId="4108A511" w14:textId="5F18841C" w:rsidR="00B431C4" w:rsidRDefault="00000000">
      <w:r>
        <w:t>This chart shows that the recorded death count peaks in 2021 and then falls sharply in the following years.</w:t>
      </w:r>
    </w:p>
    <w:p w14:paraId="60C86DAF" w14:textId="13131557" w:rsidR="00F05CB6" w:rsidRDefault="00F05CB6">
      <w:r>
        <w:rPr>
          <w:noProof/>
        </w:rPr>
        <w:drawing>
          <wp:inline distT="0" distB="0" distL="0" distR="0" wp14:anchorId="5E26625A" wp14:editId="69BA5591">
            <wp:extent cx="6309360" cy="4295140"/>
            <wp:effectExtent l="0" t="0" r="0" b="0"/>
            <wp:docPr id="1793404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04028" name="Picture 1793404028"/>
                    <pic:cNvPicPr/>
                  </pic:nvPicPr>
                  <pic:blipFill>
                    <a:blip r:embed="rId16"/>
                    <a:stretch>
                      <a:fillRect/>
                    </a:stretch>
                  </pic:blipFill>
                  <pic:spPr>
                    <a:xfrm>
                      <a:off x="0" y="0"/>
                      <a:ext cx="6309360" cy="4295140"/>
                    </a:xfrm>
                    <a:prstGeom prst="rect">
                      <a:avLst/>
                    </a:prstGeom>
                  </pic:spPr>
                </pic:pic>
              </a:graphicData>
            </a:graphic>
          </wp:inline>
        </w:drawing>
      </w:r>
    </w:p>
    <w:p w14:paraId="3932D3D2" w14:textId="77777777" w:rsidR="00716163" w:rsidRDefault="00716163">
      <w:pPr>
        <w:spacing w:after="200" w:line="276" w:lineRule="auto"/>
        <w:rPr>
          <w:b/>
          <w:sz w:val="44"/>
        </w:rPr>
      </w:pPr>
      <w:r>
        <w:rPr>
          <w:b/>
          <w:sz w:val="44"/>
        </w:rPr>
        <w:br w:type="page"/>
      </w:r>
    </w:p>
    <w:p w14:paraId="447570DC" w14:textId="4A9109D4" w:rsidR="00B431C4" w:rsidRDefault="00000000">
      <w:pPr>
        <w:jc w:val="center"/>
      </w:pPr>
      <w:r>
        <w:rPr>
          <w:b/>
          <w:sz w:val="44"/>
        </w:rPr>
        <w:lastRenderedPageBreak/>
        <w:t>Dashboard Development</w:t>
      </w:r>
    </w:p>
    <w:p w14:paraId="4B2D0DD9" w14:textId="77777777" w:rsidR="00B431C4" w:rsidRPr="00716163" w:rsidRDefault="00000000">
      <w:pPr>
        <w:pStyle w:val="Heading2"/>
        <w:rPr>
          <w:sz w:val="36"/>
          <w:szCs w:val="32"/>
        </w:rPr>
      </w:pPr>
      <w:r w:rsidRPr="00716163">
        <w:rPr>
          <w:sz w:val="36"/>
          <w:szCs w:val="32"/>
        </w:rPr>
        <w:t>Main Dashboard Components</w:t>
      </w:r>
    </w:p>
    <w:p w14:paraId="1A792157" w14:textId="77777777" w:rsidR="00B431C4" w:rsidRPr="007F75A4" w:rsidRDefault="00000000">
      <w:pPr>
        <w:pStyle w:val="ListBullet"/>
        <w:rPr>
          <w:sz w:val="24"/>
          <w:szCs w:val="28"/>
        </w:rPr>
      </w:pPr>
      <w:r w:rsidRPr="007F75A4">
        <w:rPr>
          <w:sz w:val="24"/>
          <w:szCs w:val="28"/>
        </w:rPr>
        <w:t>Year-wise new COVID case visualization for comparing reported cases across States/UTs and years.</w:t>
      </w:r>
    </w:p>
    <w:p w14:paraId="3400C279" w14:textId="77777777" w:rsidR="00B431C4" w:rsidRPr="007F75A4" w:rsidRDefault="00000000">
      <w:pPr>
        <w:pStyle w:val="ListBullet"/>
        <w:rPr>
          <w:sz w:val="24"/>
          <w:szCs w:val="28"/>
        </w:rPr>
      </w:pPr>
      <w:r w:rsidRPr="007F75A4">
        <w:rPr>
          <w:sz w:val="24"/>
          <w:szCs w:val="28"/>
        </w:rPr>
        <w:t>State-wise recovery-rate visualization for comparing recovery-related values across regions.</w:t>
      </w:r>
    </w:p>
    <w:p w14:paraId="1C317AD2" w14:textId="77777777" w:rsidR="00B431C4" w:rsidRPr="007F75A4" w:rsidRDefault="00000000">
      <w:pPr>
        <w:pStyle w:val="ListBullet"/>
        <w:rPr>
          <w:sz w:val="24"/>
          <w:szCs w:val="28"/>
        </w:rPr>
      </w:pPr>
      <w:r w:rsidRPr="007F75A4">
        <w:rPr>
          <w:sz w:val="24"/>
          <w:szCs w:val="28"/>
        </w:rPr>
        <w:t>Case fatality rate chart showing the year-wise change in the supplied fatality-rate values.</w:t>
      </w:r>
    </w:p>
    <w:p w14:paraId="31417C1E" w14:textId="77777777" w:rsidR="00B431C4" w:rsidRPr="007F75A4" w:rsidRDefault="00000000">
      <w:pPr>
        <w:pStyle w:val="ListBullet"/>
        <w:rPr>
          <w:sz w:val="24"/>
          <w:szCs w:val="28"/>
        </w:rPr>
      </w:pPr>
      <w:r w:rsidRPr="007F75A4">
        <w:rPr>
          <w:sz w:val="24"/>
          <w:szCs w:val="28"/>
        </w:rPr>
        <w:t>Year-wise recovery-rate chart showing the overall direction of the supplied recovery-rate measure.</w:t>
      </w:r>
    </w:p>
    <w:p w14:paraId="38435CB9" w14:textId="77777777" w:rsidR="00B431C4" w:rsidRPr="007F75A4" w:rsidRDefault="00000000">
      <w:pPr>
        <w:pStyle w:val="ListBullet"/>
        <w:rPr>
          <w:sz w:val="24"/>
          <w:szCs w:val="28"/>
        </w:rPr>
      </w:pPr>
      <w:r w:rsidRPr="007F75A4">
        <w:rPr>
          <w:sz w:val="24"/>
          <w:szCs w:val="28"/>
        </w:rPr>
        <w:t>Death-count chart highlighting the major peak in 2021 and the subsequent decline.</w:t>
      </w:r>
    </w:p>
    <w:p w14:paraId="0B48E62C" w14:textId="77777777" w:rsidR="00B431C4" w:rsidRPr="007F75A4" w:rsidRDefault="00000000">
      <w:pPr>
        <w:pStyle w:val="ListBullet"/>
        <w:rPr>
          <w:sz w:val="24"/>
          <w:szCs w:val="28"/>
        </w:rPr>
      </w:pPr>
      <w:r w:rsidRPr="007F75A4">
        <w:rPr>
          <w:sz w:val="24"/>
          <w:szCs w:val="28"/>
        </w:rPr>
        <w:t>Doughnut/pie visualization showing the relative share of new cases, active cases, recovered cases, and deaths.</w:t>
      </w:r>
    </w:p>
    <w:p w14:paraId="06B2EBF9" w14:textId="77777777" w:rsidR="00B431C4" w:rsidRDefault="00000000">
      <w:pPr>
        <w:pStyle w:val="ListBullet"/>
      </w:pPr>
      <w:r w:rsidRPr="007F75A4">
        <w:rPr>
          <w:sz w:val="24"/>
          <w:szCs w:val="28"/>
        </w:rPr>
        <w:t>Slicers or PivotChart filters that allow the user to select years or States/UTs where applicable</w:t>
      </w:r>
      <w:r>
        <w:t>.</w:t>
      </w:r>
    </w:p>
    <w:p w14:paraId="19135599" w14:textId="77777777" w:rsidR="00B431C4" w:rsidRPr="00716163" w:rsidRDefault="00000000">
      <w:pPr>
        <w:pStyle w:val="Heading2"/>
        <w:rPr>
          <w:sz w:val="36"/>
          <w:szCs w:val="32"/>
        </w:rPr>
      </w:pPr>
      <w:r w:rsidRPr="00716163">
        <w:rPr>
          <w:sz w:val="36"/>
          <w:szCs w:val="32"/>
        </w:rPr>
        <w:t>Dashboard Design Approach</w:t>
      </w:r>
    </w:p>
    <w:p w14:paraId="15C79385" w14:textId="77777777" w:rsidR="00B431C4" w:rsidRDefault="00000000">
      <w:r>
        <w:t>The dashboard uses contrasting chart areas and clear headings so that each visualization has a distinct purpose. The charts are positioned together to reduce the need to switch between worksheets. Filters provide interactivity, while PivotCharts ensure that the visualizations respond to changes in the underlying PivotTable selections.</w:t>
      </w:r>
    </w:p>
    <w:p w14:paraId="4CF56DEC" w14:textId="09AA9B67" w:rsidR="00B431C4" w:rsidRDefault="007A4DA6">
      <w:r>
        <w:rPr>
          <w:noProof/>
        </w:rPr>
        <w:drawing>
          <wp:inline distT="0" distB="0" distL="0" distR="0" wp14:anchorId="6E6F5F85" wp14:editId="029F3389">
            <wp:extent cx="6309360" cy="3359150"/>
            <wp:effectExtent l="0" t="0" r="0" b="0"/>
            <wp:docPr id="6676643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64387" name="Picture 667664387"/>
                    <pic:cNvPicPr/>
                  </pic:nvPicPr>
                  <pic:blipFill>
                    <a:blip r:embed="rId17"/>
                    <a:stretch>
                      <a:fillRect/>
                    </a:stretch>
                  </pic:blipFill>
                  <pic:spPr>
                    <a:xfrm>
                      <a:off x="0" y="0"/>
                      <a:ext cx="6309360" cy="3359150"/>
                    </a:xfrm>
                    <a:prstGeom prst="rect">
                      <a:avLst/>
                    </a:prstGeom>
                  </pic:spPr>
                </pic:pic>
              </a:graphicData>
            </a:graphic>
          </wp:inline>
        </w:drawing>
      </w:r>
      <w:r>
        <w:br w:type="page"/>
      </w:r>
    </w:p>
    <w:p w14:paraId="36AC2F71" w14:textId="7118635B" w:rsidR="00716163" w:rsidRDefault="00000000" w:rsidP="007A4DA6">
      <w:pPr>
        <w:jc w:val="center"/>
      </w:pPr>
      <w:r>
        <w:rPr>
          <w:b/>
          <w:sz w:val="44"/>
        </w:rPr>
        <w:lastRenderedPageBreak/>
        <w:t>Forecasting Model</w:t>
      </w:r>
    </w:p>
    <w:p w14:paraId="06CCA665" w14:textId="3BFB6706" w:rsidR="00B431C4" w:rsidRDefault="00000000">
      <w:pPr>
        <w:pStyle w:val="Heading2"/>
      </w:pPr>
      <w:r>
        <w:t>Forecast Values Used in the Dashboard</w:t>
      </w:r>
    </w:p>
    <w:tbl>
      <w:tblPr>
        <w:tblStyle w:val="TableGrid"/>
        <w:tblW w:w="0" w:type="auto"/>
        <w:jc w:val="center"/>
        <w:tblLook w:val="04A0" w:firstRow="1" w:lastRow="0" w:firstColumn="1" w:lastColumn="0" w:noHBand="0" w:noVBand="1"/>
      </w:tblPr>
      <w:tblGrid>
        <w:gridCol w:w="2484"/>
        <w:gridCol w:w="2484"/>
        <w:gridCol w:w="2484"/>
        <w:gridCol w:w="2484"/>
      </w:tblGrid>
      <w:tr w:rsidR="00B431C4" w14:paraId="315CC548" w14:textId="77777777">
        <w:trPr>
          <w:jc w:val="center"/>
        </w:trPr>
        <w:tc>
          <w:tcPr>
            <w:tcW w:w="2484" w:type="dxa"/>
            <w:vAlign w:val="center"/>
          </w:tcPr>
          <w:p w14:paraId="74181E65" w14:textId="77777777" w:rsidR="00B431C4" w:rsidRDefault="00000000">
            <w:r>
              <w:rPr>
                <w:b/>
              </w:rPr>
              <w:t>Year</w:t>
            </w:r>
          </w:p>
        </w:tc>
        <w:tc>
          <w:tcPr>
            <w:tcW w:w="2484" w:type="dxa"/>
            <w:vAlign w:val="center"/>
          </w:tcPr>
          <w:p w14:paraId="5C530140" w14:textId="77777777" w:rsidR="00B431C4" w:rsidRDefault="00000000">
            <w:r>
              <w:rPr>
                <w:b/>
              </w:rPr>
              <w:t>Forecast New Cases</w:t>
            </w:r>
          </w:p>
        </w:tc>
        <w:tc>
          <w:tcPr>
            <w:tcW w:w="2484" w:type="dxa"/>
            <w:vAlign w:val="center"/>
          </w:tcPr>
          <w:p w14:paraId="7763D820" w14:textId="77777777" w:rsidR="00B431C4" w:rsidRDefault="00000000">
            <w:r>
              <w:rPr>
                <w:b/>
              </w:rPr>
              <w:t>Lower Confidence Bound</w:t>
            </w:r>
          </w:p>
        </w:tc>
        <w:tc>
          <w:tcPr>
            <w:tcW w:w="2484" w:type="dxa"/>
            <w:vAlign w:val="center"/>
          </w:tcPr>
          <w:p w14:paraId="4C6748B2" w14:textId="77777777" w:rsidR="00B431C4" w:rsidRDefault="00000000">
            <w:r>
              <w:rPr>
                <w:b/>
              </w:rPr>
              <w:t>Upper Confidence Bound</w:t>
            </w:r>
          </w:p>
        </w:tc>
      </w:tr>
      <w:tr w:rsidR="00B431C4" w14:paraId="766DB1FD" w14:textId="77777777">
        <w:trPr>
          <w:jc w:val="center"/>
        </w:trPr>
        <w:tc>
          <w:tcPr>
            <w:tcW w:w="2484" w:type="dxa"/>
            <w:vAlign w:val="center"/>
          </w:tcPr>
          <w:p w14:paraId="4F093538" w14:textId="77777777" w:rsidR="00B431C4" w:rsidRDefault="00000000">
            <w:r>
              <w:t>2026</w:t>
            </w:r>
          </w:p>
        </w:tc>
        <w:tc>
          <w:tcPr>
            <w:tcW w:w="2484" w:type="dxa"/>
            <w:vAlign w:val="center"/>
          </w:tcPr>
          <w:p w14:paraId="2F4B8BEC" w14:textId="77777777" w:rsidR="00B431C4" w:rsidRDefault="00000000">
            <w:r>
              <w:t>325</w:t>
            </w:r>
          </w:p>
        </w:tc>
        <w:tc>
          <w:tcPr>
            <w:tcW w:w="2484" w:type="dxa"/>
            <w:vAlign w:val="center"/>
          </w:tcPr>
          <w:p w14:paraId="0043A9C4" w14:textId="77777777" w:rsidR="00B431C4" w:rsidRDefault="00000000">
            <w:r>
              <w:t>163</w:t>
            </w:r>
          </w:p>
        </w:tc>
        <w:tc>
          <w:tcPr>
            <w:tcW w:w="2484" w:type="dxa"/>
            <w:vAlign w:val="center"/>
          </w:tcPr>
          <w:p w14:paraId="3ED46D30" w14:textId="77777777" w:rsidR="00B431C4" w:rsidRDefault="00000000">
            <w:r>
              <w:t>488</w:t>
            </w:r>
          </w:p>
        </w:tc>
      </w:tr>
      <w:tr w:rsidR="00B431C4" w14:paraId="71CAD9A9" w14:textId="77777777">
        <w:trPr>
          <w:jc w:val="center"/>
        </w:trPr>
        <w:tc>
          <w:tcPr>
            <w:tcW w:w="2484" w:type="dxa"/>
            <w:vAlign w:val="center"/>
          </w:tcPr>
          <w:p w14:paraId="6952202F" w14:textId="77777777" w:rsidR="00B431C4" w:rsidRDefault="00000000">
            <w:r>
              <w:t>2027</w:t>
            </w:r>
          </w:p>
        </w:tc>
        <w:tc>
          <w:tcPr>
            <w:tcW w:w="2484" w:type="dxa"/>
            <w:vAlign w:val="center"/>
          </w:tcPr>
          <w:p w14:paraId="0EA98CDC" w14:textId="77777777" w:rsidR="00B431C4" w:rsidRDefault="00000000">
            <w:r>
              <w:t>30</w:t>
            </w:r>
          </w:p>
        </w:tc>
        <w:tc>
          <w:tcPr>
            <w:tcW w:w="2484" w:type="dxa"/>
            <w:vAlign w:val="center"/>
          </w:tcPr>
          <w:p w14:paraId="198D88F9" w14:textId="77777777" w:rsidR="00B431C4" w:rsidRDefault="00000000">
            <w:r>
              <w:t>15</w:t>
            </w:r>
          </w:p>
        </w:tc>
        <w:tc>
          <w:tcPr>
            <w:tcW w:w="2484" w:type="dxa"/>
            <w:vAlign w:val="center"/>
          </w:tcPr>
          <w:p w14:paraId="65CC8302" w14:textId="77777777" w:rsidR="00B431C4" w:rsidRDefault="00000000">
            <w:r>
              <w:t>45</w:t>
            </w:r>
          </w:p>
        </w:tc>
      </w:tr>
    </w:tbl>
    <w:p w14:paraId="0E0D24DB" w14:textId="77777777" w:rsidR="00B431C4" w:rsidRPr="00716163" w:rsidRDefault="00000000">
      <w:pPr>
        <w:rPr>
          <w:sz w:val="24"/>
          <w:szCs w:val="24"/>
        </w:rPr>
      </w:pPr>
      <w:r w:rsidRPr="00716163">
        <w:rPr>
          <w:sz w:val="24"/>
          <w:szCs w:val="24"/>
        </w:rPr>
        <w:t>The forecasting chart shows the historical values from 2020–2025 together with forecast values for 2026–2027. The forecast line continues the strong downward trend observed in the later years of the dataset. The confidence bounds provide a range around the forecast rather than a single guaranteed value.</w:t>
      </w:r>
    </w:p>
    <w:p w14:paraId="36898541" w14:textId="047844B8" w:rsidR="00B431C4" w:rsidRDefault="00716163">
      <w:r>
        <w:rPr>
          <w:noProof/>
        </w:rPr>
        <w:drawing>
          <wp:inline distT="0" distB="0" distL="0" distR="0" wp14:anchorId="5CDB76A9" wp14:editId="16BF6A7C">
            <wp:extent cx="6309360" cy="3020060"/>
            <wp:effectExtent l="0" t="0" r="0" b="8890"/>
            <wp:docPr id="17185707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70722" name="Picture 1718570722"/>
                    <pic:cNvPicPr/>
                  </pic:nvPicPr>
                  <pic:blipFill>
                    <a:blip r:embed="rId18"/>
                    <a:stretch>
                      <a:fillRect/>
                    </a:stretch>
                  </pic:blipFill>
                  <pic:spPr>
                    <a:xfrm>
                      <a:off x="0" y="0"/>
                      <a:ext cx="6309360" cy="3020060"/>
                    </a:xfrm>
                    <a:prstGeom prst="rect">
                      <a:avLst/>
                    </a:prstGeom>
                  </pic:spPr>
                </pic:pic>
              </a:graphicData>
            </a:graphic>
          </wp:inline>
        </w:drawing>
      </w:r>
      <w:r>
        <w:br w:type="page"/>
      </w:r>
    </w:p>
    <w:p w14:paraId="54C9E12F" w14:textId="68FF3D83" w:rsidR="00B431C4" w:rsidRDefault="00000000">
      <w:pPr>
        <w:jc w:val="center"/>
      </w:pPr>
      <w:r>
        <w:rPr>
          <w:b/>
          <w:sz w:val="44"/>
        </w:rPr>
        <w:lastRenderedPageBreak/>
        <w:t>Conclusion</w:t>
      </w:r>
    </w:p>
    <w:p w14:paraId="3E48C2FD" w14:textId="77777777" w:rsidR="00B431C4" w:rsidRDefault="00000000">
      <w:pPr>
        <w:pStyle w:val="Heading2"/>
      </w:pPr>
      <w:r>
        <w:t>Conclusion</w:t>
      </w:r>
    </w:p>
    <w:p w14:paraId="086D3B5B" w14:textId="77777777" w:rsidR="00B431C4" w:rsidRPr="007F75A4" w:rsidRDefault="00000000">
      <w:pPr>
        <w:rPr>
          <w:sz w:val="24"/>
          <w:szCs w:val="28"/>
        </w:rPr>
      </w:pPr>
      <w:r w:rsidRPr="007F75A4">
        <w:rPr>
          <w:sz w:val="24"/>
          <w:szCs w:val="28"/>
        </w:rPr>
        <w:t>This project successfully demonstrates the use of Microsoft Excel for COVID-19 data analysis. The supplied dataset was organized and summarized using PivotTables, converted into PivotCharts, and combined into an interactive dashboard. The analysis identifies 2021 as the peak year for new cases, deaths, and active cases in the workbook, while 2022 has the highest recorded recovery total. The later years show a substantial decline in the recorded values. The forecasting component extends this downward trend into 2026 and 2027, although the estimates should be treated cautiously.</w:t>
      </w:r>
    </w:p>
    <w:p w14:paraId="7EFEE09D" w14:textId="7C60E637" w:rsidR="00B431C4" w:rsidRPr="007F75A4" w:rsidRDefault="00B431C4" w:rsidP="00716163">
      <w:pPr>
        <w:pStyle w:val="ListBullet"/>
        <w:numPr>
          <w:ilvl w:val="0"/>
          <w:numId w:val="0"/>
        </w:numPr>
        <w:rPr>
          <w:sz w:val="24"/>
          <w:szCs w:val="28"/>
        </w:rPr>
      </w:pPr>
    </w:p>
    <w:p w14:paraId="12FBE0A6" w14:textId="77777777" w:rsidR="00B431C4" w:rsidRDefault="00000000">
      <w:pPr>
        <w:pStyle w:val="Heading2"/>
      </w:pPr>
      <w:r>
        <w:t>References / Data Source</w:t>
      </w:r>
    </w:p>
    <w:p w14:paraId="63E5EC49" w14:textId="77777777" w:rsidR="00B431C4" w:rsidRPr="007F75A4" w:rsidRDefault="00000000">
      <w:pPr>
        <w:rPr>
          <w:sz w:val="24"/>
          <w:szCs w:val="28"/>
        </w:rPr>
      </w:pPr>
      <w:r w:rsidRPr="007F75A4">
        <w:rPr>
          <w:sz w:val="24"/>
          <w:szCs w:val="28"/>
        </w:rPr>
        <w:t>Primary project data source: COVID Dataset(1).xlsx supplied for this assignment. The report analysis is based on the Data sheet and the forecasting/dashboard worksheets contained in the workbook.</w:t>
      </w:r>
    </w:p>
    <w:p w14:paraId="06A69E44" w14:textId="77777777" w:rsidR="00B431C4" w:rsidRPr="007F75A4" w:rsidRDefault="00000000">
      <w:pPr>
        <w:rPr>
          <w:sz w:val="24"/>
          <w:szCs w:val="28"/>
        </w:rPr>
      </w:pPr>
      <w:r w:rsidRPr="007F75A4">
        <w:rPr>
          <w:sz w:val="24"/>
          <w:szCs w:val="28"/>
        </w:rPr>
        <w:t>Software used: Microsoft Excel for data organization, PivotTables, PivotCharts, dashboard development, and forecasting.</w:t>
      </w:r>
    </w:p>
    <w:sectPr w:rsidR="00B431C4" w:rsidRPr="007F75A4" w:rsidSect="005A2481">
      <w:footerReference w:type="default" r:id="rId19"/>
      <w:pgSz w:w="12240" w:h="15840"/>
      <w:pgMar w:top="1008" w:right="1152" w:bottom="1008" w:left="1152"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3A49A" w14:textId="77777777" w:rsidR="0012269F" w:rsidRDefault="0012269F">
      <w:pPr>
        <w:spacing w:after="0" w:line="240" w:lineRule="auto"/>
      </w:pPr>
      <w:r>
        <w:separator/>
      </w:r>
    </w:p>
  </w:endnote>
  <w:endnote w:type="continuationSeparator" w:id="0">
    <w:p w14:paraId="4D8BB2CB" w14:textId="77777777" w:rsidR="0012269F" w:rsidRDefault="00122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85ABB" w14:textId="77777777" w:rsidR="007A4DA6" w:rsidRDefault="007A4DA6">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72A63B0" w14:textId="5B489E4F" w:rsidR="00B431C4" w:rsidRPr="007A4DA6" w:rsidRDefault="00B431C4" w:rsidP="007A4D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890B7" w14:textId="77777777" w:rsidR="0012269F" w:rsidRDefault="0012269F">
      <w:pPr>
        <w:spacing w:after="0" w:line="240" w:lineRule="auto"/>
      </w:pPr>
      <w:r>
        <w:separator/>
      </w:r>
    </w:p>
  </w:footnote>
  <w:footnote w:type="continuationSeparator" w:id="0">
    <w:p w14:paraId="07482AA6" w14:textId="77777777" w:rsidR="0012269F" w:rsidRDefault="00122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406023">
    <w:abstractNumId w:val="8"/>
  </w:num>
  <w:num w:numId="2" w16cid:durableId="550388498">
    <w:abstractNumId w:val="6"/>
  </w:num>
  <w:num w:numId="3" w16cid:durableId="1547910021">
    <w:abstractNumId w:val="5"/>
  </w:num>
  <w:num w:numId="4" w16cid:durableId="2018069427">
    <w:abstractNumId w:val="4"/>
  </w:num>
  <w:num w:numId="5" w16cid:durableId="1716345438">
    <w:abstractNumId w:val="7"/>
  </w:num>
  <w:num w:numId="6" w16cid:durableId="1791630416">
    <w:abstractNumId w:val="3"/>
  </w:num>
  <w:num w:numId="7" w16cid:durableId="342827723">
    <w:abstractNumId w:val="2"/>
  </w:num>
  <w:num w:numId="8" w16cid:durableId="434445682">
    <w:abstractNumId w:val="1"/>
  </w:num>
  <w:num w:numId="9" w16cid:durableId="739181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69F"/>
    <w:rsid w:val="0015074B"/>
    <w:rsid w:val="0029639D"/>
    <w:rsid w:val="00326F90"/>
    <w:rsid w:val="005A2481"/>
    <w:rsid w:val="00716163"/>
    <w:rsid w:val="007A4DA6"/>
    <w:rsid w:val="007C59E9"/>
    <w:rsid w:val="007F75A4"/>
    <w:rsid w:val="009B6647"/>
    <w:rsid w:val="00A148DE"/>
    <w:rsid w:val="00AA1D8D"/>
    <w:rsid w:val="00B431C4"/>
    <w:rsid w:val="00B47730"/>
    <w:rsid w:val="00B97F4A"/>
    <w:rsid w:val="00CB0664"/>
    <w:rsid w:val="00D74EE8"/>
    <w:rsid w:val="00E17884"/>
    <w:rsid w:val="00F05C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7A4F2"/>
  <w14:defaultImageDpi w14:val="300"/>
  <w15:docId w15:val="{0C262DB1-4DCD-46F1-846B-A58D30E0F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1621</Words>
  <Characters>9243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Sanju Jana</cp:lastModifiedBy>
  <cp:revision>5</cp:revision>
  <dcterms:created xsi:type="dcterms:W3CDTF">2013-12-23T23:15:00Z</dcterms:created>
  <dcterms:modified xsi:type="dcterms:W3CDTF">2026-08-29T11:38:00Z</dcterms:modified>
  <cp:category/>
</cp:coreProperties>
</file>