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p>
      <w:pPr>
        <w:pStyle w:val="Heading1"/>
      </w:pPr>
      <w:r>
        <w:t xml:space="preserve">Summary</w:t>
      </w:r>
    </w:p>
    <w:p>
      <w:r>
        <w:t xml:space="preserve">HR generalist with 6 years supporting 400-person workforces in healthcare and technology, specialising in onboarding and employee relations.</w:t>
      </w:r>
    </w:p>
    <w:p>
      <w:pPr>
        <w:pStyle w:val="Heading1"/>
      </w:pPr>
      <w:r>
        <w:t xml:space="preserve">Experience</w:t>
      </w:r>
    </w:p>
    <w:p>
      <w:pPr>
        <w:tabs>
          <w:tab w:val="right" w:pos="9900"/>
        </w:tabs>
        <w:spacing w:before="120" w:after="40"/>
      </w:pPr>
      <w:r>
        <w:rPr>
          <w:b/>
        </w:rPr>
        <w:t xml:space="preserve">HR Generalist, Lakeshore Health Partners</w:t>
      </w:r>
      <w:r>
        <w:tab/>
        <w:t xml:space="preserve">Aug 2020 – Present</w:t>
      </w:r>
    </w:p>
    <w:p>
      <w:pPr>
        <w:numPr>
          <w:ilvl w:val="0"/>
          <w:numId w:val="1"/>
        </w:numPr>
      </w:pPr>
      <w:r>
        <w:t xml:space="preserve">Redesigned onboarding for 400 employees, reducing 90-day attrition from 21% to 12%.</w:t>
      </w:r>
    </w:p>
    <w:p>
      <w:pPr>
        <w:numPr>
          <w:ilvl w:val="0"/>
          <w:numId w:val="1"/>
        </w:numPr>
      </w:pPr>
      <w:r>
        <w:t xml:space="preserve">Resolved 85 employee relations cases a year with zero escalations to litigation.</w:t>
      </w:r>
    </w:p>
    <w:p>
      <w:pPr>
        <w:tabs>
          <w:tab w:val="right" w:pos="9900"/>
        </w:tabs>
        <w:spacing w:before="120" w:after="40"/>
      </w:pPr>
      <w:r>
        <w:rPr>
          <w:b/>
        </w:rPr>
        <w:t xml:space="preserve">HR Coordinator, Midway Technologies</w:t>
      </w:r>
      <w:r>
        <w:tab/>
        <w:t xml:space="preserve">Jun 2017 – Jul 2020</w:t>
      </w:r>
    </w:p>
    <w:p>
      <w:pPr>
        <w:numPr>
          <w:ilvl w:val="0"/>
          <w:numId w:val="1"/>
        </w:numPr>
      </w:pPr>
      <w:r>
        <w:t xml:space="preserve">Coordinated hiring for 140 roles a year using Greenhouse.</w:t>
      </w:r>
    </w:p>
    <w:p>
      <w:pPr>
        <w:numPr>
          <w:ilvl w:val="0"/>
          <w:numId w:val="1"/>
        </w:numPr>
      </w:pPr>
      <w:r>
        <w:t xml:space="preserve">Built a benefits FAQ that cut HR ticket volume by 30%.</w:t>
      </w:r>
    </w:p>
    <w:p>
      <w:pPr>
        <w:pStyle w:val="Heading1"/>
      </w:pPr>
      <w:r>
        <w:t xml:space="preserve">Education</w:t>
      </w:r>
    </w:p>
    <w:p>
      <w:r>
        <w:t xml:space="preserve">B.A. Psychology, Loyola University Chicago | 2013 – 2017</w:t>
      </w:r>
    </w:p>
    <w:p>
      <w:pPr>
        <w:pStyle w:val="Heading1"/>
      </w:pPr>
      <w:r>
        <w:t xml:space="preserve">Skills</w:t>
      </w:r>
    </w:p>
    <w:p>
      <w:pPr>
        <w:spacing w:before="0" w:after="60"/>
      </w:pPr>
      <w:r>
        <w:t xml:space="preserve">Workday, Greenhouse, Employee Relations, Onboarding, FMLA, Benefits Administration, HR Policy</w:t>
      </w:r>
    </w:p>
    <w:p>
      <w:pPr>
        <w:pStyle w:val="Heading1"/>
      </w:pPr>
      <w:r>
        <w:t xml:space="preserve">Certifications</w:t>
      </w:r>
    </w:p>
    <w:p>
      <w:pPr>
        <w:numPr>
          <w:ilvl w:val="0"/>
          <w:numId w:val="1"/>
        </w:numPr>
      </w:pPr>
      <w:r>
        <w:t xml:space="preserve">SHRM Certified Professional (SHRM-CP), 2019</w:t>
      </w:r>
    </w:p>
    <w:sectPr>
      <w:headerReference w:type="default" r:id="rIdH1"/>
      <w:footerReference w:type="default" r:id="rIdF1"/>
      <w:pgSz w:w="11906" w:h="16838"/>
      <w:pgMar w:top="1000" w:right="1000" w:bottom="1000" w:left="1000" w:header="500" w:footer="500" w:gutter="0"/>
      <w:cols w:num="1" w:space="5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p>
    <w:pPr>
      <w:jc w:val="center"/>
    </w:pPr>
    <w:r>
      <w:t xml:space="preserve">Rachel Kim – Page 1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p>
    <w:pPr>
      <w:spacing w:before="0" w:after="0"/>
      <w:jc w:val="center"/>
    </w:pPr>
    <w:r>
      <w:rPr>
        <w:b/>
        <w:sz w:val="36"/>
      </w:rPr>
      <w:t xml:space="preserve">Rachel Kim</w:t>
    </w:r>
  </w:p>
  <w:p>
    <w:pPr>
      <w:jc w:val="center"/>
    </w:pPr>
    <w:r>
      <w:t xml:space="preserve">Chicago, IL  |  (312) 555-0187  |  rachel.kim@example.com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60"/>
    </w:pPr>
    <w:rPr>
      <w:rFonts w:ascii="Calibri" w:hAnsi="Calibri"/>
      <w:b/>
      <w:sz w:val="40"/>
    </w:rPr>
  </w:style>
  <w:style w:type="paragraph" w:styleId="Heading1">
    <w:name w:val="heading 1"/>
    <w:basedOn w:val="Normal"/>
    <w:pPr>
      <w:keepNext/>
      <w:spacing w:before="240" w:after="80"/>
      <w:outlineLvl w:val="0"/>
    </w:pPr>
    <w:rPr>
      <w:rFonts w:ascii="Calibri" w:hAnsi="Calibri"/>
      <w:b/>
      <w:color w:val="1F3864"/>
      <w:sz w:val="28"/>
    </w:rPr>
  </w:style>
  <w:style w:type="paragraph" w:styleId="Heading2">
    <w:name w:val="heading 2"/>
    <w:basedOn w:val="Normal"/>
    <w:pPr>
      <w:keepNext/>
      <w:spacing w:before="120" w:after="40"/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H1" Type="http://schemas.openxmlformats.org/officeDocument/2006/relationships/header" Target="header1.xml"/><Relationship Id="rIdF1" Type="http://schemas.openxmlformats.org/officeDocument/2006/relationships/footer" Target="footer1.xml"/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