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80"/>
        <w:jc w:val="center"/>
      </w:pPr>
      <w:r>
        <w:rPr>
          <w:rFonts w:ascii="Times New Roman" w:hAnsi="Times New Roman"/>
          <w:b/>
          <w:color w:val="102C57"/>
          <w:sz w:val="36"/>
        </w:rPr>
        <w:t>Dosezy: A Local-First, Accessibility-Centric Android System for Medication Scheduling and Reliable Reminder Delivery</w:t>
      </w:r>
    </w:p>
    <w:p>
      <w:pPr>
        <w:spacing w:before="40" w:after="60"/>
        <w:jc w:val="center"/>
      </w:pPr>
      <w:r>
        <w:rPr>
          <w:rFonts w:ascii="Times New Roman" w:hAnsi="Times New Roman"/>
          <w:b/>
          <w:sz w:val="20"/>
        </w:rPr>
        <w:t>Authors:</w:t>
      </w:r>
      <w:r>
        <w:rPr>
          <w:rFonts w:ascii="Times New Roman" w:hAnsi="Times New Roman"/>
          <w:sz w:val="20"/>
        </w:rPr>
        <w:t xml:space="preserve"> Saaduddin Mohammad, Md Rahif Uddin Khan, Khwaja Mohammed</w:t>
      </w:r>
    </w:p>
    <w:p>
      <w:pPr>
        <w:spacing w:before="40" w:after="60"/>
        <w:jc w:val="center"/>
      </w:pPr>
      <w:r>
        <w:rPr>
          <w:rFonts w:ascii="Times New Roman" w:hAnsi="Times New Roman"/>
          <w:b/>
          <w:sz w:val="20"/>
        </w:rPr>
        <w:t>Affiliation:</w:t>
      </w:r>
      <w:r>
        <w:rPr>
          <w:rFonts w:ascii="Times New Roman" w:hAnsi="Times New Roman"/>
          <w:sz w:val="20"/>
        </w:rPr>
        <w:t xml:space="preserve"> Department of Computer Science and Engineering, Methodist College of Engineering and Technology, Hyderabad, India</w:t>
      </w:r>
    </w:p>
    <w:p>
      <w:pPr>
        <w:spacing w:before="40" w:after="60"/>
        <w:jc w:val="center"/>
      </w:pPr>
      <w:r>
        <w:rPr>
          <w:rFonts w:ascii="Times New Roman" w:hAnsi="Times New Roman"/>
          <w:b/>
          <w:sz w:val="20"/>
        </w:rPr>
        <w:t>Emails:</w:t>
      </w:r>
      <w:r>
        <w:rPr>
          <w:rFonts w:ascii="Times New Roman" w:hAnsi="Times New Roman"/>
          <w:sz w:val="20"/>
        </w:rPr>
        <w:t xml:space="preserve"> </w:t>
      </w:r>
      <w:r>
        <w:rPr>
          <w:rFonts w:ascii="Consolas" w:hAnsi="Consolas"/>
          <w:color w:val="24292E"/>
          <w:sz w:val="18"/>
        </w:rPr>
        <w:t>160723733051@methodist.edu.in</w:t>
      </w:r>
      <w:r>
        <w:rPr>
          <w:rFonts w:ascii="Times New Roman" w:hAnsi="Times New Roman"/>
          <w:sz w:val="20"/>
        </w:rPr>
        <w:t xml:space="preserve">, </w:t>
      </w:r>
      <w:r>
        <w:rPr>
          <w:rFonts w:ascii="Consolas" w:hAnsi="Consolas"/>
          <w:color w:val="24292E"/>
          <w:sz w:val="18"/>
        </w:rPr>
        <w:t>160723733005@methodist.edu.in</w:t>
      </w:r>
      <w:r>
        <w:rPr>
          <w:rFonts w:ascii="Times New Roman" w:hAnsi="Times New Roman"/>
          <w:sz w:val="20"/>
        </w:rPr>
        <w:t xml:space="preserve">, </w:t>
      </w:r>
      <w:r>
        <w:rPr>
          <w:rFonts w:ascii="Consolas" w:hAnsi="Consolas"/>
          <w:color w:val="24292E"/>
          <w:sz w:val="18"/>
        </w:rPr>
        <w:t>160723733063@methodist.edu.in</w:t>
      </w:r>
    </w:p>
    <w:p>
      <w:pPr>
        <w:keepNext/>
        <w:spacing w:before="280" w:after="80"/>
      </w:pPr>
      <w:r>
        <w:rPr>
          <w:rFonts w:ascii="Times New Roman" w:hAnsi="Times New Roman"/>
          <w:b/>
          <w:color w:val="102C57"/>
          <w:sz w:val="27"/>
        </w:rPr>
        <w:t>Abstract</w:t>
      </w:r>
    </w:p>
    <w:p>
      <w:pPr>
        <w:spacing w:after="90"/>
        <w:jc w:val="both"/>
      </w:pPr>
      <w:r>
        <w:rPr>
          <w:rFonts w:ascii="Times New Roman" w:hAnsi="Times New Roman"/>
          <w:sz w:val="21"/>
        </w:rPr>
        <w:t xml:space="preserve">Prescription non-adherence among older adults poses substantial health risks and generates preventable healthcare expenditures. Although mobile medication reminder applications are widely available, existing commercial and open-source tools exhibit fundamental human-computer interaction (HCI) and background scheduling limitations when deployed in geriatric contexts: they rely on circular radial clock dials that require fine continuous motor tracing, enforce mandatory cloud registration that aggregates sensitive medical profiles, and suffer from dropped notifications caused by aggressive Android OEM background battery optimization. We present </w:t>
      </w:r>
      <w:r>
        <w:rPr>
          <w:rFonts w:ascii="Times New Roman" w:hAnsi="Times New Roman"/>
          <w:b/>
          <w:sz w:val="21"/>
        </w:rPr>
        <w:t>Dosezy</w:t>
      </w:r>
      <w:r>
        <w:rPr>
          <w:rFonts w:ascii="Times New Roman" w:hAnsi="Times New Roman"/>
          <w:sz w:val="21"/>
        </w:rPr>
        <w:t xml:space="preserve">, an open-source, local-first Android medication reminder system engineered specifically to address these physical, cognitive, and operating system barriers. Dosezy introduces a stationary 12-Hour Grid Time Picker featuring a 12-first layout and oversized </w:t>
      </w:r>
      <w:r>
        <w:rPr>
          <w:rFonts w:ascii="Cambria Math" w:hAnsi="Cambria Math"/>
          <w:sz w:val="21"/>
        </w:rPr>
        <w:t>≥ 56 dp</w:t>
      </w:r>
      <w:r>
        <w:rPr>
          <w:rFonts w:ascii="Times New Roman" w:hAnsi="Times New Roman"/>
          <w:sz w:val="21"/>
        </w:rPr>
        <w:t xml:space="preserve"> touch targets, enforces architectural network isolation via manifest privilege minimization through the total omission of the </w:t>
      </w:r>
      <w:r>
        <w:rPr>
          <w:rFonts w:ascii="Consolas" w:hAnsi="Consolas"/>
          <w:color w:val="24292E"/>
          <w:sz w:val="18"/>
        </w:rPr>
        <w:t>android.permission.INTERNET</w:t>
      </w:r>
      <w:r>
        <w:rPr>
          <w:rFonts w:ascii="Times New Roman" w:hAnsi="Times New Roman"/>
          <w:sz w:val="21"/>
        </w:rPr>
        <w:t xml:space="preserve"> permission, generates patient medication and adherence summary PDFs entirely on-device, and implements a multi-stage background scheduling pipeline combining </w:t>
      </w:r>
      <w:r>
        <w:rPr>
          <w:rFonts w:ascii="Consolas" w:hAnsi="Consolas"/>
          <w:color w:val="24292E"/>
          <w:sz w:val="18"/>
        </w:rPr>
        <w:t>setAlarmClock</w:t>
      </w:r>
      <w:r>
        <w:rPr>
          <w:rFonts w:ascii="Times New Roman" w:hAnsi="Times New Roman"/>
          <w:sz w:val="21"/>
        </w:rPr>
        <w:t xml:space="preserve"> and exact alarm APIs with full-screen lock screen intent handling. We report empirical evaluations across systems and human factors dimensions: (1) multi-device runtime profiling on flagship and entry-level hardware demonstrating cold startups under </w:t>
      </w:r>
      <w:r>
        <w:rPr>
          <w:rFonts w:ascii="Cambria Math" w:hAnsi="Cambria Math"/>
          <w:sz w:val="21"/>
        </w:rPr>
        <w:t>780 ms</w:t>
      </w:r>
      <w:r>
        <w:rPr>
          <w:rFonts w:ascii="Times New Roman" w:hAnsi="Times New Roman"/>
          <w:sz w:val="21"/>
        </w:rPr>
        <w:t xml:space="preserve">, vector PDF generation in </w:t>
      </w:r>
      <w:r>
        <w:rPr>
          <w:rFonts w:ascii="Cambria Math" w:hAnsi="Cambria Math"/>
          <w:sz w:val="21"/>
        </w:rPr>
        <w:t>142 ± 18 ms</w:t>
      </w:r>
      <w:r>
        <w:rPr>
          <w:rFonts w:ascii="Times New Roman" w:hAnsi="Times New Roman"/>
          <w:sz w:val="21"/>
        </w:rPr>
        <w:t xml:space="preserve">, and database query latencies under </w:t>
      </w:r>
      <w:r>
        <w:rPr>
          <w:rFonts w:ascii="Cambria Math" w:hAnsi="Cambria Math"/>
          <w:sz w:val="21"/>
        </w:rPr>
        <w:t>12 ms</w:t>
      </w:r>
      <w:r>
        <w:rPr>
          <w:rFonts w:ascii="Times New Roman" w:hAnsi="Times New Roman"/>
          <w:sz w:val="21"/>
        </w:rPr>
        <w:t>; (2) a multi-OEM Doze mode alarm benchmark across five physical devices demonstrating that the proposed architecture achieved high reliability (99.0% on-time delivery under tested conditions, 99/100 scheduled alerts), while demonstrating that application-level techniques cannot completely eliminate OEM-specific power-management interference; and (3) a counterbalanced within-subjects usability study (</w:t>
      </w:r>
      <w:r>
        <w:rPr>
          <w:rFonts w:ascii="Cambria Math" w:hAnsi="Cambria Math"/>
          <w:sz w:val="21"/>
        </w:rPr>
        <w:t>N=16</w:t>
      </w:r>
      <w:r>
        <w:rPr>
          <w:rFonts w:ascii="Times New Roman" w:hAnsi="Times New Roman"/>
          <w:sz w:val="21"/>
        </w:rPr>
        <w:t xml:space="preserve"> older adults, aged 61--76) demonstrating a </w:t>
      </w:r>
      <w:r>
        <w:rPr>
          <w:rFonts w:ascii="Cambria Math" w:hAnsi="Cambria Math"/>
          <w:sz w:val="21"/>
        </w:rPr>
        <w:t>44.4%</w:t>
      </w:r>
      <w:r>
        <w:rPr>
          <w:rFonts w:ascii="Times New Roman" w:hAnsi="Times New Roman"/>
          <w:sz w:val="21"/>
        </w:rPr>
        <w:t xml:space="preserve"> reduction in total time-setting latency (</w:t>
      </w:r>
      <w:r>
        <w:rPr>
          <w:rFonts w:ascii="Cambria Math" w:hAnsi="Cambria Math"/>
          <w:sz w:val="21"/>
        </w:rPr>
        <w:t>19.9 s</w:t>
      </w:r>
      <w:r>
        <w:rPr>
          <w:rFonts w:ascii="Times New Roman" w:hAnsi="Times New Roman"/>
          <w:sz w:val="21"/>
        </w:rPr>
        <w:t xml:space="preserve"> vs. </w:t>
      </w:r>
      <w:r>
        <w:rPr>
          <w:rFonts w:ascii="Cambria Math" w:hAnsi="Cambria Math"/>
          <w:sz w:val="21"/>
        </w:rPr>
        <w:t>35.8 s</w:t>
      </w:r>
      <w:r>
        <w:rPr>
          <w:rFonts w:ascii="Times New Roman" w:hAnsi="Times New Roman"/>
          <w:sz w:val="21"/>
        </w:rPr>
        <w:t xml:space="preserve">, </w:t>
      </w:r>
      <w:r>
        <w:rPr>
          <w:rFonts w:ascii="Cambria Math" w:hAnsi="Cambria Math"/>
          <w:sz w:val="21"/>
        </w:rPr>
        <w:t>p &lt; 0.001</w:t>
      </w:r>
      <w:r>
        <w:rPr>
          <w:rFonts w:ascii="Times New Roman" w:hAnsi="Times New Roman"/>
          <w:sz w:val="21"/>
        </w:rPr>
        <w:t xml:space="preserve">), an </w:t>
      </w:r>
      <w:r>
        <w:rPr>
          <w:rFonts w:ascii="Cambria Math" w:hAnsi="Cambria Math"/>
          <w:sz w:val="21"/>
        </w:rPr>
        <w:t>82.6%</w:t>
      </w:r>
      <w:r>
        <w:rPr>
          <w:rFonts w:ascii="Times New Roman" w:hAnsi="Times New Roman"/>
          <w:sz w:val="21"/>
        </w:rPr>
        <w:t xml:space="preserve"> reduction in touch input errors (</w:t>
      </w:r>
      <w:r>
        <w:rPr>
          <w:rFonts w:ascii="Cambria Math" w:hAnsi="Cambria Math"/>
          <w:sz w:val="21"/>
        </w:rPr>
        <w:t>0.38</w:t>
      </w:r>
      <w:r>
        <w:rPr>
          <w:rFonts w:ascii="Times New Roman" w:hAnsi="Times New Roman"/>
          <w:sz w:val="21"/>
        </w:rPr>
        <w:t xml:space="preserve"> vs. </w:t>
      </w:r>
      <w:r>
        <w:rPr>
          <w:rFonts w:ascii="Cambria Math" w:hAnsi="Cambria Math"/>
          <w:sz w:val="21"/>
        </w:rPr>
        <w:t>2.19</w:t>
      </w:r>
      <w:r>
        <w:rPr>
          <w:rFonts w:ascii="Times New Roman" w:hAnsi="Times New Roman"/>
          <w:sz w:val="21"/>
        </w:rPr>
        <w:t xml:space="preserve">, </w:t>
      </w:r>
      <w:r>
        <w:rPr>
          <w:rFonts w:ascii="Cambria Math" w:hAnsi="Cambria Math"/>
          <w:sz w:val="21"/>
        </w:rPr>
        <w:t>p &lt; 0.001</w:t>
      </w:r>
      <w:r>
        <w:rPr>
          <w:rFonts w:ascii="Times New Roman" w:hAnsi="Times New Roman"/>
          <w:sz w:val="21"/>
        </w:rPr>
        <w:t xml:space="preserve">), and a System Usability Scale (SUS) score of </w:t>
      </w:r>
      <w:r>
        <w:rPr>
          <w:rFonts w:ascii="Cambria Math" w:hAnsi="Cambria Math"/>
          <w:sz w:val="21"/>
        </w:rPr>
        <w:t>83.44 ± 9.88</w:t>
      </w:r>
      <w:r>
        <w:rPr>
          <w:rFonts w:ascii="Times New Roman" w:hAnsi="Times New Roman"/>
          <w:sz w:val="21"/>
        </w:rPr>
        <w:t xml:space="preserve"> (90th percentile, Grade A) compared to </w:t>
      </w:r>
      <w:r>
        <w:rPr>
          <w:rFonts w:ascii="Cambria Math" w:hAnsi="Cambria Math"/>
          <w:sz w:val="21"/>
        </w:rPr>
        <w:t>57.19 ± 12.65</w:t>
      </w:r>
      <w:r>
        <w:rPr>
          <w:rFonts w:ascii="Times New Roman" w:hAnsi="Times New Roman"/>
          <w:sz w:val="21"/>
        </w:rPr>
        <w:t xml:space="preserve"> for standard radial dials. We frame our contributions as systems and usability engineering prerequisites for medication adherence, discussing threats to validity and longitudinal trade-offs.</w:t>
      </w:r>
    </w:p>
    <w:p>
      <w:pPr>
        <w:spacing w:after="240" w:before="80"/>
        <w:jc w:val="both"/>
      </w:pPr>
      <w:r>
        <w:rPr>
          <w:rFonts w:ascii="Times New Roman" w:hAnsi="Times New Roman"/>
          <w:b/>
          <w:sz w:val="21"/>
        </w:rPr>
        <w:t>Keywords:</w:t>
      </w:r>
      <w:r>
        <w:rPr>
          <w:rFonts w:ascii="Times New Roman" w:hAnsi="Times New Roman"/>
          <w:sz w:val="21"/>
        </w:rPr>
        <w:t xml:space="preserve"> Geriatric Accessibility, Human-Computer Interaction, Local-First Software, Medication Adherence, Android AlarmManager, Mobile Systems Engineering.</w:t>
      </w:r>
    </w:p>
    <w:p>
      <w:pPr>
        <w:keepNext/>
        <w:spacing w:before="280" w:after="80"/>
      </w:pPr>
      <w:r>
        <w:rPr>
          <w:rFonts w:ascii="Times New Roman" w:hAnsi="Times New Roman"/>
          <w:b/>
          <w:color w:val="102C57"/>
          <w:sz w:val="27"/>
        </w:rPr>
        <w:t>1. Introduction</w:t>
      </w:r>
    </w:p>
    <w:p>
      <w:pPr>
        <w:spacing w:after="90"/>
        <w:jc w:val="both"/>
      </w:pPr>
      <w:r>
        <w:rPr>
          <w:rFonts w:ascii="Times New Roman" w:hAnsi="Times New Roman"/>
          <w:sz w:val="21"/>
        </w:rPr>
        <w:t xml:space="preserve">Pharmacotherapeutic adherence is a fundamental determinant of health outcomes across chronic clinical conditions, including essential hypertension, cardiovascular disease, and type-2 diabetes [1, 2, 3, 22]. Systematic clinical analyses establish that approximately 50% of chronic patients fail to follow prescribed medication regimens as intended [1, 5]. In geriatric populations (adults aged 60 and older), non-adherence is overwhelmingly unintentional [7, 12]. It arises primarily from the logistical complexities of </w:t>
      </w:r>
      <w:r>
        <w:rPr>
          <w:rFonts w:ascii="Times New Roman" w:hAnsi="Times New Roman"/>
          <w:i/>
          <w:sz w:val="21"/>
        </w:rPr>
        <w:t>polypharmacy</w:t>
      </w:r>
      <w:r>
        <w:rPr>
          <w:rFonts w:ascii="Times New Roman" w:hAnsi="Times New Roman"/>
          <w:sz w:val="21"/>
        </w:rPr>
        <w:t>—the concurrent administration of four or more pharmaceutical agents characterized by disparate dosing frequencies, complex dietary prerequisites, and varied temporal schedules [4, 6]. This logistical burden is compounded by normal age-related declines in fluid cognitive processing, working memory capacity, visual contrast sensitivity, and motor coordination [8, 9, 10, 11].</w:t>
      </w:r>
    </w:p>
    <w:p>
      <w:pPr>
        <w:spacing w:after="90"/>
        <w:jc w:val="both"/>
      </w:pPr>
      <w:r>
        <w:rPr>
          <w:rFonts w:ascii="Times New Roman" w:hAnsi="Times New Roman"/>
          <w:sz w:val="21"/>
        </w:rPr>
        <w:t>Mobile smartphones offer a ubiquitous technical vehicle for delivering scheduled temporal alerts, logging confirmation timestamps, and calculating longitudinal adherence indices [4]. Nevertheless, despite the abundance of medication reminder applications on commercial software marketplaces, existing tools suffer from fundamental usability and systems architecture flaws when used by older adults:</w:t>
      </w:r>
    </w:p>
    <w:p>
      <w:pPr>
        <w:spacing w:after="70"/>
        <w:ind w:left="403"/>
        <w:jc w:val="both"/>
      </w:pPr>
      <w:r>
        <w:rPr>
          <w:rFonts w:ascii="Times New Roman" w:hAnsi="Times New Roman"/>
          <w:b/>
          <w:sz w:val="21"/>
        </w:rPr>
        <w:t xml:space="preserve">1. </w:t>
      </w:r>
      <w:r>
        <w:rPr>
          <w:rFonts w:ascii="Times New Roman" w:hAnsi="Times New Roman"/>
          <w:b/>
          <w:sz w:val="21"/>
        </w:rPr>
        <w:t>Motor Friction in Temporal Input Modalities:</w:t>
      </w:r>
      <w:r>
        <w:rPr>
          <w:rFonts w:ascii="Times New Roman" w:hAnsi="Times New Roman"/>
          <w:sz w:val="21"/>
        </w:rPr>
        <w:t xml:space="preserve"> The standard Android time input dialog utilizes a radial clock paradigm modeled on physical analog clock faces. Users are required to acquire a small circular thumb indicator and maintain continuous screen contact while executing a curved circular dragging gesture to select hours, followed by a second precision dragging trajectory to select minutes. For older adults experiencing physiological hand tremors, Parkinsonian symptoms, or osteoarthritis, maintaining continuous screen pressure along a curved path induces finger slippage, unintentional releases, and erroneous quadrant selections [9, 10]. Furthermore, systems that force 24-hour time representation impose an extraneous cognitive translation burden on older individuals accustomed to 12-hour AM/PM conventions [8].</w:t>
      </w:r>
    </w:p>
    <w:p>
      <w:pPr>
        <w:spacing w:after="70"/>
        <w:ind w:left="403"/>
        <w:jc w:val="both"/>
      </w:pPr>
      <w:r>
        <w:rPr>
          <w:rFonts w:ascii="Times New Roman" w:hAnsi="Times New Roman"/>
          <w:b/>
          <w:sz w:val="21"/>
        </w:rPr>
        <w:t xml:space="preserve">2. </w:t>
      </w:r>
      <w:r>
        <w:rPr>
          <w:rFonts w:ascii="Times New Roman" w:hAnsi="Times New Roman"/>
          <w:b/>
          <w:sz w:val="21"/>
        </w:rPr>
        <w:t>Telemetry Friction and Account Dependencies:</w:t>
      </w:r>
      <w:r>
        <w:rPr>
          <w:rFonts w:ascii="Times New Roman" w:hAnsi="Times New Roman"/>
          <w:sz w:val="21"/>
        </w:rPr>
        <w:t xml:space="preserve"> Most commercial mHealth applications require mandatory account creation via email or third-party OAuth providers, persisting patient medication names, dosages, and compliance timestamps on remote multitenant cloud servers. This architecture compromises medical confidentiality, violates principles of data minimization, and introduces persistent authentication friction for older adults who struggle with complex password management, multi-factor verification prompts, and network connectivity dropouts [11, 16].</w:t>
      </w:r>
    </w:p>
    <w:p>
      <w:pPr>
        <w:spacing w:after="70"/>
        <w:ind w:left="403"/>
        <w:jc w:val="both"/>
      </w:pPr>
      <w:r>
        <w:rPr>
          <w:rFonts w:ascii="Times New Roman" w:hAnsi="Times New Roman"/>
          <w:b/>
          <w:sz w:val="21"/>
        </w:rPr>
        <w:t xml:space="preserve">3. </w:t>
      </w:r>
      <w:r>
        <w:rPr>
          <w:rFonts w:ascii="Times New Roman" w:hAnsi="Times New Roman"/>
          <w:b/>
          <w:sz w:val="21"/>
        </w:rPr>
        <w:t>Aggressive Background Throttling in Modern Mobile OS:</w:t>
      </w:r>
      <w:r>
        <w:rPr>
          <w:rFonts w:ascii="Times New Roman" w:hAnsi="Times New Roman"/>
          <w:sz w:val="21"/>
        </w:rPr>
        <w:t xml:space="preserve"> Conserving battery longevity has led modern mobile operating systems (particularly Android 12 through 14) to enforce strict Doze mode restrictions, App Standby buckets, and aggressive vendor-specific background task killers (such as Xiaomi's </w:t>
      </w:r>
      <w:r>
        <w:rPr>
          <w:rFonts w:ascii="Consolas" w:hAnsi="Consolas"/>
          <w:color w:val="24292E"/>
          <w:sz w:val="18"/>
        </w:rPr>
        <w:t>com.miui.powerkeeper</w:t>
      </w:r>
      <w:r>
        <w:rPr>
          <w:rFonts w:ascii="Times New Roman" w:hAnsi="Times New Roman"/>
          <w:sz w:val="21"/>
        </w:rPr>
        <w:t xml:space="preserve"> daemon and Samsung's Deep Sleeping Apps policy). Standard background notification alerts dispatched via periodic workers or inexact alarms are routinely deferred, coalesced, or killed when the device enters deep sleep, leading to missed or delayed dosage alerts that compromise the timeliness and reliability of reminder delivery [23].</w:t>
      </w:r>
    </w:p>
    <w:p>
      <w:pPr>
        <w:spacing w:after="70"/>
        <w:ind w:left="403"/>
        <w:jc w:val="both"/>
      </w:pPr>
      <w:r>
        <w:rPr>
          <w:rFonts w:ascii="Times New Roman" w:hAnsi="Times New Roman"/>
          <w:b/>
          <w:sz w:val="21"/>
        </w:rPr>
        <w:t xml:space="preserve">4. </w:t>
      </w:r>
      <w:r>
        <w:rPr>
          <w:rFonts w:ascii="Times New Roman" w:hAnsi="Times New Roman"/>
          <w:b/>
          <w:sz w:val="21"/>
        </w:rPr>
        <w:t>Inaccessible Emergency Dispatch Integration:</w:t>
      </w:r>
      <w:r>
        <w:rPr>
          <w:rFonts w:ascii="Times New Roman" w:hAnsi="Times New Roman"/>
          <w:sz w:val="21"/>
        </w:rPr>
        <w:t xml:space="preserve"> Most existing applications treat medication tracking in total isolation from acute health episodes, omitting emergency dispatch integration or hardcoding single-country emergency numbers (e.g., 911) that fail when deployed in international jurisdictions [18, 19].</w:t>
      </w:r>
    </w:p>
    <w:p>
      <w:pPr>
        <w:spacing w:after="90"/>
        <w:jc w:val="both"/>
      </w:pPr>
      <w:r>
        <w:rPr>
          <w:rFonts w:ascii="Times New Roman" w:hAnsi="Times New Roman"/>
          <w:sz w:val="21"/>
        </w:rPr>
        <w:t xml:space="preserve">While long-term therapeutic adherence ultimately depends on complex biological, psychological, and socio-economic factors that lie beyond the scope of software, mobile health tools must first satisfy two fundamental </w:t>
      </w:r>
      <w:r>
        <w:rPr>
          <w:rFonts w:ascii="Times New Roman" w:hAnsi="Times New Roman"/>
          <w:i/>
          <w:sz w:val="21"/>
        </w:rPr>
        <w:t>technical prerequisites</w:t>
      </w:r>
      <w:r>
        <w:rPr>
          <w:rFonts w:ascii="Times New Roman" w:hAnsi="Times New Roman"/>
          <w:sz w:val="21"/>
        </w:rPr>
        <w:t>: (1) the user interface must be operable despite age-related sensory and motor declines, and (2) the underlying operating system must dispatch scheduled alerts reliably without being silenced by aggressive background power management. Many existing commercial medication reminder systems exhibit usability or background scheduling limitations that hinder older adults.</w:t>
      </w:r>
    </w:p>
    <w:p>
      <w:pPr>
        <w:spacing w:after="90"/>
        <w:jc w:val="both"/>
      </w:pPr>
      <w:r>
        <w:rPr>
          <w:rFonts w:ascii="Times New Roman" w:hAnsi="Times New Roman"/>
          <w:sz w:val="21"/>
        </w:rPr>
        <w:t>To investigate and resolve these challenges, our study is structured around four primary research questions:</w:t>
      </w:r>
    </w:p>
    <w:p>
      <w:pPr>
        <w:spacing w:after="70"/>
        <w:ind w:left="403"/>
        <w:jc w:val="both"/>
      </w:pPr>
      <w:r>
        <w:rPr>
          <w:rFonts w:ascii="Times New Roman" w:hAnsi="Times New Roman"/>
          <w:b/>
          <w:sz w:val="21"/>
        </w:rPr>
        <w:t xml:space="preserve">•  </w:t>
      </w:r>
      <w:r>
        <w:rPr>
          <w:rFonts w:ascii="Times New Roman" w:hAnsi="Times New Roman"/>
          <w:b/>
          <w:sz w:val="21"/>
        </w:rPr>
        <w:t>RQ1 (Interaction Accessibility &amp; Motor Friction):</w:t>
      </w:r>
      <w:r>
        <w:rPr>
          <w:rFonts w:ascii="Times New Roman" w:hAnsi="Times New Roman"/>
          <w:sz w:val="21"/>
        </w:rPr>
        <w:t xml:space="preserve"> Does replacing continuous curved radial clock dragging with a discrete, 12-first stationary button grid (</w:t>
      </w:r>
      <w:r>
        <w:rPr>
          <w:rFonts w:ascii="Cambria Math" w:hAnsi="Cambria Math"/>
          <w:sz w:val="21"/>
        </w:rPr>
        <w:t>56 × 56 dp</w:t>
      </w:r>
      <w:r>
        <w:rPr>
          <w:rFonts w:ascii="Times New Roman" w:hAnsi="Times New Roman"/>
          <w:sz w:val="21"/>
        </w:rPr>
        <w:t>) and quick-select chips significantly reduce temporal configuration latency and touch input errors among older adults, and what interaction friction arises when adjusting off-quarter times via incremental steppers?</w:t>
      </w:r>
    </w:p>
    <w:p>
      <w:pPr>
        <w:spacing w:after="70"/>
        <w:ind w:left="403"/>
        <w:jc w:val="both"/>
      </w:pPr>
      <w:r>
        <w:rPr>
          <w:rFonts w:ascii="Times New Roman" w:hAnsi="Times New Roman"/>
          <w:b/>
          <w:sz w:val="21"/>
        </w:rPr>
        <w:t xml:space="preserve">•  </w:t>
      </w:r>
      <w:r>
        <w:rPr>
          <w:rFonts w:ascii="Times New Roman" w:hAnsi="Times New Roman"/>
          <w:b/>
          <w:sz w:val="21"/>
        </w:rPr>
        <w:t>RQ2 (Background Scheduling Reliability under Doze):</w:t>
      </w:r>
      <w:r>
        <w:rPr>
          <w:rFonts w:ascii="Times New Roman" w:hAnsi="Times New Roman"/>
          <w:sz w:val="21"/>
        </w:rPr>
        <w:t xml:space="preserve"> Can an exact alarm dispatch pipeline combining </w:t>
      </w:r>
      <w:r>
        <w:rPr>
          <w:rFonts w:ascii="Consolas" w:hAnsi="Consolas"/>
          <w:color w:val="24292E"/>
          <w:sz w:val="18"/>
        </w:rPr>
        <w:t>AlarmManager.setAlarmClock</w:t>
      </w:r>
      <w:r>
        <w:rPr>
          <w:rFonts w:ascii="Times New Roman" w:hAnsi="Times New Roman"/>
          <w:sz w:val="21"/>
        </w:rPr>
        <w:t>, exact alarm permissions, and lock-screen full-screen intents achieve on-time alert delivery (</w:t>
      </w:r>
      <w:r>
        <w:rPr>
          <w:rFonts w:ascii="Cambria Math" w:hAnsi="Cambria Math"/>
          <w:sz w:val="21"/>
        </w:rPr>
        <w:t>≤ 5.0 s</w:t>
      </w:r>
      <w:r>
        <w:rPr>
          <w:rFonts w:ascii="Times New Roman" w:hAnsi="Times New Roman"/>
          <w:sz w:val="21"/>
        </w:rPr>
        <w:t xml:space="preserve"> latency) across aggressive OEM Android distributions during Deep Doze without persistent background services?</w:t>
      </w:r>
    </w:p>
    <w:p>
      <w:pPr>
        <w:spacing w:after="70"/>
        <w:ind w:left="403"/>
        <w:jc w:val="both"/>
      </w:pPr>
      <w:r>
        <w:rPr>
          <w:rFonts w:ascii="Times New Roman" w:hAnsi="Times New Roman"/>
          <w:b/>
          <w:sz w:val="21"/>
        </w:rPr>
        <w:t xml:space="preserve">•  </w:t>
      </w:r>
      <w:r>
        <w:rPr>
          <w:rFonts w:ascii="Times New Roman" w:hAnsi="Times New Roman"/>
          <w:b/>
          <w:sz w:val="21"/>
        </w:rPr>
        <w:t>RQ3 (Runtime Efficiency on Budget Hardware):</w:t>
      </w:r>
      <w:r>
        <w:rPr>
          <w:rFonts w:ascii="Times New Roman" w:hAnsi="Times New Roman"/>
          <w:sz w:val="21"/>
        </w:rPr>
        <w:t xml:space="preserve"> Can an offline-first architecture utilizing embedded Room SQLite persistence and native vector drawing maintain sub-second cold starts, steady-state heap allocations under </w:t>
      </w:r>
      <w:r>
        <w:rPr>
          <w:rFonts w:ascii="Cambria Math" w:hAnsi="Cambria Math"/>
          <w:sz w:val="21"/>
        </w:rPr>
        <w:t>40 MB</w:t>
      </w:r>
      <w:r>
        <w:rPr>
          <w:rFonts w:ascii="Times New Roman" w:hAnsi="Times New Roman"/>
          <w:sz w:val="21"/>
        </w:rPr>
        <w:t>, and sub-frame query latencies on entry-level Android devices?</w:t>
      </w:r>
    </w:p>
    <w:p>
      <w:pPr>
        <w:spacing w:after="70"/>
        <w:ind w:left="403"/>
        <w:jc w:val="both"/>
      </w:pPr>
      <w:r>
        <w:rPr>
          <w:rFonts w:ascii="Times New Roman" w:hAnsi="Times New Roman"/>
          <w:b/>
          <w:sz w:val="21"/>
        </w:rPr>
        <w:t xml:space="preserve">•  </w:t>
      </w:r>
      <w:r>
        <w:rPr>
          <w:rFonts w:ascii="Times New Roman" w:hAnsi="Times New Roman"/>
          <w:b/>
          <w:sz w:val="21"/>
        </w:rPr>
        <w:t>RQ4 (Configuration Overhead &amp; Data Minimization):</w:t>
      </w:r>
      <w:r>
        <w:rPr>
          <w:rFonts w:ascii="Times New Roman" w:hAnsi="Times New Roman"/>
          <w:sz w:val="21"/>
        </w:rPr>
        <w:t xml:space="preserve"> To what extent does an offline, account-free configuration model reduce onboarding screen transitions, user decisions, setup latency, and declared permission scope compared to leading commercial cloud-based mHealth applications?</w:t>
      </w:r>
    </w:p>
    <w:p>
      <w:pPr>
        <w:spacing w:after="90"/>
        <w:jc w:val="both"/>
      </w:pPr>
      <w:r>
        <w:rPr>
          <w:rFonts w:ascii="Times New Roman" w:hAnsi="Times New Roman"/>
          <w:sz w:val="21"/>
        </w:rPr>
        <w:t xml:space="preserve">Addressing these research questions motivated the design, implementation, and empirical evaluation of </w:t>
      </w:r>
      <w:r>
        <w:rPr>
          <w:rFonts w:ascii="Times New Roman" w:hAnsi="Times New Roman"/>
          <w:b/>
          <w:sz w:val="21"/>
        </w:rPr>
        <w:t>Dosezy</w:t>
      </w:r>
      <w:r>
        <w:rPr>
          <w:rFonts w:ascii="Times New Roman" w:hAnsi="Times New Roman"/>
          <w:sz w:val="21"/>
        </w:rPr>
        <w:t>, an open-source, local-first Android medication reminder platform. Our research makes four primary contributions:</w:t>
      </w:r>
    </w:p>
    <w:p>
      <w:pPr>
        <w:spacing w:after="70"/>
        <w:ind w:left="403"/>
        <w:jc w:val="both"/>
      </w:pPr>
      <w:r>
        <w:rPr>
          <w:rFonts w:ascii="Times New Roman" w:hAnsi="Times New Roman"/>
          <w:b/>
          <w:sz w:val="21"/>
        </w:rPr>
        <w:t xml:space="preserve">•  </w:t>
      </w:r>
      <w:r>
        <w:rPr>
          <w:rFonts w:ascii="Times New Roman" w:hAnsi="Times New Roman"/>
          <w:b/>
          <w:sz w:val="21"/>
        </w:rPr>
        <w:t>Accessibility-Centric Interaction Architecture:</w:t>
      </w:r>
      <w:r>
        <w:rPr>
          <w:rFonts w:ascii="Times New Roman" w:hAnsi="Times New Roman"/>
          <w:sz w:val="21"/>
        </w:rPr>
        <w:t xml:space="preserve"> We propose and validate the </w:t>
      </w:r>
      <w:r>
        <w:rPr>
          <w:rFonts w:ascii="Times New Roman" w:hAnsi="Times New Roman"/>
          <w:i/>
          <w:sz w:val="21"/>
        </w:rPr>
        <w:t>12-Hour Grid Time Picker</w:t>
      </w:r>
      <w:r>
        <w:rPr>
          <w:rFonts w:ascii="Times New Roman" w:hAnsi="Times New Roman"/>
          <w:sz w:val="21"/>
        </w:rPr>
        <w:t>, an interface replacing circular dragging gestures with a 12-first discrete button grid (</w:t>
      </w:r>
      <w:r>
        <w:rPr>
          <w:rFonts w:ascii="Cambria Math" w:hAnsi="Cambria Math"/>
          <w:sz w:val="21"/>
        </w:rPr>
        <w:t>56 × 56 dp</w:t>
      </w:r>
      <w:r>
        <w:rPr>
          <w:rFonts w:ascii="Times New Roman" w:hAnsi="Times New Roman"/>
          <w:sz w:val="21"/>
        </w:rPr>
        <w:t xml:space="preserve"> touch targets) and quick-selection minute chips (:00, :15, :30, :45) that enable time configuration in as few as two stationary taps, paired with a </w:t>
      </w:r>
      <w:r>
        <w:rPr>
          <w:rFonts w:ascii="Cambria Math" w:hAnsi="Cambria Math"/>
          <w:sz w:val="21"/>
        </w:rPr>
        <w:t>7.84:1</w:t>
      </w:r>
      <w:r>
        <w:rPr>
          <w:rFonts w:ascii="Times New Roman" w:hAnsi="Times New Roman"/>
          <w:sz w:val="21"/>
        </w:rPr>
        <w:t xml:space="preserve"> high-contrast visual palette meeting WCAG 2.1 AAA accessibility standards [17].</w:t>
      </w:r>
    </w:p>
    <w:p>
      <w:pPr>
        <w:spacing w:after="70"/>
        <w:ind w:left="403"/>
        <w:jc w:val="both"/>
      </w:pPr>
      <w:r>
        <w:rPr>
          <w:rFonts w:ascii="Times New Roman" w:hAnsi="Times New Roman"/>
          <w:b/>
          <w:sz w:val="21"/>
        </w:rPr>
        <w:t xml:space="preserve">•  </w:t>
      </w:r>
      <w:r>
        <w:rPr>
          <w:rFonts w:ascii="Times New Roman" w:hAnsi="Times New Roman"/>
          <w:b/>
          <w:sz w:val="21"/>
        </w:rPr>
        <w:t>Architectural Network Isolation via Privilege Minimization:</w:t>
      </w:r>
      <w:r>
        <w:rPr>
          <w:rFonts w:ascii="Times New Roman" w:hAnsi="Times New Roman"/>
          <w:sz w:val="21"/>
        </w:rPr>
        <w:t xml:space="preserve"> We present a local-first systems architecture that enforces on-device data containment by completely omitting </w:t>
      </w:r>
      <w:r>
        <w:rPr>
          <w:rFonts w:ascii="Consolas" w:hAnsi="Consolas"/>
          <w:color w:val="24292E"/>
          <w:sz w:val="18"/>
        </w:rPr>
        <w:t>android.permission.INTERNET</w:t>
      </w:r>
      <w:r>
        <w:rPr>
          <w:rFonts w:ascii="Times New Roman" w:hAnsi="Times New Roman"/>
          <w:sz w:val="21"/>
        </w:rPr>
        <w:t xml:space="preserve"> from the manifest. This establishes an operating-system-level socket denial boundary that blocks direct in-app network egress, coupled with an on-device vector A4 PDF export engine (</w:t>
      </w:r>
      <w:r>
        <w:rPr>
          <w:rFonts w:ascii="Cambria Math" w:hAnsi="Cambria Math"/>
          <w:sz w:val="21"/>
        </w:rPr>
        <w:t>142 ± 18 ms</w:t>
      </w:r>
      <w:r>
        <w:rPr>
          <w:rFonts w:ascii="Times New Roman" w:hAnsi="Times New Roman"/>
          <w:sz w:val="21"/>
        </w:rPr>
        <w:t>) that executes without remote cloud dependencies [16].</w:t>
      </w:r>
    </w:p>
    <w:p>
      <w:pPr>
        <w:spacing w:after="70"/>
        <w:ind w:left="403"/>
        <w:jc w:val="both"/>
      </w:pPr>
      <w:r>
        <w:rPr>
          <w:rFonts w:ascii="Times New Roman" w:hAnsi="Times New Roman"/>
          <w:b/>
          <w:sz w:val="21"/>
        </w:rPr>
        <w:t xml:space="preserve">•  </w:t>
      </w:r>
      <w:r>
        <w:rPr>
          <w:rFonts w:ascii="Times New Roman" w:hAnsi="Times New Roman"/>
          <w:b/>
          <w:sz w:val="21"/>
        </w:rPr>
        <w:t>Resilient Doze-Resistant Alarm Engine:</w:t>
      </w:r>
      <w:r>
        <w:rPr>
          <w:rFonts w:ascii="Times New Roman" w:hAnsi="Times New Roman"/>
          <w:sz w:val="21"/>
        </w:rPr>
        <w:t xml:space="preserve"> We engineer an alarm dispatch pipeline combining </w:t>
      </w:r>
      <w:r>
        <w:rPr>
          <w:rFonts w:ascii="Consolas" w:hAnsi="Consolas"/>
          <w:color w:val="24292E"/>
          <w:sz w:val="18"/>
        </w:rPr>
        <w:t>AlarmManager.setAlarmClock</w:t>
      </w:r>
      <w:r>
        <w:rPr>
          <w:rFonts w:ascii="Times New Roman" w:hAnsi="Times New Roman"/>
          <w:sz w:val="21"/>
        </w:rPr>
        <w:t>, exact alarm privileges, and full-screen lock screen intents to maximize timely dosage delivery during deep Doze states across fragmented Android OEM distributions.</w:t>
      </w:r>
    </w:p>
    <w:p>
      <w:pPr>
        <w:spacing w:after="70"/>
        <w:ind w:left="403"/>
        <w:jc w:val="both"/>
      </w:pPr>
      <w:r>
        <w:rPr>
          <w:rFonts w:ascii="Times New Roman" w:hAnsi="Times New Roman"/>
          <w:b/>
          <w:sz w:val="21"/>
        </w:rPr>
        <w:t xml:space="preserve">•  </w:t>
      </w:r>
      <w:r>
        <w:rPr>
          <w:rFonts w:ascii="Times New Roman" w:hAnsi="Times New Roman"/>
          <w:b/>
          <w:sz w:val="21"/>
        </w:rPr>
        <w:t>Empirical and Systems Validation:</w:t>
      </w:r>
      <w:r>
        <w:rPr>
          <w:rFonts w:ascii="Times New Roman" w:hAnsi="Times New Roman"/>
          <w:sz w:val="21"/>
        </w:rPr>
        <w:t xml:space="preserve"> We conduct multi-device performance profiling, benchmark background alarm delivery across five smartphone OEMs under deep Doze mode (99.0% on-time delivery across 100 test alarms), and execute a counterbalanced within-subjects usability study (</w:t>
      </w:r>
      <w:r>
        <w:rPr>
          <w:rFonts w:ascii="Cambria Math" w:hAnsi="Cambria Math"/>
          <w:sz w:val="21"/>
        </w:rPr>
        <w:t>N=16</w:t>
      </w:r>
      <w:r>
        <w:rPr>
          <w:rFonts w:ascii="Times New Roman" w:hAnsi="Times New Roman"/>
          <w:sz w:val="21"/>
        </w:rPr>
        <w:t xml:space="preserve"> older adults, aged 61–76) demonstrating statistically significant reductions in task completion time (</w:t>
      </w:r>
      <w:r>
        <w:rPr>
          <w:rFonts w:ascii="Cambria Math" w:hAnsi="Cambria Math"/>
          <w:sz w:val="21"/>
        </w:rPr>
        <w:t>44.4%</w:t>
      </w:r>
      <w:r>
        <w:rPr>
          <w:rFonts w:ascii="Times New Roman" w:hAnsi="Times New Roman"/>
          <w:sz w:val="21"/>
        </w:rPr>
        <w:t>) and input errors (</w:t>
      </w:r>
      <w:r>
        <w:rPr>
          <w:rFonts w:ascii="Cambria Math" w:hAnsi="Cambria Math"/>
          <w:sz w:val="21"/>
        </w:rPr>
        <w:t>82.6%</w:t>
      </w:r>
      <w:r>
        <w:rPr>
          <w:rFonts w:ascii="Times New Roman" w:hAnsi="Times New Roman"/>
          <w:sz w:val="21"/>
        </w:rPr>
        <w:t xml:space="preserve">), yielding a mean System Usability Scale (SUS) score of </w:t>
      </w:r>
      <w:r>
        <w:rPr>
          <w:rFonts w:ascii="Cambria Math" w:hAnsi="Cambria Math"/>
          <w:sz w:val="21"/>
        </w:rPr>
        <w:t>83.44 ± 9.88</w:t>
      </w:r>
      <w:r>
        <w:rPr>
          <w:rFonts w:ascii="Times New Roman" w:hAnsi="Times New Roman"/>
          <w:sz w:val="21"/>
        </w:rPr>
        <w:t>, placing it in the 90th percentile of evaluated systems (Grade A) [13, 14].</w:t>
      </w:r>
    </w:p>
    <w:p>
      <w:pPr>
        <w:keepNext/>
        <w:spacing w:before="280" w:after="80"/>
      </w:pPr>
      <w:r>
        <w:rPr>
          <w:rFonts w:ascii="Times New Roman" w:hAnsi="Times New Roman"/>
          <w:b/>
          <w:color w:val="102C57"/>
          <w:sz w:val="27"/>
        </w:rPr>
        <w:t>2. Related Work and Theoretical Foundations</w:t>
      </w:r>
    </w:p>
    <w:p>
      <w:pPr>
        <w:keepNext/>
        <w:spacing w:before="220" w:after="60"/>
      </w:pPr>
      <w:r>
        <w:rPr>
          <w:rFonts w:ascii="Times New Roman" w:hAnsi="Times New Roman"/>
          <w:b/>
          <w:color w:val="1A365D"/>
          <w:sz w:val="23"/>
        </w:rPr>
        <w:t>2.1 Geriatric Motor Control and Touchscreen Accessibility</w:t>
      </w:r>
    </w:p>
    <w:p>
      <w:pPr>
        <w:spacing w:after="90"/>
        <w:jc w:val="both"/>
      </w:pPr>
      <w:r>
        <w:rPr>
          <w:rFonts w:ascii="Times New Roman" w:hAnsi="Times New Roman"/>
          <w:sz w:val="21"/>
        </w:rPr>
        <w:t>The design of mobile interfaces for older adults is fundamentally governed by age-related biological changes in visual acuity, contrast sensitivity, and motor control [7, 12]. Foundational psychomotor research by Fitts [20] and subsequent extensions to two-dimensional touchscreen targets by MacKenzie and Buxton [21] establish that the movement time (</w:t>
      </w:r>
      <w:r>
        <w:rPr>
          <w:rFonts w:ascii="Cambria Math" w:hAnsi="Cambria Math"/>
          <w:i/>
          <w:sz w:val="21"/>
        </w:rPr>
        <w:t>MT</w:t>
      </w:r>
      <w:r>
        <w:rPr>
          <w:rFonts w:ascii="Times New Roman" w:hAnsi="Times New Roman"/>
          <w:sz w:val="21"/>
        </w:rPr>
        <w:t>) required to rapidly acquire an on-screen target is a logarithmic function of target distance (</w:t>
      </w:r>
      <w:r>
        <w:rPr>
          <w:rFonts w:ascii="Cambria Math" w:hAnsi="Cambria Math"/>
          <w:i/>
          <w:sz w:val="21"/>
        </w:rPr>
        <w:t>D</w:t>
      </w:r>
      <w:r>
        <w:rPr>
          <w:rFonts w:ascii="Times New Roman" w:hAnsi="Times New Roman"/>
          <w:sz w:val="21"/>
        </w:rPr>
        <w:t>) and target width (</w:t>
      </w:r>
      <w:r>
        <w:rPr>
          <w:rFonts w:ascii="Cambria Math" w:hAnsi="Cambria Math"/>
          <w:i/>
          <w:sz w:val="21"/>
        </w:rPr>
        <w:t>W</w:t>
      </w:r>
      <w:r>
        <w:rPr>
          <w:rFonts w:ascii="Times New Roman" w:hAnsi="Times New Roman"/>
          <w:sz w:val="21"/>
        </w:rPr>
        <w:t>):</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MT = a + b · log₂(D/W + 1) = a + b · ID</w:t>
            </w:r>
          </w:p>
        </w:tc>
        <w:tc>
          <w:tcPr>
            <w:tcW w:type="dxa" w:w="4680"/>
          </w:tcPr>
          <w:p>
            <w:pPr>
              <w:spacing w:before="80" w:after="80"/>
              <w:jc w:val="right"/>
            </w:pPr>
            <w:r>
              <w:rPr>
                <w:rFonts w:ascii="Times New Roman" w:hAnsi="Times New Roman"/>
                <w:color w:val="4A5568"/>
                <w:sz w:val="21"/>
              </w:rPr>
              <w:t>(1)</w:t>
            </w:r>
          </w:p>
        </w:tc>
      </w:tr>
    </w:tbl>
    <w:p>
      <w:pPr>
        <w:spacing w:before="0" w:after="80"/>
      </w:pPr>
    </w:p>
    <w:p>
      <w:pPr>
        <w:spacing w:after="90"/>
        <w:jc w:val="both"/>
      </w:pPr>
      <w:r>
        <w:rPr>
          <w:rFonts w:ascii="Times New Roman" w:hAnsi="Times New Roman"/>
          <w:sz w:val="21"/>
        </w:rPr>
        <w:t xml:space="preserve">where </w:t>
      </w:r>
      <w:r>
        <w:rPr>
          <w:rFonts w:ascii="Cambria Math" w:hAnsi="Cambria Math"/>
          <w:i/>
          <w:sz w:val="21"/>
        </w:rPr>
        <w:t>ID</w:t>
      </w:r>
      <w:r>
        <w:rPr>
          <w:rFonts w:ascii="Times New Roman" w:hAnsi="Times New Roman"/>
          <w:sz w:val="21"/>
        </w:rPr>
        <w:t xml:space="preserve"> denotes the Index of Difficulty. In older adult populations, the empirical constants </w:t>
      </w:r>
      <w:r>
        <w:rPr>
          <w:rFonts w:ascii="Cambria Math" w:hAnsi="Cambria Math"/>
          <w:i/>
          <w:sz w:val="21"/>
        </w:rPr>
        <w:t>a</w:t>
      </w:r>
      <w:r>
        <w:rPr>
          <w:rFonts w:ascii="Times New Roman" w:hAnsi="Times New Roman"/>
          <w:sz w:val="21"/>
        </w:rPr>
        <w:t xml:space="preserve"> and </w:t>
      </w:r>
      <w:r>
        <w:rPr>
          <w:rFonts w:ascii="Cambria Math" w:hAnsi="Cambria Math"/>
          <w:i/>
          <w:sz w:val="21"/>
        </w:rPr>
        <w:t>b</w:t>
      </w:r>
      <w:r>
        <w:rPr>
          <w:rFonts w:ascii="Times New Roman" w:hAnsi="Times New Roman"/>
          <w:sz w:val="21"/>
        </w:rPr>
        <w:t xml:space="preserve"> increase markedly due to diminished neural transmission velocity, muscular tremors, and tactile sensory loss [9].</w:t>
      </w:r>
    </w:p>
    <w:p>
      <w:pPr>
        <w:spacing w:after="90"/>
        <w:jc w:val="both"/>
      </w:pPr>
      <w:r>
        <w:rPr>
          <w:rFonts w:ascii="Times New Roman" w:hAnsi="Times New Roman"/>
          <w:sz w:val="21"/>
        </w:rPr>
        <w:t>Empirical studies by Trewin et al. [9] and Siek et al. [10] demonstrated that older adults exhibit substantially greater touch endpoint dispersion and movement trajectory variability than younger cohorts. When interacting with small touch targets, older users frequently trigger adjacent buttons or register involuntary slide events—a phenomenon exacerbated by the "fat finger" effect, where reduced tactile sensitivity causes users to press harder, flattening the finger pad and obscuring the screen target [10, 24]. Crucially, while younger users navigate continuous dynamic dragging gestures (such as radial wheels or circular clock dials) with fluid proprioceptive feedback, older adults experience frequent tracking failures, accidental lift-offs, and boundary slippages during continuous curvilinear steering [8, 11]. Consequently, human factors guidelines strongly advocate for discrete, stationary target acquisition with explicit bounding borders and generous spacing [7, 17].</w:t>
      </w:r>
    </w:p>
    <w:p>
      <w:pPr>
        <w:keepNext/>
        <w:spacing w:before="220" w:after="60"/>
      </w:pPr>
      <w:r>
        <w:rPr>
          <w:rFonts w:ascii="Times New Roman" w:hAnsi="Times New Roman"/>
          <w:b/>
          <w:color w:val="1A365D"/>
          <w:sz w:val="23"/>
        </w:rPr>
        <w:t>2.2 Medication Tracking Paradigms: Physical vs. Digital</w:t>
      </w:r>
    </w:p>
    <w:p>
      <w:pPr>
        <w:spacing w:after="90"/>
        <w:jc w:val="both"/>
      </w:pPr>
      <w:r>
        <w:rPr>
          <w:rFonts w:ascii="Times New Roman" w:hAnsi="Times New Roman"/>
          <w:sz w:val="21"/>
        </w:rPr>
        <w:t>Technical interventions for medication adherence are broadly categorized into physical smart pillboxes and digital mobile applications [4]. However, existing technological paradigms exhibit systemic design compromises when evaluated against the physiological and socioeconomic requirements of older adults:</w:t>
      </w:r>
    </w:p>
    <w:p>
      <w:pPr>
        <w:spacing w:after="70"/>
        <w:ind w:left="403"/>
        <w:jc w:val="both"/>
      </w:pPr>
      <w:r>
        <w:rPr>
          <w:rFonts w:ascii="Times New Roman" w:hAnsi="Times New Roman"/>
          <w:b/>
          <w:sz w:val="21"/>
        </w:rPr>
        <w:t xml:space="preserve">1. </w:t>
      </w:r>
      <w:r>
        <w:rPr>
          <w:rFonts w:ascii="Times New Roman" w:hAnsi="Times New Roman"/>
          <w:b/>
          <w:sz w:val="21"/>
        </w:rPr>
        <w:t>Standard Android Material Pickers:</w:t>
      </w:r>
      <w:r>
        <w:rPr>
          <w:rFonts w:ascii="Times New Roman" w:hAnsi="Times New Roman"/>
          <w:sz w:val="21"/>
        </w:rPr>
        <w:t xml:space="preserve"> The stock Material Design time picker offers two primary interaction modes: a continuous radial dial and an auxiliary text input dialog. The radial dial requires fine motor continuous tracing around a 360-degree circular perimeter, which induces tremor-related overshoot, boundary slippage, and cognitive confusion between inner and outer concentric hour rings. Conversely, switching to text input presents a numeric soft-keyboard with small keys and high visual crowding, requiring older adults to execute multiple typing, cursor positioning, and backspace operations to rectify minor typos.</w:t>
      </w:r>
    </w:p>
    <w:p>
      <w:pPr>
        <w:spacing w:after="70"/>
        <w:ind w:left="403"/>
        <w:jc w:val="both"/>
      </w:pPr>
      <w:r>
        <w:rPr>
          <w:rFonts w:ascii="Times New Roman" w:hAnsi="Times New Roman"/>
          <w:b/>
          <w:sz w:val="21"/>
        </w:rPr>
        <w:t xml:space="preserve">2. </w:t>
      </w:r>
      <w:r>
        <w:rPr>
          <w:rFonts w:ascii="Times New Roman" w:hAnsi="Times New Roman"/>
          <w:b/>
          <w:sz w:val="21"/>
        </w:rPr>
        <w:t>Smart Electronic Pillboxes:</w:t>
      </w:r>
      <w:r>
        <w:rPr>
          <w:rFonts w:ascii="Times New Roman" w:hAnsi="Times New Roman"/>
          <w:sz w:val="21"/>
        </w:rPr>
        <w:t xml:space="preserve"> Physical smart containers (e.g., Med-e-Lert, Hero Health, EllieGrid) integrate electromechanical compartments, microswitches, flashing LEDs, and audible buzzers [4]. While they offer tactile affordances, their substantial capital cost (</w:t>
      </w:r>
      <w:r>
        <w:rPr>
          <w:rFonts w:ascii="Cambria Math" w:hAnsi="Cambria Math"/>
          <w:sz w:val="21"/>
        </w:rPr>
        <w:t>100 to</w:t>
      </w:r>
      <w:r>
        <w:rPr>
          <w:rFonts w:ascii="Times New Roman" w:hAnsi="Times New Roman"/>
          <w:sz w:val="21"/>
        </w:rPr>
        <w:t>300), recurring cellular subscription fees, mechanical complexity, bulkiness, and manual pill-sorting overhead severely restrict real-world adoption, especially for ambulatory seniors traveling outside the home.</w:t>
      </w:r>
    </w:p>
    <w:p>
      <w:pPr>
        <w:spacing w:after="70"/>
        <w:ind w:left="403"/>
        <w:jc w:val="both"/>
      </w:pPr>
      <w:r>
        <w:rPr>
          <w:rFonts w:ascii="Times New Roman" w:hAnsi="Times New Roman"/>
          <w:b/>
          <w:sz w:val="21"/>
        </w:rPr>
        <w:t xml:space="preserve">3. </w:t>
      </w:r>
      <w:r>
        <w:rPr>
          <w:rFonts w:ascii="Times New Roman" w:hAnsi="Times New Roman"/>
          <w:b/>
          <w:sz w:val="21"/>
        </w:rPr>
        <w:t>Commercial Mobile Applications:</w:t>
      </w:r>
      <w:r>
        <w:rPr>
          <w:rFonts w:ascii="Times New Roman" w:hAnsi="Times New Roman"/>
          <w:sz w:val="21"/>
        </w:rPr>
        <w:t xml:space="preserve"> Commercial mHealth apps (e.g., Medisafe, MyTherapy) operate on hardware already carried by patients. However, they frequently prioritize monetizable cloud ecosystems over usability. As summarized in Table 1, commercial applications mandate remote account registration, inject promotional pharmaceutical advertisements, bundle third-party analytics trackers, and rely on standard cloud push notifications or inexact alarm primitives that are aggressively delayed or killed when modern OEM power-management daemons force deep sleep [11, 23].</w:t>
      </w:r>
    </w:p>
    <w:p>
      <w:pPr>
        <w:spacing w:after="90"/>
        <w:jc w:val="both"/>
      </w:pPr>
      <w:r>
        <w:rPr>
          <w:rFonts w:ascii="Times New Roman" w:hAnsi="Times New Roman"/>
          <w:b/>
          <w:sz w:val="21"/>
        </w:rPr>
        <w:t>Dosezy's Architectural Synthesis:</w:t>
      </w:r>
      <w:r>
        <w:rPr>
          <w:rFonts w:ascii="Times New Roman" w:hAnsi="Times New Roman"/>
          <w:sz w:val="21"/>
        </w:rPr>
        <w:t xml:space="preserve"> Dosezy addresses these systemic limitations by presenting an integrated, open-source mobile architecture that unifies an accessible 12-first stationary touch grid with exact Doze-resistant scheduling and zero network footprint. By operating 100% on-device, Dosezy eliminates financial barriers, protects medical confidentiality, and ensures deterministic alarm dispatch without cloud or hardware dependencies.</w:t>
      </w:r>
    </w:p>
    <w:p>
      <w:pPr>
        <w:keepNext/>
        <w:spacing w:before="160" w:after="60"/>
      </w:pPr>
      <w:r>
        <w:rPr>
          <w:rFonts w:ascii="Times New Roman" w:hAnsi="Times New Roman"/>
          <w:b/>
          <w:color w:val="2D3748"/>
          <w:sz w:val="21"/>
        </w:rPr>
        <w:t>Table 1: Systemic Comparison of Medication Adherence Paradigms</w:t>
      </w:r>
    </w:p>
    <w:tbl>
      <w:tblPr>
        <w:tblW w:type="auto" w:w="0"/>
        <w:jc w:val="center"/>
        <w:tblLayout w:type="autofit"/>
        <w:tblLook w:firstColumn="1" w:firstRow="1" w:lastColumn="0" w:lastRow="0" w:noHBand="0" w:noVBand="1" w:val="04A0"/>
        <w:tblBorders>
          <w:top w:val="single" w:sz="12" w:space="0" w:color="102C57"/>
          <w:bottom w:val="single" w:sz="12" w:space="0" w:color="102C57"/>
          <w:left w:val="none"/>
          <w:right w:val="none"/>
          <w:insideH w:val="single" w:sz="4" w:space="0" w:color="E2E8F0"/>
          <w:insideV w:val="none"/>
        </w:tblBorders>
      </w:tblPr>
      <w:tblGrid>
        <w:gridCol w:w="1872"/>
        <w:gridCol w:w="1872"/>
        <w:gridCol w:w="1872"/>
        <w:gridCol w:w="1872"/>
        <w:gridCol w:w="1872"/>
      </w:tblGrid>
      <w:tr>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Evaluation Dimension</w:t>
            </w:r>
          </w:p>
        </w:tc>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Commercial Apps (e.g., Medisafe)</w:t>
            </w:r>
          </w:p>
        </w:tc>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Smart Electronic Pillboxes</w:t>
            </w:r>
          </w:p>
        </w:tc>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Standard Android Clock</w:t>
            </w:r>
          </w:p>
        </w:tc>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Dosezy (Proposed)</w:t>
            </w:r>
          </w:p>
        </w:tc>
      </w:tr>
      <w:tr>
        <w:tc>
          <w:tcPr>
            <w:tcW w:type="dxa" w:w="1872"/>
            <w:tcMar>
              <w:top w:w="60" w:type="dxa"/>
              <w:bottom w:w="60" w:type="dxa"/>
              <w:left w:w="100" w:type="dxa"/>
              <w:right w:w="100" w:type="dxa"/>
            </w:tcMar>
          </w:tcPr>
          <w:p>
            <w:pPr>
              <w:spacing w:before="60" w:after="60"/>
              <w:jc w:val="left"/>
            </w:pPr>
            <w:r/>
            <w:r>
              <w:rPr>
                <w:rFonts w:ascii="Times New Roman" w:hAnsi="Times New Roman"/>
                <w:b/>
                <w:sz w:val="18"/>
              </w:rPr>
              <w:t>Network Architecture</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Cloud-dependent / Mandatory sync</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Hardware Bluetooth/WiFi bridge</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Offline utility</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100% Local-first (Zero network permissions)</w:t>
            </w:r>
          </w:p>
        </w:tc>
      </w:tr>
      <w:tr>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Data Protection Model</w:t>
            </w:r>
          </w:p>
        </w:tc>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Telemetry, third-party analytics</w:t>
            </w:r>
          </w:p>
        </w:tc>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Local firmware or cloud gateway</w:t>
            </w:r>
          </w:p>
        </w:tc>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Private on-device</w:t>
            </w:r>
          </w:p>
        </w:tc>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Manifest privilege minimization</w:t>
            </w:r>
          </w:p>
        </w:tc>
      </w:tr>
      <w:tr>
        <w:tc>
          <w:tcPr>
            <w:tcW w:type="dxa" w:w="1872"/>
            <w:tcMar>
              <w:top w:w="60" w:type="dxa"/>
              <w:bottom w:w="60" w:type="dxa"/>
              <w:left w:w="100" w:type="dxa"/>
              <w:right w:w="100" w:type="dxa"/>
            </w:tcMar>
          </w:tcPr>
          <w:p>
            <w:pPr>
              <w:spacing w:before="60" w:after="60"/>
              <w:jc w:val="left"/>
            </w:pPr>
            <w:r/>
            <w:r>
              <w:rPr>
                <w:rFonts w:ascii="Times New Roman" w:hAnsi="Times New Roman"/>
                <w:b/>
                <w:sz w:val="18"/>
              </w:rPr>
              <w:t>Time Selection UI</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Multi-step radial dial / wheel</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Physical dials / rotary buttons</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Radial 24h continuous drag</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Stationary 12-hour button grid (</w:t>
            </w:r>
            <w:r>
              <w:rPr>
                <w:rFonts w:ascii="Cambria Math" w:hAnsi="Cambria Math"/>
                <w:sz w:val="18"/>
              </w:rPr>
              <w:t>≥ 56 dp</w:t>
            </w:r>
            <w:r>
              <w:rPr>
                <w:rFonts w:ascii="Times New Roman" w:hAnsi="Times New Roman"/>
                <w:sz w:val="18"/>
              </w:rPr>
              <w:t>)</w:t>
            </w:r>
          </w:p>
        </w:tc>
      </w:tr>
      <w:tr>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Alarm Delivery</w:t>
            </w:r>
          </w:p>
        </w:tc>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Standard notification shade</w:t>
            </w:r>
          </w:p>
        </w:tc>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Hardware piezo buzzer</w:t>
            </w:r>
          </w:p>
        </w:tc>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OS clock alarm</w:t>
            </w:r>
          </w:p>
        </w:tc>
        <w:tc>
          <w:tcPr>
            <w:tcW w:type="dxa" w:w="1872"/>
            <w:shd w:val="clear" w:color="auto" w:fill="F7FAFC"/>
            <w:tcMar>
              <w:top w:w="60" w:type="dxa"/>
              <w:bottom w:w="60" w:type="dxa"/>
              <w:left w:w="100" w:type="dxa"/>
              <w:right w:w="100" w:type="dxa"/>
            </w:tcMar>
          </w:tcPr>
          <w:p>
            <w:pPr>
              <w:spacing w:before="60" w:after="60"/>
              <w:jc w:val="left"/>
            </w:pPr>
            <w:r/>
            <w:r>
              <w:rPr>
                <w:rFonts w:ascii="Consolas" w:hAnsi="Consolas"/>
                <w:color w:val="24292E"/>
                <w:sz w:val="16"/>
              </w:rPr>
              <w:t>setAlarmClock</w:t>
            </w:r>
            <w:r>
              <w:rPr>
                <w:rFonts w:ascii="Times New Roman" w:hAnsi="Times New Roman"/>
                <w:sz w:val="18"/>
              </w:rPr>
              <w:t xml:space="preserve"> + Lock screen overlay</w:t>
            </w:r>
          </w:p>
        </w:tc>
      </w:tr>
      <w:tr>
        <w:tc>
          <w:tcPr>
            <w:tcW w:type="dxa" w:w="1872"/>
            <w:tcMar>
              <w:top w:w="60" w:type="dxa"/>
              <w:bottom w:w="60" w:type="dxa"/>
              <w:left w:w="100" w:type="dxa"/>
              <w:right w:w="100" w:type="dxa"/>
            </w:tcMar>
          </w:tcPr>
          <w:p>
            <w:pPr>
              <w:spacing w:before="60" w:after="60"/>
              <w:jc w:val="left"/>
            </w:pPr>
            <w:r/>
            <w:r>
              <w:rPr>
                <w:rFonts w:ascii="Times New Roman" w:hAnsi="Times New Roman"/>
                <w:b/>
                <w:sz w:val="18"/>
              </w:rPr>
              <w:t>Summary Document Export</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Cloud web export (PDF/CSV)</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Proprietary desktop utility</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None</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Native client-side vector A4 PDF export (patient summary)</w:t>
            </w:r>
          </w:p>
        </w:tc>
      </w:tr>
      <w:tr>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Emergency Support</w:t>
            </w:r>
          </w:p>
        </w:tc>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None or hardcoded 911</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None</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None</w:t>
            </w:r>
          </w:p>
        </w:tc>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ISO SIM/locale emergency dialer resolution</w:t>
            </w:r>
          </w:p>
        </w:tc>
      </w:tr>
      <w:tr>
        <w:tc>
          <w:tcPr>
            <w:tcW w:type="dxa" w:w="1872"/>
            <w:tcMar>
              <w:top w:w="60" w:type="dxa"/>
              <w:bottom w:w="60" w:type="dxa"/>
              <w:left w:w="100" w:type="dxa"/>
              <w:right w:w="100" w:type="dxa"/>
            </w:tcMar>
          </w:tcPr>
          <w:p>
            <w:pPr>
              <w:spacing w:before="60" w:after="60"/>
              <w:jc w:val="left"/>
            </w:pPr>
            <w:r/>
            <w:r>
              <w:rPr>
                <w:rFonts w:ascii="Times New Roman" w:hAnsi="Times New Roman"/>
                <w:b/>
                <w:sz w:val="18"/>
              </w:rPr>
              <w:t>Deployment Cost</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Subscription / Ads / Proprietary</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High hardware cost (</w:t>
            </w:r>
            <w:r>
              <w:rPr>
                <w:rFonts w:ascii="Cambria Math" w:hAnsi="Cambria Math"/>
                <w:sz w:val="18"/>
              </w:rPr>
              <w:t>100–</w:t>
            </w:r>
            <w:r>
              <w:rPr>
                <w:rFonts w:ascii="Times New Roman" w:hAnsi="Times New Roman"/>
                <w:sz w:val="18"/>
              </w:rPr>
              <w:t>300)</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Pre-installed</w:t>
            </w:r>
          </w:p>
        </w:tc>
        <w:tc>
          <w:tcPr>
            <w:tcW w:type="dxa" w:w="1872"/>
            <w:tcMar>
              <w:top w:w="60" w:type="dxa"/>
              <w:bottom w:w="60" w:type="dxa"/>
              <w:left w:w="100" w:type="dxa"/>
              <w:right w:w="100" w:type="dxa"/>
            </w:tcMar>
          </w:tcPr>
          <w:p>
            <w:pPr>
              <w:spacing w:before="60" w:after="60"/>
              <w:jc w:val="left"/>
            </w:pPr>
            <w:r/>
            <w:r>
              <w:rPr>
                <w:rFonts w:ascii="Times New Roman" w:hAnsi="Times New Roman"/>
                <w:sz w:val="18"/>
              </w:rPr>
              <w:t>Free, open-source Android platform</w:t>
            </w:r>
          </w:p>
        </w:tc>
      </w:tr>
    </w:tbl>
    <w:p>
      <w:pPr>
        <w:spacing w:before="0" w:after="120"/>
      </w:pPr>
    </w:p>
    <w:p>
      <w:pPr>
        <w:keepNext/>
        <w:spacing w:before="220" w:after="60"/>
      </w:pPr>
      <w:r>
        <w:rPr>
          <w:rFonts w:ascii="Times New Roman" w:hAnsi="Times New Roman"/>
          <w:b/>
          <w:color w:val="1A365D"/>
          <w:sz w:val="23"/>
        </w:rPr>
        <w:t>2.3 Local-First Software Architecture</w:t>
      </w:r>
    </w:p>
    <w:p>
      <w:pPr>
        <w:spacing w:after="90"/>
        <w:jc w:val="both"/>
      </w:pPr>
      <w:r>
        <w:rPr>
          <w:rFonts w:ascii="Times New Roman" w:hAnsi="Times New Roman"/>
          <w:sz w:val="21"/>
        </w:rPr>
        <w:t>The local-first software paradigm, formalised by Kleppmann et al. [16], establishes that software systems should treat local storage on user-owned physical devices as the primary source of truth, eliminating mandatory dependencies on remote server infrastructure. While Kleppmann et al. focus primarily on conflict-free replicated data types (CRDTs) for multi-device synchronization, the core properties of local-first design---local data availability, user ownership, and zero network latency for data access---are directly aligned with geriatric digital health requirements. Older adults residing in assisted living environments or rural regions frequently encounter intermittent or absent cellular connectivity. Operating fully on-device ensures that scheduled reminders are not delayed or silenced by server outages, captive network portals, or expired session tokens.</w:t>
      </w:r>
    </w:p>
    <w:p>
      <w:pPr>
        <w:keepNext/>
        <w:spacing w:before="280" w:after="80"/>
      </w:pPr>
      <w:r>
        <w:rPr>
          <w:rFonts w:ascii="Times New Roman" w:hAnsi="Times New Roman"/>
          <w:b/>
          <w:color w:val="102C57"/>
          <w:sz w:val="27"/>
        </w:rPr>
        <w:t>3. System Architecture and Local-First Design</w:t>
      </w:r>
    </w:p>
    <w:p>
      <w:pPr>
        <w:spacing w:after="90"/>
        <w:jc w:val="both"/>
      </w:pPr>
      <w:r>
        <w:rPr>
          <w:rFonts w:ascii="Times New Roman" w:hAnsi="Times New Roman"/>
          <w:sz w:val="21"/>
        </w:rPr>
        <w:t>Dosezy is constructed as a native Android application implemented in Kotlin and Jetpack Compose, targeting Android 8.0 (API level 26) through Android 14 (API level 34) [23]. The codebase adheres strictly to Clean Architecture patterns, organizing components into three cleanly decoupled layers: Presentation, Domain, and Data (Figure 1).</w:t>
      </w:r>
    </w:p>
    <w:p>
      <w:pPr>
        <w:spacing w:before="160" w:after="40"/>
        <w:jc w:val="center"/>
      </w:pPr>
      <w:r>
        <w:drawing>
          <wp:inline xmlns:a="http://schemas.openxmlformats.org/drawingml/2006/main" xmlns:pic="http://schemas.openxmlformats.org/drawingml/2006/picture">
            <wp:extent cx="5303520" cy="3538137"/>
            <wp:docPr id="1" name="Picture 1"/>
            <wp:cNvGraphicFramePr>
              <a:graphicFrameLocks noChangeAspect="1"/>
            </wp:cNvGraphicFramePr>
            <a:graphic>
              <a:graphicData uri="http://schemas.openxmlformats.org/drawingml/2006/picture">
                <pic:pic>
                  <pic:nvPicPr>
                    <pic:cNvPr id="0" name="diagram_system_architecture.png"/>
                    <pic:cNvPicPr/>
                  </pic:nvPicPr>
                  <pic:blipFill>
                    <a:blip r:embed="rId11"/>
                    <a:stretch>
                      <a:fillRect/>
                    </a:stretch>
                  </pic:blipFill>
                  <pic:spPr>
                    <a:xfrm>
                      <a:off x="0" y="0"/>
                      <a:ext cx="5303520" cy="3538137"/>
                    </a:xfrm>
                    <a:prstGeom prst="rect"/>
                  </pic:spPr>
                </pic:pic>
              </a:graphicData>
            </a:graphic>
          </wp:inline>
        </w:drawing>
      </w:r>
    </w:p>
    <w:p>
      <w:pPr>
        <w:spacing w:before="40" w:after="160"/>
        <w:jc w:val="center"/>
      </w:pPr>
      <w:r>
        <w:rPr>
          <w:rFonts w:ascii="Times New Roman" w:hAnsi="Times New Roman"/>
          <w:i/>
          <w:color w:val="4A5568"/>
          <w:sz w:val="19"/>
        </w:rPr>
        <w:t>Figure 1: Three-tiered local-first system architecture of Dosezy</w:t>
      </w:r>
    </w:p>
    <w:p>
      <w:pPr>
        <w:keepNext/>
        <w:spacing w:before="220" w:after="60"/>
      </w:pPr>
      <w:r>
        <w:rPr>
          <w:rFonts w:ascii="Times New Roman" w:hAnsi="Times New Roman"/>
          <w:b/>
          <w:color w:val="1A365D"/>
          <w:sz w:val="23"/>
        </w:rPr>
        <w:t>3.1 Relational Persistence Model</w:t>
      </w:r>
    </w:p>
    <w:p>
      <w:pPr>
        <w:spacing w:after="90"/>
        <w:jc w:val="both"/>
      </w:pPr>
      <w:r>
        <w:rPr>
          <w:rFonts w:ascii="Times New Roman" w:hAnsi="Times New Roman"/>
          <w:sz w:val="21"/>
        </w:rPr>
        <w:t>All application state is maintained on the host device within an embedded SQLite relational database managed via the Android Room persistence abstraction. The schema is organized into three normalized entities:</w:t>
      </w:r>
    </w:p>
    <w:p>
      <w:pPr>
        <w:spacing w:after="70"/>
        <w:ind w:left="403"/>
        <w:jc w:val="both"/>
      </w:pPr>
      <w:r>
        <w:rPr>
          <w:rFonts w:ascii="Times New Roman" w:hAnsi="Times New Roman"/>
          <w:b/>
          <w:sz w:val="21"/>
        </w:rPr>
        <w:t xml:space="preserve">1. </w:t>
      </w:r>
      <w:r>
        <w:rPr>
          <w:rFonts w:ascii="Times New Roman" w:hAnsi="Times New Roman"/>
          <w:b/>
          <w:sz w:val="21"/>
        </w:rPr>
        <w:t>User Entity (`User`):</w:t>
      </w:r>
      <w:r>
        <w:rPr>
          <w:rFonts w:ascii="Times New Roman" w:hAnsi="Times New Roman"/>
          <w:sz w:val="21"/>
        </w:rPr>
        <w:t xml:space="preserve"> Encapsulates user profile metadata, including primary patient identifier, name, emergency contact telephone numbers, and configurable temporal thresholds for adherence classification (</w:t>
      </w:r>
      <w:r>
        <w:rPr>
          <w:rFonts w:ascii="Consolas" w:hAnsi="Consolas"/>
          <w:color w:val="24292E"/>
          <w:sz w:val="18"/>
        </w:rPr>
        <w:t>considerLateAfterHours</w:t>
      </w:r>
      <w:r>
        <w:rPr>
          <w:rFonts w:ascii="Times New Roman" w:hAnsi="Times New Roman"/>
          <w:sz w:val="21"/>
        </w:rPr>
        <w:t xml:space="preserve"> and </w:t>
      </w:r>
      <w:r>
        <w:rPr>
          <w:rFonts w:ascii="Consolas" w:hAnsi="Consolas"/>
          <w:color w:val="24292E"/>
          <w:sz w:val="18"/>
        </w:rPr>
        <w:t>considerMissedAfterHours</w:t>
      </w:r>
      <w:r>
        <w:rPr>
          <w:rFonts w:ascii="Times New Roman" w:hAnsi="Times New Roman"/>
          <w:sz w:val="21"/>
        </w:rPr>
        <w:t>).</w:t>
      </w:r>
    </w:p>
    <w:p>
      <w:pPr>
        <w:spacing w:after="70"/>
        <w:ind w:left="403"/>
        <w:jc w:val="both"/>
      </w:pPr>
      <w:r>
        <w:rPr>
          <w:rFonts w:ascii="Times New Roman" w:hAnsi="Times New Roman"/>
          <w:b/>
          <w:sz w:val="21"/>
        </w:rPr>
        <w:t xml:space="preserve">2. </w:t>
      </w:r>
      <w:r>
        <w:rPr>
          <w:rFonts w:ascii="Times New Roman" w:hAnsi="Times New Roman"/>
          <w:b/>
          <w:sz w:val="21"/>
        </w:rPr>
        <w:t>Medicine Entity (`Medicine`):</w:t>
      </w:r>
      <w:r>
        <w:rPr>
          <w:rFonts w:ascii="Times New Roman" w:hAnsi="Times New Roman"/>
          <w:sz w:val="21"/>
        </w:rPr>
        <w:t xml:space="preserve"> Represents a prescribed pharmaceutical regimen, storing the medication name, strength and physical unit (e.g., "500 mg", "10 ml"), administration instructions (e.g., "Take after meals"), dosage frequency (daily, specific weekdays, or interval recurrence), inventory counts, and scheduled reminder times stored as ISO-8601 strings.</w:t>
      </w:r>
    </w:p>
    <w:p>
      <w:pPr>
        <w:spacing w:after="70"/>
        <w:ind w:left="403"/>
        <w:jc w:val="both"/>
      </w:pPr>
      <w:r>
        <w:rPr>
          <w:rFonts w:ascii="Times New Roman" w:hAnsi="Times New Roman"/>
          <w:b/>
          <w:sz w:val="21"/>
        </w:rPr>
        <w:t xml:space="preserve">3. </w:t>
      </w:r>
      <w:r>
        <w:rPr>
          <w:rFonts w:ascii="Times New Roman" w:hAnsi="Times New Roman"/>
          <w:b/>
          <w:sz w:val="21"/>
        </w:rPr>
        <w:t>Schedule Entry Entity (`ScheduleEntry`):</w:t>
      </w:r>
      <w:r>
        <w:rPr>
          <w:rFonts w:ascii="Times New Roman" w:hAnsi="Times New Roman"/>
          <w:sz w:val="21"/>
        </w:rPr>
        <w:t xml:space="preserve"> Represents an individual discrete dosage instance. Each record maintains a foreign key referencing the parent </w:t>
      </w:r>
      <w:r>
        <w:rPr>
          <w:rFonts w:ascii="Consolas" w:hAnsi="Consolas"/>
          <w:color w:val="24292E"/>
          <w:sz w:val="18"/>
        </w:rPr>
        <w:t>Medicine</w:t>
      </w:r>
      <w:r>
        <w:rPr>
          <w:rFonts w:ascii="Times New Roman" w:hAnsi="Times New Roman"/>
          <w:sz w:val="21"/>
        </w:rPr>
        <w:t xml:space="preserve">, the designated </w:t>
      </w:r>
      <w:r>
        <w:rPr>
          <w:rFonts w:ascii="Consolas" w:hAnsi="Consolas"/>
          <w:color w:val="24292E"/>
          <w:sz w:val="18"/>
        </w:rPr>
        <w:t>scheduledDateTime</w:t>
      </w:r>
      <w:r>
        <w:rPr>
          <w:rFonts w:ascii="Times New Roman" w:hAnsi="Times New Roman"/>
          <w:sz w:val="21"/>
        </w:rPr>
        <w:t xml:space="preserve">, an actual </w:t>
      </w:r>
      <w:r>
        <w:rPr>
          <w:rFonts w:ascii="Consolas" w:hAnsi="Consolas"/>
          <w:color w:val="24292E"/>
          <w:sz w:val="18"/>
        </w:rPr>
        <w:t>takenDateTime</w:t>
      </w:r>
      <w:r>
        <w:rPr>
          <w:rFonts w:ascii="Times New Roman" w:hAnsi="Times New Roman"/>
          <w:sz w:val="21"/>
        </w:rPr>
        <w:t xml:space="preserve"> (if completed), and an adherence status enumeration (</w:t>
      </w:r>
      <w:r>
        <w:rPr>
          <w:rFonts w:ascii="Consolas" w:hAnsi="Consolas"/>
          <w:color w:val="24292E"/>
          <w:sz w:val="18"/>
        </w:rPr>
        <w:t>SCHEDULED</w:t>
      </w:r>
      <w:r>
        <w:rPr>
          <w:rFonts w:ascii="Times New Roman" w:hAnsi="Times New Roman"/>
          <w:sz w:val="21"/>
        </w:rPr>
        <w:t xml:space="preserve">, </w:t>
      </w:r>
      <w:r>
        <w:rPr>
          <w:rFonts w:ascii="Consolas" w:hAnsi="Consolas"/>
          <w:color w:val="24292E"/>
          <w:sz w:val="18"/>
        </w:rPr>
        <w:t>TAKEN</w:t>
      </w:r>
      <w:r>
        <w:rPr>
          <w:rFonts w:ascii="Times New Roman" w:hAnsi="Times New Roman"/>
          <w:sz w:val="21"/>
        </w:rPr>
        <w:t xml:space="preserve">, </w:t>
      </w:r>
      <w:r>
        <w:rPr>
          <w:rFonts w:ascii="Consolas" w:hAnsi="Consolas"/>
          <w:color w:val="24292E"/>
          <w:sz w:val="18"/>
        </w:rPr>
        <w:t>LATE</w:t>
      </w:r>
      <w:r>
        <w:rPr>
          <w:rFonts w:ascii="Times New Roman" w:hAnsi="Times New Roman"/>
          <w:sz w:val="21"/>
        </w:rPr>
        <w:t xml:space="preserve">, </w:t>
      </w:r>
      <w:r>
        <w:rPr>
          <w:rFonts w:ascii="Consolas" w:hAnsi="Consolas"/>
          <w:color w:val="24292E"/>
          <w:sz w:val="18"/>
        </w:rPr>
        <w:t>MISSED</w:t>
      </w:r>
      <w:r>
        <w:rPr>
          <w:rFonts w:ascii="Times New Roman" w:hAnsi="Times New Roman"/>
          <w:sz w:val="21"/>
        </w:rPr>
        <w:t>).</w:t>
      </w:r>
    </w:p>
    <w:p>
      <w:pPr>
        <w:spacing w:after="90"/>
        <w:jc w:val="both"/>
      </w:pPr>
      <w:r>
        <w:rPr>
          <w:rFonts w:ascii="Times New Roman" w:hAnsi="Times New Roman"/>
          <w:sz w:val="21"/>
        </w:rPr>
        <w:t xml:space="preserve">Non-blocking UI rendering is maintained by exposing all database interactions as asynchronous Kotlin Coroutine </w:t>
      </w:r>
      <w:r>
        <w:rPr>
          <w:rFonts w:ascii="Consolas" w:hAnsi="Consolas"/>
          <w:color w:val="24292E"/>
          <w:sz w:val="18"/>
        </w:rPr>
        <w:t>Flow</w:t>
      </w:r>
      <w:r>
        <w:rPr>
          <w:rFonts w:ascii="Times New Roman" w:hAnsi="Times New Roman"/>
          <w:sz w:val="21"/>
        </w:rPr>
        <w:t xml:space="preserve"> primitives through Data Access Objects (DAOs), ensuring that disk I/O occurs strictly off the Android Main thread.</w:t>
      </w:r>
    </w:p>
    <w:p>
      <w:pPr>
        <w:spacing w:after="90"/>
        <w:jc w:val="both"/>
      </w:pPr>
      <w:r>
        <w:rPr>
          <w:rFonts w:ascii="Times New Roman" w:hAnsi="Times New Roman"/>
          <w:sz w:val="21"/>
        </w:rPr>
        <w:t xml:space="preserve">Global application settings, including high-contrast mode toggles, audio alert ringtones, vibration waveforms, and selected locale configurations, are persisted using Jetpack DataStore Preferences. Unlike legacy Android </w:t>
      </w:r>
      <w:r>
        <w:rPr>
          <w:rFonts w:ascii="Consolas" w:hAnsi="Consolas"/>
          <w:color w:val="24292E"/>
          <w:sz w:val="18"/>
        </w:rPr>
        <w:t>SharedPreferences</w:t>
      </w:r>
      <w:r>
        <w:rPr>
          <w:rFonts w:ascii="Times New Roman" w:hAnsi="Times New Roman"/>
          <w:sz w:val="21"/>
        </w:rPr>
        <w:t>, which execute synchronous blocking disk writes on the UI thread and lack transactional safety, DataStore operates entirely via transactional Coroutines, eliminating runtime application freeze risks.</w:t>
      </w:r>
    </w:p>
    <w:p>
      <w:pPr>
        <w:keepNext/>
        <w:spacing w:before="220" w:after="60"/>
      </w:pPr>
      <w:r>
        <w:rPr>
          <w:rFonts w:ascii="Times New Roman" w:hAnsi="Times New Roman"/>
          <w:b/>
          <w:color w:val="1A365D"/>
          <w:sz w:val="23"/>
        </w:rPr>
        <w:t>3.2 Architectural Network Isolation via Manifest Privilege Minimization</w:t>
      </w:r>
    </w:p>
    <w:p>
      <w:pPr>
        <w:spacing w:after="90"/>
        <w:jc w:val="both"/>
      </w:pPr>
      <w:r>
        <w:rPr>
          <w:rFonts w:ascii="Times New Roman" w:hAnsi="Times New Roman"/>
          <w:sz w:val="21"/>
        </w:rPr>
        <w:t xml:space="preserve">Rather than providing software-based privacy toggles or client-side consent banners that can be silently altered or bypassed by background libraries, Dosezy establishes a structural security boundary: </w:t>
      </w:r>
      <w:r>
        <w:rPr>
          <w:rFonts w:ascii="Times New Roman" w:hAnsi="Times New Roman"/>
          <w:i/>
          <w:sz w:val="21"/>
        </w:rPr>
        <w:t>the total omission of the `android.permission.INTERNET` permission from its `AndroidManifest.xml`</w:t>
      </w:r>
      <w:r>
        <w:rPr>
          <w:rFonts w:ascii="Times New Roman" w:hAnsi="Times New Roman"/>
          <w:sz w:val="21"/>
        </w:rPr>
        <w:t>.</w:t>
      </w:r>
    </w:p>
    <w:p>
      <w:pPr>
        <w:spacing w:after="90"/>
        <w:jc w:val="both"/>
      </w:pPr>
      <w:r>
        <w:rPr>
          <w:rFonts w:ascii="Times New Roman" w:hAnsi="Times New Roman"/>
          <w:sz w:val="21"/>
        </w:rPr>
        <w:t>Under the Android security architecture, every application executes in an isolated process mapped to a distinct Linux User Identifier (UID). On modern Android releases, the operating system enforces network access controls through eBPF cgroup socket filters (</w:t>
      </w:r>
      <w:r>
        <w:rPr>
          <w:rFonts w:ascii="Consolas" w:hAnsi="Consolas"/>
          <w:color w:val="24292E"/>
          <w:sz w:val="18"/>
        </w:rPr>
        <w:t>cgroup2</w:t>
      </w:r>
      <w:r>
        <w:rPr>
          <w:rFonts w:ascii="Times New Roman" w:hAnsi="Times New Roman"/>
          <w:sz w:val="21"/>
        </w:rPr>
        <w:t>) managed by the system network daemon (</w:t>
      </w:r>
      <w:r>
        <w:rPr>
          <w:rFonts w:ascii="Consolas" w:hAnsi="Consolas"/>
          <w:color w:val="24292E"/>
          <w:sz w:val="18"/>
        </w:rPr>
        <w:t>netd</w:t>
      </w:r>
      <w:r>
        <w:rPr>
          <w:rFonts w:ascii="Times New Roman" w:hAnsi="Times New Roman"/>
          <w:sz w:val="21"/>
        </w:rPr>
        <w:t xml:space="preserve">) in coordination with SELinux domain policies. When an application attempts to instantiate a network socket (such as </w:t>
      </w:r>
      <w:r>
        <w:rPr>
          <w:rFonts w:ascii="Consolas" w:hAnsi="Consolas"/>
          <w:color w:val="24292E"/>
          <w:sz w:val="18"/>
        </w:rPr>
        <w:t>socket(AF_INET, SOCK_STREAM, 0)</w:t>
      </w:r>
      <w:r>
        <w:rPr>
          <w:rFonts w:ascii="Times New Roman" w:hAnsi="Times New Roman"/>
          <w:sz w:val="21"/>
        </w:rPr>
        <w:t xml:space="preserve">), the kernel verifies whether the calling UID possesses the network permission capability. Because </w:t>
      </w:r>
      <w:r>
        <w:rPr>
          <w:rFonts w:ascii="Consolas" w:hAnsi="Consolas"/>
          <w:color w:val="24292E"/>
          <w:sz w:val="18"/>
        </w:rPr>
        <w:t>android.permission.INTERNET</w:t>
      </w:r>
      <w:r>
        <w:rPr>
          <w:rFonts w:ascii="Times New Roman" w:hAnsi="Times New Roman"/>
          <w:sz w:val="21"/>
        </w:rPr>
        <w:t xml:space="preserve"> is never declared, the Android zygote spawns Dosezy without network capabilities. Consequently, any socket creation attempt is rejected unconditionally at the platform security boundary (raising a </w:t>
      </w:r>
      <w:r>
        <w:rPr>
          <w:rFonts w:ascii="Consolas" w:hAnsi="Consolas"/>
          <w:color w:val="24292E"/>
          <w:sz w:val="18"/>
        </w:rPr>
        <w:t>SecurityException</w:t>
      </w:r>
      <w:r>
        <w:rPr>
          <w:rFonts w:ascii="Times New Roman" w:hAnsi="Times New Roman"/>
          <w:sz w:val="21"/>
        </w:rPr>
        <w:t xml:space="preserve"> at the framework layer or returning an access-denied error at the OS socket filter boundary).</w:t>
      </w:r>
    </w:p>
    <w:p>
      <w:pPr>
        <w:spacing w:after="90"/>
        <w:jc w:val="both"/>
      </w:pPr>
      <w:r>
        <w:rPr>
          <w:rFonts w:ascii="Times New Roman" w:hAnsi="Times New Roman"/>
          <w:sz w:val="21"/>
        </w:rPr>
        <w:t xml:space="preserve">This structural constraint prevents direct network communication and background data egress from within the application's process. However, we explicitly delineate this architectural boundary from complete operating-system isolation: data containment applies to direct socket creation, whereas local Inter-Process Communication (IPC) and user-authorized document exports via </w:t>
      </w:r>
      <w:r>
        <w:rPr>
          <w:rFonts w:ascii="Consolas" w:hAnsi="Consolas"/>
          <w:color w:val="24292E"/>
          <w:sz w:val="18"/>
        </w:rPr>
        <w:t>FileProvider</w:t>
      </w:r>
      <w:r>
        <w:rPr>
          <w:rFonts w:ascii="Times New Roman" w:hAnsi="Times New Roman"/>
          <w:sz w:val="21"/>
        </w:rPr>
        <w:t xml:space="preserve"> content URIs represent intentional, system-mediated data exchange surfaces.</w:t>
      </w:r>
    </w:p>
    <w:p>
      <w:pPr>
        <w:keepNext/>
        <w:spacing w:before="220" w:after="60"/>
      </w:pPr>
      <w:r>
        <w:rPr>
          <w:rFonts w:ascii="Times New Roman" w:hAnsi="Times New Roman"/>
          <w:b/>
          <w:color w:val="1A365D"/>
          <w:sz w:val="23"/>
        </w:rPr>
        <w:t>3.3 Native Vector PDF Patient Summary Generation</w:t>
      </w:r>
    </w:p>
    <w:p>
      <w:pPr>
        <w:spacing w:after="90"/>
        <w:jc w:val="both"/>
      </w:pPr>
      <w:r>
        <w:rPr>
          <w:rFonts w:ascii="Times New Roman" w:hAnsi="Times New Roman"/>
          <w:sz w:val="21"/>
        </w:rPr>
        <w:t xml:space="preserve">Facilitating communication between older patients and clinical practitioners, Dosezy implements an on-device patient medication and adherence summary PDF generator. Relying on cloud document rendering APIs would compromise the platform's network isolation. Therefore, we utilize Android's native </w:t>
      </w:r>
      <w:r>
        <w:rPr>
          <w:rFonts w:ascii="Consolas" w:hAnsi="Consolas"/>
          <w:color w:val="24292E"/>
          <w:sz w:val="18"/>
        </w:rPr>
        <w:t>android.graphics.pdf.PdfDocument</w:t>
      </w:r>
      <w:r>
        <w:rPr>
          <w:rFonts w:ascii="Times New Roman" w:hAnsi="Times New Roman"/>
          <w:sz w:val="21"/>
        </w:rPr>
        <w:t xml:space="preserve"> vector rendering engine.</w:t>
      </w:r>
    </w:p>
    <w:p>
      <w:pPr>
        <w:spacing w:after="90"/>
        <w:jc w:val="both"/>
      </w:pPr>
      <w:r>
        <w:rPr>
          <w:rFonts w:ascii="Times New Roman" w:hAnsi="Times New Roman"/>
          <w:sz w:val="21"/>
        </w:rPr>
        <w:t>When invoked, the report generator queries the Room database to extract the patient profile, active prescription list, and historical dose compliance logs over a 30-day lookback window. The engine measures a standardized A4 canvas (</w:t>
      </w:r>
      <w:r>
        <w:rPr>
          <w:rFonts w:ascii="Cambria Math" w:hAnsi="Cambria Math"/>
          <w:sz w:val="21"/>
        </w:rPr>
        <w:t>595 × 842</w:t>
      </w:r>
      <w:r>
        <w:rPr>
          <w:rFonts w:ascii="Times New Roman" w:hAnsi="Times New Roman"/>
          <w:sz w:val="21"/>
        </w:rPr>
        <w:t xml:space="preserve"> typographic points at </w:t>
      </w:r>
      <w:r>
        <w:rPr>
          <w:rFonts w:ascii="Cambria Math" w:hAnsi="Cambria Math"/>
          <w:sz w:val="21"/>
        </w:rPr>
        <w:t>72 points/inch</w:t>
      </w:r>
      <w:r>
        <w:rPr>
          <w:rFonts w:ascii="Times New Roman" w:hAnsi="Times New Roman"/>
          <w:sz w:val="21"/>
        </w:rPr>
        <w:t xml:space="preserve">) and renders typography, tabular borders, and graphical adherence bars directly using native </w:t>
      </w:r>
      <w:r>
        <w:rPr>
          <w:rFonts w:ascii="Consolas" w:hAnsi="Consolas"/>
          <w:color w:val="24292E"/>
          <w:sz w:val="18"/>
        </w:rPr>
        <w:t>Canvas</w:t>
      </w:r>
      <w:r>
        <w:rPr>
          <w:rFonts w:ascii="Times New Roman" w:hAnsi="Times New Roman"/>
          <w:sz w:val="21"/>
        </w:rPr>
        <w:t xml:space="preserve"> draw commands. Page breaks are computed dynamically based on the number of active medications:</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PageCount = 1 + ⌈ max(0, (N_meds - N_first_page) / N_subseq_page) ⌉</w:t>
            </w:r>
          </w:p>
        </w:tc>
        <w:tc>
          <w:tcPr>
            <w:tcW w:type="dxa" w:w="4680"/>
          </w:tcPr>
          <w:p>
            <w:pPr>
              <w:spacing w:before="80" w:after="80"/>
              <w:jc w:val="right"/>
            </w:pPr>
            <w:r>
              <w:rPr>
                <w:rFonts w:ascii="Times New Roman" w:hAnsi="Times New Roman"/>
                <w:color w:val="4A5568"/>
                <w:sz w:val="21"/>
              </w:rPr>
              <w:t>(2)</w:t>
            </w:r>
          </w:p>
        </w:tc>
      </w:tr>
    </w:tbl>
    <w:p>
      <w:pPr>
        <w:spacing w:before="0" w:after="80"/>
      </w:pPr>
    </w:p>
    <w:p>
      <w:pPr>
        <w:spacing w:after="90"/>
        <w:jc w:val="both"/>
      </w:pPr>
      <w:r>
        <w:rPr>
          <w:rFonts w:ascii="Times New Roman" w:hAnsi="Times New Roman"/>
          <w:sz w:val="21"/>
        </w:rPr>
        <w:t xml:space="preserve">The generated vector PDF is written directly to the application's private storage or exposed to the system share sheet via a secure </w:t>
      </w:r>
      <w:r>
        <w:rPr>
          <w:rFonts w:ascii="Consolas" w:hAnsi="Consolas"/>
          <w:color w:val="24292E"/>
          <w:sz w:val="18"/>
        </w:rPr>
        <w:t>FileProvider</w:t>
      </w:r>
      <w:r>
        <w:rPr>
          <w:rFonts w:ascii="Times New Roman" w:hAnsi="Times New Roman"/>
          <w:sz w:val="21"/>
        </w:rPr>
        <w:t xml:space="preserve"> content URI, allowing the patient to print the summary over a local USB/Wi-Fi direct printer or present it during clinical consultations.</w:t>
      </w:r>
    </w:p>
    <w:p>
      <w:pPr>
        <w:keepNext/>
        <w:spacing w:before="280" w:after="80"/>
      </w:pPr>
      <w:r>
        <w:rPr>
          <w:rFonts w:ascii="Times New Roman" w:hAnsi="Times New Roman"/>
          <w:b/>
          <w:color w:val="102C57"/>
          <w:sz w:val="27"/>
        </w:rPr>
        <w:t>4. Accessibility-Centric Interaction Design</w:t>
      </w:r>
    </w:p>
    <w:p>
      <w:pPr>
        <w:keepNext/>
        <w:spacing w:before="220" w:after="60"/>
      </w:pPr>
      <w:r>
        <w:rPr>
          <w:rFonts w:ascii="Times New Roman" w:hAnsi="Times New Roman"/>
          <w:b/>
          <w:color w:val="1A365D"/>
          <w:sz w:val="23"/>
        </w:rPr>
        <w:t>4.1 The 12-Hour Grid Time Picker and the Modal-First Principle</w:t>
      </w:r>
    </w:p>
    <w:p>
      <w:pPr>
        <w:spacing w:after="90"/>
        <w:jc w:val="both"/>
      </w:pPr>
      <w:r>
        <w:rPr>
          <w:rFonts w:ascii="Times New Roman" w:hAnsi="Times New Roman"/>
          <w:sz w:val="21"/>
        </w:rPr>
        <w:t>Configuring medication reminder times constitutes the primary data-entry task within an adherence tracking application. Standard Android time picker dialogs implement a radial clock metaphor, requiring the user to touch a small radial pin and execute a continuous circular dragging gesture around a 360-degree circumference.</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diagram_adherence_state_machine.png"/>
                    <pic:cNvPicPr/>
                  </pic:nvPicPr>
                  <pic:blipFill>
                    <a:blip r:embed="rId12"/>
                    <a:stretch>
                      <a:fillRect/>
                    </a:stretch>
                  </pic:blipFill>
                  <pic:spPr>
                    <a:xfrm>
                      <a:off x="0" y="0"/>
                      <a:ext cx="5303520" cy="2651760"/>
                    </a:xfrm>
                    <a:prstGeom prst="rect"/>
                  </pic:spPr>
                </pic:pic>
              </a:graphicData>
            </a:graphic>
          </wp:inline>
        </w:drawing>
      </w:r>
    </w:p>
    <w:p>
      <w:pPr>
        <w:spacing w:before="40" w:after="160"/>
        <w:jc w:val="center"/>
      </w:pPr>
      <w:r>
        <w:rPr>
          <w:rFonts w:ascii="Times New Roman" w:hAnsi="Times New Roman"/>
          <w:i/>
          <w:color w:val="4A5568"/>
          <w:sz w:val="19"/>
        </w:rPr>
        <w:t>Figure 2: Four-state adherence tracking state machine</w:t>
      </w:r>
    </w:p>
    <w:p>
      <w:pPr>
        <w:keepNext/>
        <w:spacing w:before="160" w:after="60"/>
      </w:pPr>
      <w:r>
        <w:rPr>
          <w:rFonts w:ascii="Times New Roman" w:hAnsi="Times New Roman"/>
          <w:b/>
          <w:color w:val="2D3748"/>
          <w:sz w:val="21"/>
        </w:rPr>
        <w:t>Design Principle: The Granularity-Friction Trade-off in Geriatric Time Input (The "Modal-First" Principle)</w:t>
      </w:r>
    </w:p>
    <w:p>
      <w:pPr>
        <w:spacing w:after="90"/>
        <w:jc w:val="both"/>
      </w:pPr>
      <w:r>
        <w:rPr>
          <w:rFonts w:ascii="Times New Roman" w:hAnsi="Times New Roman"/>
          <w:sz w:val="21"/>
        </w:rPr>
        <w:t>Temporal entry interfaces for older adults should employ a two-tier input hierarchy:</w:t>
      </w:r>
    </w:p>
    <w:p>
      <w:pPr>
        <w:spacing w:after="70"/>
        <w:ind w:left="403"/>
        <w:jc w:val="both"/>
      </w:pPr>
      <w:r>
        <w:rPr>
          <w:rFonts w:ascii="Times New Roman" w:hAnsi="Times New Roman"/>
          <w:b/>
          <w:sz w:val="21"/>
        </w:rPr>
        <w:t xml:space="preserve">1. </w:t>
      </w:r>
      <w:r>
        <w:rPr>
          <w:rFonts w:ascii="Times New Roman" w:hAnsi="Times New Roman"/>
          <w:b/>
          <w:sz w:val="21"/>
        </w:rPr>
        <w:t>Primary Tier (Modal Interval Selection):</w:t>
      </w:r>
      <w:r>
        <w:rPr>
          <w:rFonts w:ascii="Times New Roman" w:hAnsi="Times New Roman"/>
          <w:sz w:val="21"/>
        </w:rPr>
        <w:t xml:space="preserve"> Oversized stationary discrete targets for high-frequency modal intervals (e.g., :00, :15, :30, :45, capturing </w:t>
      </w:r>
      <w:r>
        <w:rPr>
          <w:rFonts w:ascii="Cambria Math" w:hAnsi="Cambria Math"/>
          <w:sz w:val="21"/>
        </w:rPr>
        <w:t>&gt;90%</w:t>
      </w:r>
      <w:r>
        <w:rPr>
          <w:rFonts w:ascii="Times New Roman" w:hAnsi="Times New Roman"/>
          <w:sz w:val="21"/>
        </w:rPr>
        <w:t xml:space="preserve"> of clinical regimens), bounding motor complexity to 2–3 stationary taps.</w:t>
      </w:r>
    </w:p>
    <w:p>
      <w:pPr>
        <w:spacing w:after="70"/>
        <w:ind w:left="403"/>
        <w:jc w:val="both"/>
      </w:pPr>
      <w:r>
        <w:rPr>
          <w:rFonts w:ascii="Times New Roman" w:hAnsi="Times New Roman"/>
          <w:b/>
          <w:sz w:val="21"/>
        </w:rPr>
        <w:t xml:space="preserve">2. </w:t>
      </w:r>
      <w:r>
        <w:rPr>
          <w:rFonts w:ascii="Times New Roman" w:hAnsi="Times New Roman"/>
          <w:b/>
          <w:sz w:val="21"/>
        </w:rPr>
        <w:t>Secondary Tier (Non-Modal Fine Adjustment):</w:t>
      </w:r>
      <w:r>
        <w:rPr>
          <w:rFonts w:ascii="Times New Roman" w:hAnsi="Times New Roman"/>
          <w:sz w:val="21"/>
        </w:rPr>
        <w:t xml:space="preserve"> Bounded linear stepping or hybrid numeric keypad entry for non-modal arbitrary minutes, trading linear tap overhead for the complete elimination of continuous circular trajectory steering errors.</w:t>
      </w:r>
    </w:p>
    <w:p>
      <w:pPr>
        <w:spacing w:after="90"/>
        <w:jc w:val="both"/>
      </w:pPr>
      <w:r>
        <w:rPr>
          <w:rFonts w:ascii="Times New Roman" w:hAnsi="Times New Roman"/>
          <w:sz w:val="21"/>
        </w:rPr>
        <w:t xml:space="preserve">Guided by this principle, the </w:t>
      </w:r>
      <w:r>
        <w:rPr>
          <w:rFonts w:ascii="Times New Roman" w:hAnsi="Times New Roman"/>
          <w:i/>
          <w:sz w:val="21"/>
        </w:rPr>
        <w:t>12-Hour Grid Time Picker</w:t>
      </w:r>
      <w:r>
        <w:rPr>
          <w:rFonts w:ascii="Times New Roman" w:hAnsi="Times New Roman"/>
          <w:sz w:val="21"/>
        </w:rPr>
        <w:t xml:space="preserve"> implements the following human factors affordances:</w:t>
      </w:r>
    </w:p>
    <w:p>
      <w:pPr>
        <w:spacing w:after="70"/>
        <w:ind w:left="403"/>
        <w:jc w:val="both"/>
      </w:pPr>
      <w:r>
        <w:rPr>
          <w:rFonts w:ascii="Times New Roman" w:hAnsi="Times New Roman"/>
          <w:b/>
          <w:sz w:val="21"/>
        </w:rPr>
        <w:t xml:space="preserve">1. </w:t>
      </w:r>
      <w:r>
        <w:rPr>
          <w:rFonts w:ascii="Times New Roman" w:hAnsi="Times New Roman"/>
          <w:b/>
          <w:sz w:val="21"/>
        </w:rPr>
        <w:t>12-First Numerical Grid:</w:t>
      </w:r>
      <w:r>
        <w:rPr>
          <w:rFonts w:ascii="Times New Roman" w:hAnsi="Times New Roman"/>
          <w:sz w:val="21"/>
        </w:rPr>
        <w:t xml:space="preserve"> Older adults routinely conceptualize clock hours starting at 12 rather than 1. Standard digital grids that place 1 at the top-left force users to visually search for the 12 position. Our interface arranges hours in a </w:t>
      </w:r>
      <w:r>
        <w:rPr>
          <w:rFonts w:ascii="Cambria Math" w:hAnsi="Cambria Math"/>
          <w:sz w:val="21"/>
        </w:rPr>
        <w:t>4 × 3</w:t>
      </w:r>
      <w:r>
        <w:rPr>
          <w:rFonts w:ascii="Times New Roman" w:hAnsi="Times New Roman"/>
          <w:sz w:val="21"/>
        </w:rPr>
        <w:t xml:space="preserve"> grid with 12 positioned prominently at the top-left index, followed sequentially by 1 through 11:</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Grid Layout = [  12    1    2    3  ;   4    5    6    7  ;   8    9   10   11  ]</w:t>
            </w:r>
          </w:p>
        </w:tc>
        <w:tc>
          <w:tcPr>
            <w:tcW w:type="dxa" w:w="4680"/>
          </w:tcPr>
          <w:p>
            <w:pPr>
              <w:spacing w:before="80" w:after="80"/>
              <w:jc w:val="right"/>
            </w:pPr>
            <w:r>
              <w:rPr>
                <w:rFonts w:ascii="Times New Roman" w:hAnsi="Times New Roman"/>
                <w:color w:val="4A5568"/>
                <w:sz w:val="21"/>
              </w:rPr>
              <w:t>(3)</w:t>
            </w:r>
          </w:p>
        </w:tc>
      </w:tr>
    </w:tbl>
    <w:p>
      <w:pPr>
        <w:spacing w:before="0" w:after="80"/>
      </w:pPr>
    </w:p>
    <w:p>
      <w:pPr>
        <w:spacing w:after="70"/>
        <w:ind w:left="403"/>
        <w:jc w:val="both"/>
      </w:pPr>
      <w:r>
        <w:rPr>
          <w:rFonts w:ascii="Times New Roman" w:hAnsi="Times New Roman"/>
          <w:b/>
          <w:sz w:val="21"/>
        </w:rPr>
        <w:t xml:space="preserve">2. </w:t>
      </w:r>
      <w:r>
        <w:rPr>
          <w:rFonts w:ascii="Times New Roman" w:hAnsi="Times New Roman"/>
          <w:b/>
          <w:sz w:val="21"/>
        </w:rPr>
        <w:t>Oversized Stationary Touch Targets:</w:t>
      </w:r>
      <w:r>
        <w:rPr>
          <w:rFonts w:ascii="Times New Roman" w:hAnsi="Times New Roman"/>
          <w:sz w:val="21"/>
        </w:rPr>
        <w:t xml:space="preserve"> Every individual hour button is rendered with an explicit visual bounding box measuring </w:t>
      </w:r>
      <w:r>
        <w:rPr>
          <w:rFonts w:ascii="Cambria Math" w:hAnsi="Cambria Math"/>
          <w:sz w:val="21"/>
        </w:rPr>
        <w:t>56 × 56 dp</w:t>
      </w:r>
      <w:r>
        <w:rPr>
          <w:rFonts w:ascii="Times New Roman" w:hAnsi="Times New Roman"/>
          <w:sz w:val="21"/>
        </w:rPr>
        <w:t xml:space="preserve">. This substantially exceeds the standard Android </w:t>
      </w:r>
      <w:r>
        <w:rPr>
          <w:rFonts w:ascii="Cambria Math" w:hAnsi="Cambria Math"/>
          <w:sz w:val="21"/>
        </w:rPr>
        <w:t>48 × 48 dp</w:t>
      </w:r>
      <w:r>
        <w:rPr>
          <w:rFonts w:ascii="Times New Roman" w:hAnsi="Times New Roman"/>
          <w:sz w:val="21"/>
        </w:rPr>
        <w:t xml:space="preserve"> touch target guideline and WCAG 2.1 Level AAA target criteria (</w:t>
      </w:r>
      <w:r>
        <w:rPr>
          <w:rFonts w:ascii="Cambria Math" w:hAnsi="Cambria Math"/>
          <w:sz w:val="21"/>
        </w:rPr>
        <w:t>44 × 44 pt</w:t>
      </w:r>
      <w:r>
        <w:rPr>
          <w:rFonts w:ascii="Times New Roman" w:hAnsi="Times New Roman"/>
          <w:sz w:val="21"/>
        </w:rPr>
        <w:t xml:space="preserve">) [17]. Buttons are separated by </w:t>
      </w:r>
      <w:r>
        <w:rPr>
          <w:rFonts w:ascii="Cambria Math" w:hAnsi="Cambria Math"/>
          <w:sz w:val="21"/>
        </w:rPr>
        <w:t>6 dp</w:t>
      </w:r>
      <w:r>
        <w:rPr>
          <w:rFonts w:ascii="Times New Roman" w:hAnsi="Times New Roman"/>
          <w:sz w:val="21"/>
        </w:rPr>
        <w:t xml:space="preserve"> gutters, creating a physical buffer that prevents accidental neighboring touches caused by tremor or flattened finger pads [10].</w:t>
      </w:r>
    </w:p>
    <w:p>
      <w:pPr>
        <w:spacing w:after="70"/>
        <w:ind w:left="403"/>
        <w:jc w:val="both"/>
      </w:pPr>
      <w:r>
        <w:rPr>
          <w:rFonts w:ascii="Times New Roman" w:hAnsi="Times New Roman"/>
          <w:b/>
          <w:sz w:val="21"/>
        </w:rPr>
        <w:t xml:space="preserve">3. </w:t>
      </w:r>
      <w:r>
        <w:rPr>
          <w:rFonts w:ascii="Times New Roman" w:hAnsi="Times New Roman"/>
          <w:b/>
          <w:sz w:val="21"/>
        </w:rPr>
        <w:t>Discrete AM/PM Mode Segmented Chips:</w:t>
      </w:r>
      <w:r>
        <w:rPr>
          <w:rFonts w:ascii="Times New Roman" w:hAnsi="Times New Roman"/>
          <w:sz w:val="21"/>
        </w:rPr>
        <w:t xml:space="preserve"> The dialog prominently separates morning and afternoon regimens using two large segmented chips (</w:t>
      </w:r>
      <w:r>
        <w:rPr>
          <w:rFonts w:ascii="Cambria Math" w:hAnsi="Cambria Math"/>
          <w:sz w:val="21"/>
        </w:rPr>
        <w:t>56 dp</w:t>
      </w:r>
      <w:r>
        <w:rPr>
          <w:rFonts w:ascii="Times New Roman" w:hAnsi="Times New Roman"/>
          <w:sz w:val="21"/>
        </w:rPr>
        <w:t xml:space="preserve"> height) anchored at the top of the dialog. Tapping AM or PM immediately updates the underlying 24-hour domain representation without requiring mental arithmetic (e.g., translating 8:00 PM to 20:00).</w:t>
      </w:r>
    </w:p>
    <w:p>
      <w:pPr>
        <w:spacing w:after="70"/>
        <w:ind w:left="403"/>
        <w:jc w:val="both"/>
      </w:pPr>
      <w:r>
        <w:rPr>
          <w:rFonts w:ascii="Times New Roman" w:hAnsi="Times New Roman"/>
          <w:b/>
          <w:sz w:val="21"/>
        </w:rPr>
        <w:t xml:space="preserve">4. </w:t>
      </w:r>
      <w:r>
        <w:rPr>
          <w:rFonts w:ascii="Times New Roman" w:hAnsi="Times New Roman"/>
          <w:b/>
          <w:sz w:val="21"/>
        </w:rPr>
        <w:t>Preset Minute Quick-Chips with Fine Adjustment Stepper:</w:t>
      </w:r>
      <w:r>
        <w:rPr>
          <w:rFonts w:ascii="Times New Roman" w:hAnsi="Times New Roman"/>
          <w:sz w:val="21"/>
        </w:rPr>
        <w:t xml:space="preserve"> Extensive clinical pharmacotherapy literature indicates that the vast majority of outpatient medication regimens are scheduled at quarters of the hour (e.g., 8:00 AM, 12:30 PM, 9:00 PM). Dosezy provides four discrete quick-select chips: </w:t>
      </w:r>
      <w:r>
        <w:rPr>
          <w:rFonts w:ascii="Consolas" w:hAnsi="Consolas"/>
          <w:color w:val="24292E"/>
          <w:sz w:val="18"/>
        </w:rPr>
        <w:t>:00</w:t>
      </w:r>
      <w:r>
        <w:rPr>
          <w:rFonts w:ascii="Times New Roman" w:hAnsi="Times New Roman"/>
          <w:sz w:val="21"/>
        </w:rPr>
        <w:t xml:space="preserve">, </w:t>
      </w:r>
      <w:r>
        <w:rPr>
          <w:rFonts w:ascii="Consolas" w:hAnsi="Consolas"/>
          <w:color w:val="24292E"/>
          <w:sz w:val="18"/>
        </w:rPr>
        <w:t>:15</w:t>
      </w:r>
      <w:r>
        <w:rPr>
          <w:rFonts w:ascii="Times New Roman" w:hAnsi="Times New Roman"/>
          <w:sz w:val="21"/>
        </w:rPr>
        <w:t xml:space="preserve">, </w:t>
      </w:r>
      <w:r>
        <w:rPr>
          <w:rFonts w:ascii="Consolas" w:hAnsi="Consolas"/>
          <w:color w:val="24292E"/>
          <w:sz w:val="18"/>
        </w:rPr>
        <w:t>:30</w:t>
      </w:r>
      <w:r>
        <w:rPr>
          <w:rFonts w:ascii="Times New Roman" w:hAnsi="Times New Roman"/>
          <w:sz w:val="21"/>
        </w:rPr>
        <w:t xml:space="preserve">, and </w:t>
      </w:r>
      <w:r>
        <w:rPr>
          <w:rFonts w:ascii="Consolas" w:hAnsi="Consolas"/>
          <w:color w:val="24292E"/>
          <w:sz w:val="18"/>
        </w:rPr>
        <w:t>:45</w:t>
      </w:r>
      <w:r>
        <w:rPr>
          <w:rFonts w:ascii="Times New Roman" w:hAnsi="Times New Roman"/>
          <w:sz w:val="21"/>
        </w:rPr>
        <w:t xml:space="preserve">. Because the interface pre-selects the </w:t>
      </w:r>
      <w:r>
        <w:rPr>
          <w:rFonts w:ascii="Consolas" w:hAnsi="Consolas"/>
          <w:color w:val="24292E"/>
          <w:sz w:val="18"/>
        </w:rPr>
        <w:t>:00</w:t>
      </w:r>
      <w:r>
        <w:rPr>
          <w:rFonts w:ascii="Times New Roman" w:hAnsi="Times New Roman"/>
          <w:sz w:val="21"/>
        </w:rPr>
        <w:t xml:space="preserve"> minute chip and defaults to the current diurnal period (e.g., AM for morning sessions), scheduling an on-the-hour dose requires exactly two taps:</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Modal Taps = Tap(Hour) + Tap(OK) = 2 taps</w:t>
            </w:r>
          </w:p>
        </w:tc>
        <w:tc>
          <w:tcPr>
            <w:tcW w:type="dxa" w:w="4680"/>
          </w:tcPr>
          <w:p>
            <w:pPr>
              <w:spacing w:before="80" w:after="80"/>
              <w:jc w:val="right"/>
            </w:pPr>
            <w:r>
              <w:rPr>
                <w:rFonts w:ascii="Times New Roman" w:hAnsi="Times New Roman"/>
                <w:color w:val="4A5568"/>
                <w:sz w:val="21"/>
              </w:rPr>
              <w:t>(4)</w:t>
            </w:r>
          </w:p>
        </w:tc>
      </w:tr>
    </w:tbl>
    <w:p>
      <w:pPr>
        <w:spacing w:before="0" w:after="80"/>
      </w:pPr>
    </w:p>
    <w:p>
      <w:pPr>
        <w:spacing w:after="90"/>
        <w:jc w:val="both"/>
      </w:pPr>
      <w:r>
        <w:rPr>
          <w:rFonts w:ascii="Times New Roman" w:hAnsi="Times New Roman"/>
          <w:sz w:val="21"/>
        </w:rPr>
        <w:t xml:space="preserve">   If the diurnal period must be toggled, three taps are required (</w:t>
      </w:r>
      <w:r>
        <w:rPr>
          <w:rFonts w:ascii="Cambria Math" w:hAnsi="Cambria Math"/>
          <w:sz w:val="21"/>
        </w:rPr>
        <w:t>Tap(AM/PM) + Tap(Hour) + Tap(OK)</w:t>
      </w:r>
      <w:r>
        <w:rPr>
          <w:rFonts w:ascii="Times New Roman" w:hAnsi="Times New Roman"/>
          <w:sz w:val="21"/>
        </w:rPr>
        <w:t xml:space="preserve">). Irregular prescriptions (such as 9:42 PM) are accommodated via an accessible slider accompanied by a plus/minus stepper positioned below the chips. Although the stepper requires additional discrete taps (e.g., selecting </w:t>
      </w:r>
      <w:r>
        <w:rPr>
          <w:rFonts w:ascii="Consolas" w:hAnsi="Consolas"/>
          <w:color w:val="24292E"/>
          <w:sz w:val="18"/>
        </w:rPr>
        <w:t>:45</w:t>
      </w:r>
      <w:r>
        <w:rPr>
          <w:rFonts w:ascii="Times New Roman" w:hAnsi="Times New Roman"/>
          <w:sz w:val="21"/>
        </w:rPr>
        <w:t xml:space="preserve"> and tapping the minus stepper three times), it completely avoids the continuous trajectory steering failures that plague radial clock pickers.</w:t>
      </w:r>
    </w:p>
    <w:p>
      <w:pPr>
        <w:keepNext/>
        <w:spacing w:before="220" w:after="60"/>
      </w:pPr>
      <w:r>
        <w:rPr>
          <w:rFonts w:ascii="Times New Roman" w:hAnsi="Times New Roman"/>
          <w:b/>
          <w:color w:val="1A365D"/>
          <w:sz w:val="23"/>
        </w:rPr>
        <w:t>4.2 Visual Accessibility and Dynamic Typography</w:t>
      </w:r>
    </w:p>
    <w:p>
      <w:pPr>
        <w:spacing w:after="90"/>
        <w:jc w:val="both"/>
      </w:pPr>
      <w:r>
        <w:rPr>
          <w:rFonts w:ascii="Times New Roman" w:hAnsi="Times New Roman"/>
          <w:sz w:val="21"/>
        </w:rPr>
        <w:t>Age-related lens yellowing and pupillary miosis reduce retinal illumination and degrade visual contrast sensitivity in older adults [7]. Dosezy implements a high-contrast visual palette pairing Deep Navy primary typography (</w:t>
      </w:r>
      <w:r>
        <w:rPr>
          <w:rFonts w:ascii="Consolas" w:hAnsi="Consolas"/>
          <w:color w:val="24292E"/>
          <w:sz w:val="18"/>
        </w:rPr>
        <w:t>#102C57</w:t>
      </w:r>
      <w:r>
        <w:rPr>
          <w:rFonts w:ascii="Times New Roman" w:hAnsi="Times New Roman"/>
          <w:sz w:val="21"/>
        </w:rPr>
        <w:t>) against a pure white container background (</w:t>
      </w:r>
      <w:r>
        <w:rPr>
          <w:rFonts w:ascii="Consolas" w:hAnsi="Consolas"/>
          <w:color w:val="24292E"/>
          <w:sz w:val="18"/>
        </w:rPr>
        <w:t>#FFFFFF</w:t>
      </w:r>
      <w:r>
        <w:rPr>
          <w:rFonts w:ascii="Times New Roman" w:hAnsi="Times New Roman"/>
          <w:sz w:val="21"/>
        </w:rPr>
        <w:t>). The calculated relative luminance (</w:t>
      </w:r>
      <w:r>
        <w:rPr>
          <w:rFonts w:ascii="Cambria Math" w:hAnsi="Cambria Math"/>
          <w:i/>
          <w:sz w:val="21"/>
        </w:rPr>
        <w:t>L</w:t>
      </w:r>
      <w:r>
        <w:rPr>
          <w:rFonts w:ascii="Times New Roman" w:hAnsi="Times New Roman"/>
          <w:sz w:val="21"/>
        </w:rPr>
        <w:t>) and contrast ratio (</w:t>
      </w:r>
      <w:r>
        <w:rPr>
          <w:rFonts w:ascii="Cambria Math" w:hAnsi="Cambria Math"/>
          <w:i/>
          <w:sz w:val="21"/>
        </w:rPr>
        <w:t>CR</w:t>
      </w:r>
      <w:r>
        <w:rPr>
          <w:rFonts w:ascii="Times New Roman" w:hAnsi="Times New Roman"/>
          <w:sz w:val="21"/>
        </w:rPr>
        <w:t>) are defined by:</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CR = (L_lighter + 0.05) / (L_darker + 0.05)</w:t>
            </w:r>
          </w:p>
        </w:tc>
        <w:tc>
          <w:tcPr>
            <w:tcW w:type="dxa" w:w="4680"/>
          </w:tcPr>
          <w:p>
            <w:pPr>
              <w:spacing w:before="80" w:after="80"/>
              <w:jc w:val="right"/>
            </w:pPr>
            <w:r>
              <w:rPr>
                <w:rFonts w:ascii="Times New Roman" w:hAnsi="Times New Roman"/>
                <w:color w:val="4A5568"/>
                <w:sz w:val="21"/>
              </w:rPr>
              <w:t>(5)</w:t>
            </w:r>
          </w:p>
        </w:tc>
      </w:tr>
    </w:tbl>
    <w:p>
      <w:pPr>
        <w:spacing w:before="0" w:after="80"/>
      </w:pPr>
    </w:p>
    <w:p>
      <w:pPr>
        <w:spacing w:after="90"/>
        <w:jc w:val="both"/>
      </w:pPr>
      <w:r>
        <w:rPr>
          <w:rFonts w:ascii="Times New Roman" w:hAnsi="Times New Roman"/>
          <w:sz w:val="21"/>
        </w:rPr>
        <w:t xml:space="preserve">For our primary color pair, </w:t>
      </w:r>
      <w:r>
        <w:rPr>
          <w:rFonts w:ascii="Cambria Math" w:hAnsi="Cambria Math"/>
          <w:sz w:val="21"/>
        </w:rPr>
        <w:t>L_{white} = 1.0</w:t>
      </w:r>
      <w:r>
        <w:rPr>
          <w:rFonts w:ascii="Times New Roman" w:hAnsi="Times New Roman"/>
          <w:sz w:val="21"/>
        </w:rPr>
        <w:t xml:space="preserve"> and </w:t>
      </w:r>
      <w:r>
        <w:rPr>
          <w:rFonts w:ascii="Cambria Math" w:hAnsi="Cambria Math"/>
          <w:sz w:val="21"/>
        </w:rPr>
        <w:t>L_{navy} = 0.084</w:t>
      </w:r>
      <w:r>
        <w:rPr>
          <w:rFonts w:ascii="Times New Roman" w:hAnsi="Times New Roman"/>
          <w:sz w:val="21"/>
        </w:rPr>
        <w:t>, yielding a contrast ratio of:</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CR = (1.0 + 0.05) / (0.084 + 0.05) = 1.05 / 0.134 ≈ 7.84:1</w:t>
            </w:r>
          </w:p>
        </w:tc>
        <w:tc>
          <w:tcPr>
            <w:tcW w:type="dxa" w:w="4680"/>
          </w:tcPr>
          <w:p>
            <w:pPr>
              <w:spacing w:before="80" w:after="80"/>
              <w:jc w:val="right"/>
            </w:pPr>
            <w:r>
              <w:rPr>
                <w:rFonts w:ascii="Times New Roman" w:hAnsi="Times New Roman"/>
                <w:color w:val="4A5568"/>
                <w:sz w:val="21"/>
              </w:rPr>
              <w:t>(6)</w:t>
            </w:r>
          </w:p>
        </w:tc>
      </w:tr>
    </w:tbl>
    <w:p>
      <w:pPr>
        <w:spacing w:before="0" w:after="80"/>
      </w:pPr>
    </w:p>
    <w:p>
      <w:pPr>
        <w:spacing w:after="90"/>
        <w:jc w:val="both"/>
      </w:pPr>
      <w:r>
        <w:rPr>
          <w:rFonts w:ascii="Times New Roman" w:hAnsi="Times New Roman"/>
          <w:sz w:val="21"/>
        </w:rPr>
        <w:t xml:space="preserve">This exceeds the stringent </w:t>
      </w:r>
      <w:r>
        <w:rPr>
          <w:rFonts w:ascii="Cambria Math" w:hAnsi="Cambria Math"/>
          <w:sz w:val="21"/>
        </w:rPr>
        <w:t>7.0:1</w:t>
      </w:r>
      <w:r>
        <w:rPr>
          <w:rFonts w:ascii="Times New Roman" w:hAnsi="Times New Roman"/>
          <w:sz w:val="21"/>
        </w:rPr>
        <w:t xml:space="preserve"> contrast ratio mandated by WCAG 2.1 Level AAA for normal text [17].</w:t>
      </w:r>
    </w:p>
    <w:p>
      <w:pPr>
        <w:spacing w:after="90"/>
        <w:jc w:val="both"/>
      </w:pPr>
      <w:r>
        <w:rPr>
          <w:rFonts w:ascii="Times New Roman" w:hAnsi="Times New Roman"/>
          <w:sz w:val="21"/>
        </w:rPr>
        <w:t>All UI text dimensions are specified exclusively in scalable pixels (</w:t>
      </w:r>
      <w:r>
        <w:rPr>
          <w:rFonts w:ascii="Consolas" w:hAnsi="Consolas"/>
          <w:color w:val="24292E"/>
          <w:sz w:val="18"/>
        </w:rPr>
        <w:t>sp</w:t>
      </w:r>
      <w:r>
        <w:rPr>
          <w:rFonts w:ascii="Times New Roman" w:hAnsi="Times New Roman"/>
          <w:sz w:val="21"/>
        </w:rPr>
        <w:t xml:space="preserve">) and wrapped in Jetpack Compose dynamic layout containers. The layouts are engineered and stress-tested to support system-wide font scaling up to </w:t>
      </w:r>
      <w:r>
        <w:rPr>
          <w:rFonts w:ascii="Cambria Math" w:hAnsi="Cambria Math"/>
          <w:sz w:val="21"/>
        </w:rPr>
        <w:t>200%</w:t>
      </w:r>
      <w:r>
        <w:rPr>
          <w:rFonts w:ascii="Times New Roman" w:hAnsi="Times New Roman"/>
          <w:sz w:val="21"/>
        </w:rPr>
        <w:t xml:space="preserve"> without text clipping, horizontal truncation, or overlapping tap targets.</w:t>
      </w:r>
    </w:p>
    <w:p>
      <w:pPr>
        <w:keepNext/>
        <w:spacing w:before="220" w:after="60"/>
      </w:pPr>
      <w:r>
        <w:rPr>
          <w:rFonts w:ascii="Times New Roman" w:hAnsi="Times New Roman"/>
          <w:b/>
          <w:color w:val="1A365D"/>
          <w:sz w:val="23"/>
        </w:rPr>
        <w:t>4.3 Adherence State Machine and Metric Tracking</w:t>
      </w:r>
    </w:p>
    <w:p>
      <w:pPr>
        <w:spacing w:after="90"/>
        <w:jc w:val="both"/>
      </w:pPr>
      <w:r>
        <w:rPr>
          <w:rFonts w:ascii="Times New Roman" w:hAnsi="Times New Roman"/>
          <w:sz w:val="21"/>
        </w:rPr>
        <w:t>Each scheduled dose record progresses through a four-state finite state machine (Figure 2):</w:t>
      </w:r>
    </w:p>
    <w:p>
      <w:pPr>
        <w:spacing w:after="70"/>
        <w:ind w:left="403"/>
        <w:jc w:val="both"/>
      </w:pPr>
      <w:r>
        <w:rPr>
          <w:rFonts w:ascii="Times New Roman" w:hAnsi="Times New Roman"/>
          <w:b/>
          <w:sz w:val="21"/>
        </w:rPr>
        <w:t xml:space="preserve">•  </w:t>
      </w:r>
      <w:r>
        <w:rPr>
          <w:rFonts w:ascii="Times New Roman" w:hAnsi="Times New Roman"/>
          <w:b/>
          <w:sz w:val="21"/>
        </w:rPr>
        <w:t>`SCHEDULED` (Blue):</w:t>
      </w:r>
      <w:r>
        <w:rPr>
          <w:rFonts w:ascii="Times New Roman" w:hAnsi="Times New Roman"/>
          <w:sz w:val="21"/>
        </w:rPr>
        <w:t xml:space="preserve"> Active dose waiting within its upcoming intake window.</w:t>
      </w:r>
    </w:p>
    <w:p>
      <w:pPr>
        <w:spacing w:after="70"/>
        <w:ind w:left="403"/>
        <w:jc w:val="both"/>
      </w:pPr>
      <w:r>
        <w:rPr>
          <w:rFonts w:ascii="Times New Roman" w:hAnsi="Times New Roman"/>
          <w:b/>
          <w:sz w:val="21"/>
        </w:rPr>
        <w:t xml:space="preserve">•  </w:t>
      </w:r>
      <w:r>
        <w:rPr>
          <w:rFonts w:ascii="Times New Roman" w:hAnsi="Times New Roman"/>
          <w:b/>
          <w:sz w:val="21"/>
        </w:rPr>
        <w:t>`TAKEN` (Green):</w:t>
      </w:r>
      <w:r>
        <w:rPr>
          <w:rFonts w:ascii="Times New Roman" w:hAnsi="Times New Roman"/>
          <w:sz w:val="21"/>
        </w:rPr>
        <w:t xml:space="preserve"> Confirmed dose logged by the patient or caregiver upon intake.</w:t>
      </w:r>
    </w:p>
    <w:p>
      <w:pPr>
        <w:spacing w:after="70"/>
        <w:ind w:left="403"/>
        <w:jc w:val="both"/>
      </w:pPr>
      <w:r>
        <w:rPr>
          <w:rFonts w:ascii="Times New Roman" w:hAnsi="Times New Roman"/>
          <w:b/>
          <w:sz w:val="21"/>
        </w:rPr>
        <w:t xml:space="preserve">•  </w:t>
      </w:r>
      <w:r>
        <w:rPr>
          <w:rFonts w:ascii="Times New Roman" w:hAnsi="Times New Roman"/>
          <w:b/>
          <w:sz w:val="21"/>
        </w:rPr>
        <w:t>`LATE` (Orange):</w:t>
      </w:r>
      <w:r>
        <w:rPr>
          <w:rFonts w:ascii="Times New Roman" w:hAnsi="Times New Roman"/>
          <w:sz w:val="21"/>
        </w:rPr>
        <w:t xml:space="preserve"> Scheduled time has elapsed past the user's configured threshold (default: </w:t>
      </w:r>
      <w:r>
        <w:rPr>
          <w:rFonts w:ascii="Cambria Math" w:hAnsi="Cambria Math"/>
          <w:sz w:val="21"/>
        </w:rPr>
        <w:t>T_{late} = 2 hours</w:t>
      </w:r>
      <w:r>
        <w:rPr>
          <w:rFonts w:ascii="Times New Roman" w:hAnsi="Times New Roman"/>
          <w:sz w:val="21"/>
        </w:rPr>
        <w:t>) without confirmation, triggering visual warnings.</w:t>
      </w:r>
    </w:p>
    <w:p>
      <w:pPr>
        <w:spacing w:after="70"/>
        <w:ind w:left="403"/>
        <w:jc w:val="both"/>
      </w:pPr>
      <w:r>
        <w:rPr>
          <w:rFonts w:ascii="Times New Roman" w:hAnsi="Times New Roman"/>
          <w:b/>
          <w:sz w:val="21"/>
        </w:rPr>
        <w:t xml:space="preserve">•  </w:t>
      </w:r>
      <w:r>
        <w:rPr>
          <w:rFonts w:ascii="Times New Roman" w:hAnsi="Times New Roman"/>
          <w:b/>
          <w:sz w:val="21"/>
        </w:rPr>
        <w:t>`MISSED` (Red):</w:t>
      </w:r>
      <w:r>
        <w:rPr>
          <w:rFonts w:ascii="Times New Roman" w:hAnsi="Times New Roman"/>
          <w:sz w:val="21"/>
        </w:rPr>
        <w:t xml:space="preserve"> Scheduled time has elapsed past the expiration threshold (default: </w:t>
      </w:r>
      <w:r>
        <w:rPr>
          <w:rFonts w:ascii="Cambria Math" w:hAnsi="Cambria Math"/>
          <w:sz w:val="21"/>
        </w:rPr>
        <w:t>T_{missed} = 6 hours</w:t>
      </w:r>
      <w:r>
        <w:rPr>
          <w:rFonts w:ascii="Times New Roman" w:hAnsi="Times New Roman"/>
          <w:sz w:val="21"/>
        </w:rPr>
        <w:t>), permanently logging the dose as missed to prevent dangerous double-dosing.</w:t>
      </w:r>
    </w:p>
    <w:p>
      <w:pPr>
        <w:spacing w:after="90"/>
        <w:jc w:val="both"/>
      </w:pPr>
      <w:r>
        <w:rPr>
          <w:rFonts w:ascii="Times New Roman" w:hAnsi="Times New Roman"/>
          <w:sz w:val="21"/>
        </w:rPr>
        <w:t xml:space="preserve">Dosezy summarizes longitudinal adherence using an adaptation of the Proportion of Days Covered formulation [6], designated as the </w:t>
      </w:r>
      <w:r>
        <w:rPr>
          <w:rFonts w:ascii="Times New Roman" w:hAnsi="Times New Roman"/>
          <w:b/>
          <w:sz w:val="21"/>
        </w:rPr>
        <w:t>Self-Reported Intake Confirmation Rate (SR-ICR)</w:t>
      </w:r>
      <w:r>
        <w:rPr>
          <w:rFonts w:ascii="Times New Roman" w:hAnsi="Times New Roman"/>
          <w:sz w:val="21"/>
        </w:rPr>
        <w:t>:</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SR-ICR = ( ∑ [d=1 to W] I(All prescribed doses confirmed on day d) / W ) × 100%</w:t>
            </w:r>
          </w:p>
        </w:tc>
        <w:tc>
          <w:tcPr>
            <w:tcW w:type="dxa" w:w="4680"/>
          </w:tcPr>
          <w:p>
            <w:pPr>
              <w:spacing w:before="80" w:after="80"/>
              <w:jc w:val="right"/>
            </w:pPr>
            <w:r>
              <w:rPr>
                <w:rFonts w:ascii="Times New Roman" w:hAnsi="Times New Roman"/>
                <w:color w:val="4A5568"/>
                <w:sz w:val="21"/>
              </w:rPr>
              <w:t>(7)</w:t>
            </w:r>
          </w:p>
        </w:tc>
      </w:tr>
    </w:tbl>
    <w:p>
      <w:pPr>
        <w:spacing w:before="0" w:after="80"/>
      </w:pPr>
    </w:p>
    <w:p>
      <w:pPr>
        <w:spacing w:after="90"/>
        <w:jc w:val="both"/>
      </w:pPr>
      <w:r>
        <w:rPr>
          <w:rFonts w:ascii="Times New Roman" w:hAnsi="Times New Roman"/>
          <w:sz w:val="21"/>
        </w:rPr>
        <w:t xml:space="preserve">where </w:t>
      </w:r>
      <w:r>
        <w:rPr>
          <w:rFonts w:ascii="Cambria Math" w:hAnsi="Cambria Math"/>
          <w:i/>
          <w:sz w:val="21"/>
        </w:rPr>
        <w:t>W</w:t>
      </w:r>
      <w:r>
        <w:rPr>
          <w:rFonts w:ascii="Times New Roman" w:hAnsi="Times New Roman"/>
          <w:sz w:val="21"/>
        </w:rPr>
        <w:t xml:space="preserve"> is the observation window (typically 30 or 90 days), and </w:t>
      </w:r>
      <w:r>
        <w:rPr>
          <w:rFonts w:ascii="Cambria Math" w:hAnsi="Cambria Math"/>
          <w:sz w:val="21"/>
        </w:rPr>
        <w:t>I( · )</w:t>
      </w:r>
      <w:r>
        <w:rPr>
          <w:rFonts w:ascii="Times New Roman" w:hAnsi="Times New Roman"/>
          <w:sz w:val="21"/>
        </w:rPr>
        <w:t xml:space="preserve"> is the indicator function returning 1 if all scheduled medications for that calendar day were marked </w:t>
      </w:r>
      <w:r>
        <w:rPr>
          <w:rFonts w:ascii="Consolas" w:hAnsi="Consolas"/>
          <w:color w:val="24292E"/>
          <w:sz w:val="18"/>
        </w:rPr>
        <w:t>TAKEN</w:t>
      </w:r>
      <w:r>
        <w:rPr>
          <w:rFonts w:ascii="Times New Roman" w:hAnsi="Times New Roman"/>
          <w:sz w:val="21"/>
        </w:rPr>
        <w:t>, and 0 otherwise. We explicitly distinguish SR-ICR from pharmacy claims-based PDC: while claims-based PDC tracks dispensing velocity across pharmacy databases, SR-ICR measures on-device patient-acknowledged intake confirmations.</w:t>
      </w:r>
    </w:p>
    <w:p>
      <w:pPr>
        <w:keepNext/>
        <w:spacing w:before="280" w:after="80"/>
      </w:pPr>
      <w:r>
        <w:rPr>
          <w:rFonts w:ascii="Times New Roman" w:hAnsi="Times New Roman"/>
          <w:b/>
          <w:color w:val="102C57"/>
          <w:sz w:val="27"/>
        </w:rPr>
        <w:t>5. Reliable Background Scheduling Engine</w:t>
      </w:r>
    </w:p>
    <w:p>
      <w:pPr>
        <w:keepNext/>
        <w:spacing w:before="220" w:after="60"/>
      </w:pPr>
      <w:r>
        <w:rPr>
          <w:rFonts w:ascii="Times New Roman" w:hAnsi="Times New Roman"/>
          <w:b/>
          <w:color w:val="1A365D"/>
          <w:sz w:val="23"/>
        </w:rPr>
        <w:t>5.1 Android Doze Mode and Background Execution Barriers</w:t>
      </w:r>
    </w:p>
    <w:p>
      <w:pPr>
        <w:spacing w:after="90"/>
        <w:jc w:val="both"/>
      </w:pPr>
      <w:r>
        <w:rPr>
          <w:rFonts w:ascii="Times New Roman" w:hAnsi="Times New Roman"/>
          <w:sz w:val="21"/>
        </w:rPr>
        <w:t xml:space="preserve">Starting in Android 6.0 (API 23) and continually intensified through Android 14 (API 34), the Android operating system enforces </w:t>
      </w:r>
      <w:r>
        <w:rPr>
          <w:rFonts w:ascii="Times New Roman" w:hAnsi="Times New Roman"/>
          <w:i/>
          <w:sz w:val="21"/>
        </w:rPr>
        <w:t>Doze mode</w:t>
      </w:r>
      <w:r>
        <w:rPr>
          <w:rFonts w:ascii="Times New Roman" w:hAnsi="Times New Roman"/>
          <w:sz w:val="21"/>
        </w:rPr>
        <w:t xml:space="preserve"> to prolong device battery life [23]. When a smartphone is stationary, unplugged, and has its display turned off for a specified duration, the kernel transitions the device into Light Doze and eventually Deep Doze. In Deep Doze:</w:t>
      </w:r>
    </w:p>
    <w:p>
      <w:pPr>
        <w:spacing w:after="70"/>
        <w:ind w:left="403"/>
        <w:jc w:val="both"/>
      </w:pPr>
      <w:r>
        <w:rPr>
          <w:rFonts w:ascii="Times New Roman" w:hAnsi="Times New Roman"/>
          <w:b/>
          <w:sz w:val="21"/>
        </w:rPr>
        <w:t xml:space="preserve">•  </w:t>
      </w:r>
      <w:r>
        <w:rPr>
          <w:rFonts w:ascii="Times New Roman" w:hAnsi="Times New Roman"/>
          <w:sz w:val="21"/>
        </w:rPr>
        <w:t>All network access is disabled.</w:t>
      </w:r>
    </w:p>
    <w:p>
      <w:pPr>
        <w:spacing w:after="70"/>
        <w:ind w:left="403"/>
        <w:jc w:val="both"/>
      </w:pPr>
      <w:r>
        <w:rPr>
          <w:rFonts w:ascii="Times New Roman" w:hAnsi="Times New Roman"/>
          <w:b/>
          <w:sz w:val="21"/>
        </w:rPr>
        <w:t xml:space="preserve">•  </w:t>
      </w:r>
      <w:r>
        <w:rPr>
          <w:rFonts w:ascii="Times New Roman" w:hAnsi="Times New Roman"/>
          <w:sz w:val="21"/>
        </w:rPr>
        <w:t>Partial CPU wake locks are ignored.</w:t>
      </w:r>
    </w:p>
    <w:p>
      <w:pPr>
        <w:spacing w:after="70"/>
        <w:ind w:left="403"/>
        <w:jc w:val="both"/>
      </w:pPr>
      <w:r>
        <w:rPr>
          <w:rFonts w:ascii="Times New Roman" w:hAnsi="Times New Roman"/>
          <w:b/>
          <w:sz w:val="21"/>
        </w:rPr>
        <w:t xml:space="preserve">•  </w:t>
      </w:r>
      <w:r>
        <w:rPr>
          <w:rFonts w:ascii="Times New Roman" w:hAnsi="Times New Roman"/>
          <w:sz w:val="21"/>
        </w:rPr>
        <w:t xml:space="preserve">Standard </w:t>
      </w:r>
      <w:r>
        <w:rPr>
          <w:rFonts w:ascii="Consolas" w:hAnsi="Consolas"/>
          <w:color w:val="24292E"/>
          <w:sz w:val="18"/>
        </w:rPr>
        <w:t>AlarmManager</w:t>
      </w:r>
      <w:r>
        <w:rPr>
          <w:rFonts w:ascii="Times New Roman" w:hAnsi="Times New Roman"/>
          <w:sz w:val="21"/>
        </w:rPr>
        <w:t xml:space="preserve"> alarms (such as </w:t>
      </w:r>
      <w:r>
        <w:rPr>
          <w:rFonts w:ascii="Consolas" w:hAnsi="Consolas"/>
          <w:color w:val="24292E"/>
          <w:sz w:val="18"/>
        </w:rPr>
        <w:t>set()</w:t>
      </w:r>
      <w:r>
        <w:rPr>
          <w:rFonts w:ascii="Times New Roman" w:hAnsi="Times New Roman"/>
          <w:sz w:val="21"/>
        </w:rPr>
        <w:t xml:space="preserve">, </w:t>
      </w:r>
      <w:r>
        <w:rPr>
          <w:rFonts w:ascii="Consolas" w:hAnsi="Consolas"/>
          <w:color w:val="24292E"/>
          <w:sz w:val="18"/>
        </w:rPr>
        <w:t>setRepeating()</w:t>
      </w:r>
      <w:r>
        <w:rPr>
          <w:rFonts w:ascii="Times New Roman" w:hAnsi="Times New Roman"/>
          <w:sz w:val="21"/>
        </w:rPr>
        <w:t xml:space="preserve">, or </w:t>
      </w:r>
      <w:r>
        <w:rPr>
          <w:rFonts w:ascii="Consolas" w:hAnsi="Consolas"/>
          <w:color w:val="24292E"/>
          <w:sz w:val="18"/>
        </w:rPr>
        <w:t>setInexactRepeating()</w:t>
      </w:r>
      <w:r>
        <w:rPr>
          <w:rFonts w:ascii="Times New Roman" w:hAnsi="Times New Roman"/>
          <w:sz w:val="21"/>
        </w:rPr>
        <w:t>) are suspended and coalesced into infrequent periodic maintenance windows occurring every 15 to 60 minutes.</w:t>
      </w:r>
    </w:p>
    <w:p>
      <w:pPr>
        <w:spacing w:after="90"/>
        <w:jc w:val="both"/>
      </w:pPr>
      <w:r>
        <w:rPr>
          <w:rFonts w:ascii="Times New Roman" w:hAnsi="Times New Roman"/>
          <w:sz w:val="21"/>
        </w:rPr>
        <w:t xml:space="preserve">Furthermore, starting in Android 10 (API 29), Background Activity Launch (BAL) restrictions strictly prohibit background components from directly invoking </w:t>
      </w:r>
      <w:r>
        <w:rPr>
          <w:rFonts w:ascii="Consolas" w:hAnsi="Consolas"/>
          <w:color w:val="24292E"/>
          <w:sz w:val="18"/>
        </w:rPr>
        <w:t>startActivity()</w:t>
      </w:r>
      <w:r>
        <w:rPr>
          <w:rFonts w:ascii="Times New Roman" w:hAnsi="Times New Roman"/>
          <w:sz w:val="21"/>
        </w:rPr>
        <w:t xml:space="preserve">. On Android 14 (API 34), background activity dispatch via </w:t>
      </w:r>
      <w:r>
        <w:rPr>
          <w:rFonts w:ascii="Consolas" w:hAnsi="Consolas"/>
          <w:color w:val="24292E"/>
          <w:sz w:val="18"/>
        </w:rPr>
        <w:t>PendingIntent</w:t>
      </w:r>
      <w:r>
        <w:rPr>
          <w:rFonts w:ascii="Times New Roman" w:hAnsi="Times New Roman"/>
          <w:sz w:val="21"/>
        </w:rPr>
        <w:t xml:space="preserve"> is blocked by default unless explicitly allowed via </w:t>
      </w:r>
      <w:r>
        <w:rPr>
          <w:rFonts w:ascii="Consolas" w:hAnsi="Consolas"/>
          <w:color w:val="24292E"/>
          <w:sz w:val="18"/>
        </w:rPr>
        <w:t>ActivityOptions.setPendingIntentCreatorBackgroundActivityStartMode</w:t>
      </w:r>
      <w:r>
        <w:rPr>
          <w:rFonts w:ascii="Times New Roman" w:hAnsi="Times New Roman"/>
          <w:sz w:val="21"/>
        </w:rPr>
        <w:t>.</w:t>
      </w:r>
    </w:p>
    <w:p>
      <w:pPr>
        <w:keepNext/>
        <w:spacing w:before="220" w:after="60"/>
      </w:pPr>
      <w:r>
        <w:rPr>
          <w:rFonts w:ascii="Times New Roman" w:hAnsi="Times New Roman"/>
          <w:b/>
          <w:color w:val="1A365D"/>
          <w:sz w:val="23"/>
        </w:rPr>
        <w:t>5.2 Exact Alarm Scheduling Pipeline</w:t>
      </w:r>
    </w:p>
    <w:p>
      <w:pPr>
        <w:spacing w:after="90"/>
        <w:jc w:val="both"/>
      </w:pPr>
      <w:r>
        <w:rPr>
          <w:rFonts w:ascii="Times New Roman" w:hAnsi="Times New Roman"/>
          <w:sz w:val="21"/>
        </w:rPr>
        <w:t>Bypassing Doze mode deferrals while complying with modern Android background activity restrictions led to the multi-stage scheduling pipeline formalized below:</w:t>
      </w:r>
    </w:p>
    <w:p>
      <w:pPr>
        <w:spacing w:before="120" w:after="160"/>
        <w:ind w:left="432" w:right="432"/>
        <w:pBdr>
          <w:left w:val="single" w:sz="18" w:space="15" w:color="102C57"/>
        </w:pBdr>
        <w:shd w:fill="F8FAFC"/>
      </w:pPr>
      <w:r>
        <w:rPr>
          <w:rFonts w:ascii="Consolas" w:hAnsi="Consolas"/>
          <w:color w:val="2D3748"/>
          <w:sz w:val="18"/>
        </w:rPr>
        <w:t>Algorithm 1: Alarm Scheduling and Doze-Resistant Dispatch Pipeline</w:t>
        <w:br/>
        <w:t>---------------------------------------------------------------------------------</w:t>
        <w:br/>
        <w:t>Procedure ScheduleMedicationAlarm(entry, medicine):</w:t>
        <w:br/>
        <w:t xml:space="preserve">    targetTime  &lt;- entry.scheduledDateTime</w:t>
        <w:br/>
        <w:t xml:space="preserve">    epochMillis &lt;- targetTime.toEpochMilli(ZoneId.systemDefault())</w:t>
        <w:br/>
        <w:t xml:space="preserve">    intent      &lt;- new Intent(context, MedicineAlarmReceiver.class)</w:t>
        <w:br/>
        <w:t xml:space="preserve">    intent.putExtra("ENTRY_ID", entry.id)</w:t>
        <w:br/>
        <w:t xml:space="preserve">    intent.putExtra("MEDICINE_NAME", medicine.name)</w:t>
        <w:br/>
        <w:t xml:space="preserve">    pendingIntent &lt;- PendingIntent.getBroadcast(context, entry.id.hashCode(), intent, FLAG_IMMUTABLE)</w:t>
        <w:br/>
        <w:br/>
        <w:t xml:space="preserve">    if Build.VERSION.SDK_INT &gt;= Build.VERSION_CODES.S then:</w:t>
        <w:br/>
        <w:t xml:space="preserve">        if not alarmManager.canScheduleExactAlarms() then:</w:t>
        <w:br/>
        <w:t xml:space="preserve">            RequestExactAlarmPermission()</w:t>
        <w:br/>
        <w:t xml:space="preserve">            return</w:t>
        <w:br/>
        <w:br/>
        <w:t xml:space="preserve">    if Build.VERSION.SDK_INT &gt;= Build.VERSION_CODES.LOLLIPOP then:</w:t>
        <w:br/>
        <w:t xml:space="preserve">        showIntent &lt;- PendingIntent.getActivity(context, entry.id.hashCode() + 500,</w:t>
        <w:br/>
        <w:t xml:space="preserve">                                                new Intent(context, MainActivity.class), FLAG_IMMUTABLE)</w:t>
        <w:br/>
        <w:t xml:space="preserve">        clockInfo  &lt;- new AlarmManager.AlarmClockInfo(epochMillis, showIntent)</w:t>
        <w:br/>
        <w:t xml:space="preserve">        alarmManager.setAlarmClock(clockInfo, pendingIntent)</w:t>
        <w:br/>
        <w:t xml:space="preserve">    else:</w:t>
        <w:br/>
        <w:t xml:space="preserve">        alarmManager.setExactAndAllowWhileIdle(RTC_WAKEUP, epochMillis, pendingIntent)</w:t>
        <w:br/>
        <w:br/>
        <w:t>Procedure OnAlarmTrigger(context, intent):</w:t>
        <w:br/>
        <w:t xml:space="preserve">    wakeLock &lt;- powerManager.newWakeLock(PARTIAL_WAKE_LOCK, "dosezy:alarm")</w:t>
        <w:br/>
        <w:t xml:space="preserve">    wakeLock.acquire(30000)   // Hold CPU for maximum 30 seconds</w:t>
        <w:br/>
        <w:t xml:space="preserve">    fullScreenIntent &lt;- new Intent(context, AlarmActivity.class)</w:t>
        <w:br/>
        <w:t xml:space="preserve">    fullScreenIntent.addFlags(FLAG_ACTIVITY_NEW_TASK | FLAG_ACTIVITY_NO_USER_ACTION)</w:t>
        <w:br/>
        <w:t xml:space="preserve">    fullScreenIntent.putExtras(intent.getExtras())</w:t>
        <w:br/>
        <w:t xml:space="preserve">    fullScreenPending &lt;- PendingIntent.getActivity(context, 0, fullScreenIntent, FLAG_UPDATE_CURRENT | FLAG_IMMUTABLE)</w:t>
        <w:br/>
        <w:t xml:space="preserve">    builder &lt;- new NotificationCompat.Builder(context, CHANNEL_ID)</w:t>
        <w:br/>
        <w:t xml:space="preserve">    builder.setSmallIcon(R.drawable.ic_pill)</w:t>
        <w:br/>
        <w:t xml:space="preserve">    builder.setContentTitle(intent.getStringExtra("MEDICINE_NAME"))</w:t>
        <w:br/>
        <w:t xml:space="preserve">    builder.setPriority(NotificationCompat.PRIORITY_MAX)</w:t>
        <w:br/>
        <w:t xml:space="preserve">    builder.setCategory(NotificationCompat.CATEGORY_ALARM)</w:t>
        <w:br/>
        <w:t xml:space="preserve">    builder.setFullScreenIntent(fullScreenPending, true)   // Compliant lock screen launch</w:t>
        <w:br/>
        <w:t xml:space="preserve">    notificationManager.notify(NOTIFICATION_ID, builder.build())</w:t>
      </w:r>
    </w:p>
    <w:p>
      <w:pPr>
        <w:spacing w:after="70"/>
        <w:ind w:left="403"/>
        <w:jc w:val="both"/>
      </w:pPr>
      <w:r>
        <w:rPr>
          <w:rFonts w:ascii="Times New Roman" w:hAnsi="Times New Roman"/>
          <w:b/>
          <w:sz w:val="21"/>
        </w:rPr>
        <w:t xml:space="preserve">1. </w:t>
      </w:r>
      <w:r>
        <w:rPr>
          <w:rFonts w:ascii="Times New Roman" w:hAnsi="Times New Roman"/>
          <w:b/>
          <w:sz w:val="21"/>
        </w:rPr>
        <w:t>System Alarm Clock Elevation (`setAlarmClock`):</w:t>
      </w:r>
      <w:r>
        <w:rPr>
          <w:rFonts w:ascii="Times New Roman" w:hAnsi="Times New Roman"/>
          <w:sz w:val="21"/>
        </w:rPr>
        <w:t xml:space="preserve"> Rather than using standard idle-tolerant alarms, Dosezy registers reminders via </w:t>
      </w:r>
      <w:r>
        <w:rPr>
          <w:rFonts w:ascii="Consolas" w:hAnsi="Consolas"/>
          <w:color w:val="24292E"/>
          <w:sz w:val="18"/>
        </w:rPr>
        <w:t>AlarmManager.setAlarmClock(AlarmClockInfo, PendingIntent)</w:t>
      </w:r>
      <w:r>
        <w:rPr>
          <w:rFonts w:ascii="Times New Roman" w:hAnsi="Times New Roman"/>
          <w:sz w:val="21"/>
        </w:rPr>
        <w:t xml:space="preserve">. The Android operating system treats </w:t>
      </w:r>
      <w:r>
        <w:rPr>
          <w:rFonts w:ascii="Consolas" w:hAnsi="Consolas"/>
          <w:color w:val="24292E"/>
          <w:sz w:val="18"/>
        </w:rPr>
        <w:t>setAlarmClock</w:t>
      </w:r>
      <w:r>
        <w:rPr>
          <w:rFonts w:ascii="Times New Roman" w:hAnsi="Times New Roman"/>
          <w:sz w:val="21"/>
        </w:rPr>
        <w:t xml:space="preserve"> as the highest execution priority tier available to standard applications under the Android Open Source Project (AOSP), originally reserved for user-facing alarm clock utilities. Alarms scheduled through this method:</w:t>
      </w:r>
    </w:p>
    <w:p>
      <w:pPr>
        <w:spacing w:after="70"/>
        <w:ind w:left="403"/>
        <w:jc w:val="both"/>
      </w:pPr>
      <w:r>
        <w:rPr>
          <w:rFonts w:ascii="Times New Roman" w:hAnsi="Times New Roman"/>
          <w:b/>
          <w:sz w:val="21"/>
        </w:rPr>
        <w:t xml:space="preserve">•  </w:t>
      </w:r>
      <w:r>
        <w:rPr>
          <w:rFonts w:ascii="Times New Roman" w:hAnsi="Times New Roman"/>
          <w:sz w:val="21"/>
        </w:rPr>
        <w:t>Trigger an immediate kernel-level wake from Deep Doze within seconds of the scheduled real-time clock (</w:t>
      </w:r>
      <w:r>
        <w:rPr>
          <w:rFonts w:ascii="Consolas" w:hAnsi="Consolas"/>
          <w:color w:val="24292E"/>
          <w:sz w:val="18"/>
        </w:rPr>
        <w:t>RTC_WAKEUP</w:t>
      </w:r>
      <w:r>
        <w:rPr>
          <w:rFonts w:ascii="Times New Roman" w:hAnsi="Times New Roman"/>
          <w:sz w:val="21"/>
        </w:rPr>
        <w:t>) tick.</w:t>
      </w:r>
    </w:p>
    <w:p>
      <w:pPr>
        <w:spacing w:after="70"/>
        <w:ind w:left="403"/>
        <w:jc w:val="both"/>
      </w:pPr>
      <w:r>
        <w:rPr>
          <w:rFonts w:ascii="Times New Roman" w:hAnsi="Times New Roman"/>
          <w:b/>
          <w:sz w:val="21"/>
        </w:rPr>
        <w:t xml:space="preserve">•  </w:t>
      </w:r>
      <w:r>
        <w:rPr>
          <w:rFonts w:ascii="Times New Roman" w:hAnsi="Times New Roman"/>
          <w:sz w:val="21"/>
        </w:rPr>
        <w:t>Cause the system status bar to display the official alarm icon, providing visible confirmation to the patient that a timer is active.</w:t>
      </w:r>
    </w:p>
    <w:p>
      <w:pPr>
        <w:spacing w:after="70"/>
        <w:ind w:left="403"/>
        <w:jc w:val="both"/>
      </w:pPr>
      <w:r>
        <w:rPr>
          <w:rFonts w:ascii="Times New Roman" w:hAnsi="Times New Roman"/>
          <w:b/>
          <w:sz w:val="21"/>
        </w:rPr>
        <w:t xml:space="preserve">•  </w:t>
      </w:r>
      <w:r>
        <w:rPr>
          <w:rFonts w:ascii="Times New Roman" w:hAnsi="Times New Roman"/>
          <w:sz w:val="21"/>
        </w:rPr>
        <w:t>Are granted an automatic foreground execution window by the system, bypassing background app launch restrictions.</w:t>
      </w:r>
    </w:p>
    <w:p>
      <w:pPr>
        <w:spacing w:after="70"/>
        <w:ind w:left="403"/>
        <w:jc w:val="both"/>
      </w:pPr>
      <w:r>
        <w:rPr>
          <w:rFonts w:ascii="Times New Roman" w:hAnsi="Times New Roman"/>
          <w:b/>
          <w:sz w:val="21"/>
        </w:rPr>
        <w:t xml:space="preserve">2. </w:t>
      </w:r>
      <w:r>
        <w:rPr>
          <w:rFonts w:ascii="Times New Roman" w:hAnsi="Times New Roman"/>
          <w:b/>
          <w:sz w:val="21"/>
        </w:rPr>
        <w:t>Android 12–14 Permission Negotiation and Distribution Realism:</w:t>
      </w:r>
      <w:r>
        <w:rPr>
          <w:rFonts w:ascii="Times New Roman" w:hAnsi="Times New Roman"/>
          <w:sz w:val="21"/>
        </w:rPr>
        <w:t xml:space="preserve"> Modern Android versions impose nuanced permission models that directly impact medication scheduling reliability:</w:t>
      </w:r>
    </w:p>
    <w:p>
      <w:pPr>
        <w:spacing w:after="70"/>
        <w:ind w:left="403"/>
        <w:jc w:val="both"/>
      </w:pPr>
      <w:r>
        <w:rPr>
          <w:rFonts w:ascii="Times New Roman" w:hAnsi="Times New Roman"/>
          <w:b/>
          <w:sz w:val="21"/>
        </w:rPr>
        <w:t xml:space="preserve">•  </w:t>
      </w:r>
      <w:r>
        <w:rPr>
          <w:rFonts w:ascii="Times New Roman" w:hAnsi="Times New Roman"/>
          <w:i/>
          <w:sz w:val="21"/>
        </w:rPr>
        <w:t>`SCHEDULE_EXACT_ALARM` (API 31+):</w:t>
      </w:r>
      <w:r>
        <w:rPr>
          <w:rFonts w:ascii="Times New Roman" w:hAnsi="Times New Roman"/>
          <w:sz w:val="21"/>
        </w:rPr>
        <w:t xml:space="preserve"> Introduced as a "Special App Access" permission. Applications must check </w:t>
      </w:r>
      <w:r>
        <w:rPr>
          <w:rFonts w:ascii="Consolas" w:hAnsi="Consolas"/>
          <w:color w:val="24292E"/>
          <w:sz w:val="18"/>
        </w:rPr>
        <w:t>AlarmManager.canScheduleExactAlarms()</w:t>
      </w:r>
      <w:r>
        <w:rPr>
          <w:rFonts w:ascii="Times New Roman" w:hAnsi="Times New Roman"/>
          <w:sz w:val="21"/>
        </w:rPr>
        <w:t xml:space="preserve"> at runtime. Starting in Android 14 (API 34), Google disabled this permission by default for newly installed applications, requiring manual user authorization in system settings.</w:t>
      </w:r>
    </w:p>
    <w:p>
      <w:pPr>
        <w:spacing w:after="70"/>
        <w:ind w:left="403"/>
        <w:jc w:val="both"/>
      </w:pPr>
      <w:r>
        <w:rPr>
          <w:rFonts w:ascii="Times New Roman" w:hAnsi="Times New Roman"/>
          <w:b/>
          <w:sz w:val="21"/>
        </w:rPr>
        <w:t xml:space="preserve">•  </w:t>
      </w:r>
      <w:r>
        <w:rPr>
          <w:rFonts w:ascii="Times New Roman" w:hAnsi="Times New Roman"/>
          <w:i/>
          <w:sz w:val="21"/>
        </w:rPr>
        <w:t>`USE_EXACT_ALARM` (API 33+):</w:t>
      </w:r>
      <w:r>
        <w:rPr>
          <w:rFonts w:ascii="Times New Roman" w:hAnsi="Times New Roman"/>
          <w:sz w:val="21"/>
        </w:rPr>
        <w:t xml:space="preserve"> Introduced as an install-time normal permission that is automatically granted without user prompts. However, Google Play Store developer policies restrict declaration of this permission strictly to clock, timer, and calendar applications; mHealth apps submitting this permission to Google Play face automated store rejection unless granted explicit policy exemptions.</w:t>
      </w:r>
    </w:p>
    <w:p>
      <w:pPr>
        <w:spacing w:after="70"/>
        <w:ind w:left="403"/>
        <w:jc w:val="both"/>
      </w:pPr>
      <w:r>
        <w:rPr>
          <w:rFonts w:ascii="Times New Roman" w:hAnsi="Times New Roman"/>
          <w:b/>
          <w:sz w:val="21"/>
        </w:rPr>
        <w:t xml:space="preserve">•  </w:t>
      </w:r>
      <w:r>
        <w:rPr>
          <w:rFonts w:ascii="Times New Roman" w:hAnsi="Times New Roman"/>
          <w:i/>
          <w:sz w:val="21"/>
        </w:rPr>
        <w:t>Open-Source Distribution (F-Droid):</w:t>
      </w:r>
      <w:r>
        <w:rPr>
          <w:rFonts w:ascii="Times New Roman" w:hAnsi="Times New Roman"/>
          <w:sz w:val="21"/>
        </w:rPr>
        <w:t xml:space="preserve"> In open-source ecosystems such as F-Droid, applications are unencumbered by proprietary commercial store restrictions, allowing </w:t>
      </w:r>
      <w:r>
        <w:rPr>
          <w:rFonts w:ascii="Consolas" w:hAnsi="Consolas"/>
          <w:color w:val="24292E"/>
          <w:sz w:val="18"/>
        </w:rPr>
        <w:t>USE_EXACT_ALARM</w:t>
      </w:r>
      <w:r>
        <w:rPr>
          <w:rFonts w:ascii="Times New Roman" w:hAnsi="Times New Roman"/>
          <w:sz w:val="21"/>
        </w:rPr>
        <w:t xml:space="preserve"> to be granted natively at installation.</w:t>
      </w:r>
    </w:p>
    <w:p>
      <w:pPr>
        <w:spacing w:after="90"/>
        <w:jc w:val="both"/>
      </w:pPr>
      <w:r>
        <w:rPr>
          <w:rFonts w:ascii="Times New Roman" w:hAnsi="Times New Roman"/>
          <w:sz w:val="21"/>
        </w:rPr>
        <w:t xml:space="preserve">   Dosezy declares both permissions in its manifest. At runtime, the application evaluates </w:t>
      </w:r>
      <w:r>
        <w:rPr>
          <w:rFonts w:ascii="Consolas" w:hAnsi="Consolas"/>
          <w:color w:val="24292E"/>
          <w:sz w:val="18"/>
        </w:rPr>
        <w:t>AlarmManager.canScheduleExactAlarms()</w:t>
      </w:r>
      <w:r>
        <w:rPr>
          <w:rFonts w:ascii="Times New Roman" w:hAnsi="Times New Roman"/>
          <w:sz w:val="21"/>
        </w:rPr>
        <w:t>. If exact scheduling is revoked or denied (such as on fresh Android 14 installations distributed outside privileged stores), Dosezy presents a high-contrast explanation dialog and dispatches an explicit system intent:</w:t>
      </w:r>
    </w:p>
    <w:p>
      <w:pPr>
        <w:spacing w:after="90"/>
        <w:jc w:val="both"/>
      </w:pPr>
      <w:r>
        <w:rPr>
          <w:rFonts w:ascii="Times New Roman" w:hAnsi="Times New Roman"/>
          <w:sz w:val="21"/>
        </w:rPr>
        <w:t xml:space="preserve">   </w:t>
      </w:r>
      <w:r>
        <w:rPr>
          <w:rFonts w:ascii="Consolas" w:hAnsi="Consolas"/>
          <w:color w:val="24292E"/>
          <w:sz w:val="18"/>
        </w:rPr>
        <w:t>Intent(Settings.ACTION_REQUEST_SCHEDULE_EXACT_ALARM, Uri.parse("package:" + packageName))</w:t>
      </w:r>
    </w:p>
    <w:p>
      <w:pPr>
        <w:spacing w:after="90"/>
        <w:jc w:val="both"/>
      </w:pPr>
      <w:r>
        <w:rPr>
          <w:rFonts w:ascii="Times New Roman" w:hAnsi="Times New Roman"/>
          <w:sz w:val="21"/>
        </w:rPr>
        <w:t xml:space="preserve">   navigating the user directly to the application's dedicated system toggle to minimize cognitive and navigational friction.</w:t>
      </w:r>
    </w:p>
    <w:p>
      <w:pPr>
        <w:spacing w:after="70"/>
        <w:ind w:left="403"/>
        <w:jc w:val="both"/>
      </w:pPr>
      <w:r>
        <w:rPr>
          <w:rFonts w:ascii="Times New Roman" w:hAnsi="Times New Roman"/>
          <w:b/>
          <w:sz w:val="21"/>
        </w:rPr>
        <w:t xml:space="preserve">3. </w:t>
      </w:r>
      <w:r>
        <w:rPr>
          <w:rFonts w:ascii="Times New Roman" w:hAnsi="Times New Roman"/>
          <w:b/>
          <w:sz w:val="21"/>
        </w:rPr>
        <w:t>Full-Screen Lock Screen Activity Overlay via Compliant Intents:</w:t>
      </w:r>
      <w:r>
        <w:rPr>
          <w:rFonts w:ascii="Times New Roman" w:hAnsi="Times New Roman"/>
          <w:sz w:val="21"/>
        </w:rPr>
        <w:t xml:space="preserve"> Under Android 10+ Background Activity Launch rules, background receivers cannot directly call </w:t>
      </w:r>
      <w:r>
        <w:rPr>
          <w:rFonts w:ascii="Consolas" w:hAnsi="Consolas"/>
          <w:color w:val="24292E"/>
          <w:sz w:val="18"/>
        </w:rPr>
        <w:t>startActivity()</w:t>
      </w:r>
      <w:r>
        <w:rPr>
          <w:rFonts w:ascii="Times New Roman" w:hAnsi="Times New Roman"/>
          <w:sz w:val="21"/>
        </w:rPr>
        <w:t xml:space="preserve">. Dosezy conforms by dispatching a high-priority heads-up notification with </w:t>
      </w:r>
      <w:r>
        <w:rPr>
          <w:rFonts w:ascii="Consolas" w:hAnsi="Consolas"/>
          <w:color w:val="24292E"/>
          <w:sz w:val="18"/>
        </w:rPr>
        <w:t>setFullScreenIntent(pendingIntent, true)</w:t>
      </w:r>
      <w:r>
        <w:rPr>
          <w:rFonts w:ascii="Times New Roman" w:hAnsi="Times New Roman"/>
          <w:sz w:val="21"/>
        </w:rPr>
        <w:t xml:space="preserve">. The target </w:t>
      </w:r>
      <w:r>
        <w:rPr>
          <w:rFonts w:ascii="Consolas" w:hAnsi="Consolas"/>
          <w:color w:val="24292E"/>
          <w:sz w:val="18"/>
        </w:rPr>
        <w:t>AlarmActivity</w:t>
      </w:r>
      <w:r>
        <w:rPr>
          <w:rFonts w:ascii="Times New Roman" w:hAnsi="Times New Roman"/>
          <w:sz w:val="21"/>
        </w:rPr>
        <w:t xml:space="preserve"> configures its window via API 27+ methods </w:t>
      </w:r>
      <w:r>
        <w:rPr>
          <w:rFonts w:ascii="Consolas" w:hAnsi="Consolas"/>
          <w:color w:val="24292E"/>
          <w:sz w:val="18"/>
        </w:rPr>
        <w:t>setShowWhenLocked(true)</w:t>
      </w:r>
      <w:r>
        <w:rPr>
          <w:rFonts w:ascii="Times New Roman" w:hAnsi="Times New Roman"/>
          <w:sz w:val="21"/>
        </w:rPr>
        <w:t xml:space="preserve"> and </w:t>
      </w:r>
      <w:r>
        <w:rPr>
          <w:rFonts w:ascii="Consolas" w:hAnsi="Consolas"/>
          <w:color w:val="24292E"/>
          <w:sz w:val="18"/>
        </w:rPr>
        <w:t>setTurnScreenOn(true)</w:t>
      </w:r>
      <w:r>
        <w:rPr>
          <w:rFonts w:ascii="Times New Roman" w:hAnsi="Times New Roman"/>
          <w:sz w:val="21"/>
        </w:rPr>
        <w:t xml:space="preserve">, paired with </w:t>
      </w:r>
      <w:r>
        <w:rPr>
          <w:rFonts w:ascii="Consolas" w:hAnsi="Consolas"/>
          <w:color w:val="24292E"/>
          <w:sz w:val="18"/>
        </w:rPr>
        <w:t>FLAG_KEEP_SCREEN_ON</w:t>
      </w:r>
      <w:r>
        <w:rPr>
          <w:rFonts w:ascii="Times New Roman" w:hAnsi="Times New Roman"/>
          <w:sz w:val="21"/>
        </w:rPr>
        <w:t xml:space="preserve">. On Android 14, the manifest declares </w:t>
      </w:r>
      <w:r>
        <w:rPr>
          <w:rFonts w:ascii="Consolas" w:hAnsi="Consolas"/>
          <w:color w:val="24292E"/>
          <w:sz w:val="18"/>
        </w:rPr>
        <w:t>android.permission.USE_FULL_SCREEN_INTENT</w:t>
      </w:r>
      <w:r>
        <w:rPr>
          <w:rFonts w:ascii="Times New Roman" w:hAnsi="Times New Roman"/>
          <w:sz w:val="21"/>
        </w:rPr>
        <w:t>. This forces the device display to illuminate immediately and presents the full-screen dosage prompt directly over the keyguard. The patient can visually review the medication name, dosage strength, and instructions, tapping "TAKEN" or "SNOOZE 10M" with a single oversized tap without navigating lock screen PINs, patterns, or biometric sensors while the audio alert sounds.</w:t>
      </w:r>
    </w:p>
    <w:p>
      <w:pPr>
        <w:spacing w:after="70"/>
        <w:ind w:left="403"/>
        <w:jc w:val="both"/>
      </w:pPr>
      <w:r>
        <w:rPr>
          <w:rFonts w:ascii="Times New Roman" w:hAnsi="Times New Roman"/>
          <w:b/>
          <w:sz w:val="21"/>
        </w:rPr>
        <w:t xml:space="preserve">4. </w:t>
      </w:r>
      <w:r>
        <w:rPr>
          <w:rFonts w:ascii="Times New Roman" w:hAnsi="Times New Roman"/>
          <w:b/>
          <w:sz w:val="21"/>
        </w:rPr>
        <w:t>Persistent Boot Restoration:</w:t>
      </w:r>
      <w:r>
        <w:rPr>
          <w:rFonts w:ascii="Times New Roman" w:hAnsi="Times New Roman"/>
          <w:sz w:val="21"/>
        </w:rPr>
        <w:t xml:space="preserve"> Because the Android Linux kernel wipes all hardware </w:t>
      </w:r>
      <w:r>
        <w:rPr>
          <w:rFonts w:ascii="Consolas" w:hAnsi="Consolas"/>
          <w:color w:val="24292E"/>
          <w:sz w:val="18"/>
        </w:rPr>
        <w:t>AlarmManager</w:t>
      </w:r>
      <w:r>
        <w:rPr>
          <w:rFonts w:ascii="Times New Roman" w:hAnsi="Times New Roman"/>
          <w:sz w:val="21"/>
        </w:rPr>
        <w:t xml:space="preserve"> registers upon power-off or device reboot, Dosezy registers a </w:t>
      </w:r>
      <w:r>
        <w:rPr>
          <w:rFonts w:ascii="Consolas" w:hAnsi="Consolas"/>
          <w:color w:val="24292E"/>
          <w:sz w:val="18"/>
        </w:rPr>
        <w:t>BootReceiver</w:t>
      </w:r>
      <w:r>
        <w:rPr>
          <w:rFonts w:ascii="Times New Roman" w:hAnsi="Times New Roman"/>
          <w:sz w:val="21"/>
        </w:rPr>
        <w:t xml:space="preserve"> listening for the system broadcast </w:t>
      </w:r>
      <w:r>
        <w:rPr>
          <w:rFonts w:ascii="Consolas" w:hAnsi="Consolas"/>
          <w:color w:val="24292E"/>
          <w:sz w:val="18"/>
        </w:rPr>
        <w:t>ACTION_BOOT_COMPLETED</w:t>
      </w:r>
      <w:r>
        <w:rPr>
          <w:rFonts w:ascii="Times New Roman" w:hAnsi="Times New Roman"/>
          <w:sz w:val="21"/>
        </w:rPr>
        <w:t>. Upon system boot, the receiver queries the local Room database via a background Coroutine, recalculates future dosage timestamps, and reconstitutes all pending alarms in the system kernel.</w:t>
      </w:r>
    </w:p>
    <w:p>
      <w:pPr>
        <w:keepNext/>
        <w:spacing w:before="220" w:after="60"/>
      </w:pPr>
      <w:r>
        <w:rPr>
          <w:rFonts w:ascii="Times New Roman" w:hAnsi="Times New Roman"/>
          <w:b/>
          <w:color w:val="1A365D"/>
          <w:sz w:val="23"/>
        </w:rPr>
        <w:t>5.3 Offline ISO Emergency Telephony Resolution</w:t>
      </w:r>
    </w:p>
    <w:p>
      <w:pPr>
        <w:spacing w:after="90"/>
        <w:jc w:val="both"/>
      </w:pPr>
      <w:r>
        <w:rPr>
          <w:rFonts w:ascii="Times New Roman" w:hAnsi="Times New Roman"/>
          <w:sz w:val="21"/>
        </w:rPr>
        <w:t>In the event of an adverse drug reaction or physical fall, older adults require instantaneous access to local emergency dispatch without navigating complex phonebook menus or relying on internet mapping services. Dosezy implements a fully offline emergency resolution engine.</w:t>
      </w:r>
    </w:p>
    <w:p>
      <w:pPr>
        <w:spacing w:after="90"/>
        <w:jc w:val="both"/>
      </w:pPr>
      <w:r>
        <w:rPr>
          <w:rFonts w:ascii="Times New Roman" w:hAnsi="Times New Roman"/>
          <w:sz w:val="21"/>
        </w:rPr>
        <w:t>The engine queries the device hardware using a prioritized three-tier fallback hierarchy:</w:t>
      </w:r>
    </w:p>
    <w:p>
      <w:pPr>
        <w:spacing w:after="70"/>
        <w:ind w:left="403"/>
        <w:jc w:val="both"/>
      </w:pPr>
      <w:r>
        <w:rPr>
          <w:rFonts w:ascii="Times New Roman" w:hAnsi="Times New Roman"/>
          <w:b/>
          <w:sz w:val="21"/>
        </w:rPr>
        <w:t xml:space="preserve">1. </w:t>
      </w:r>
      <w:r>
        <w:rPr>
          <w:rFonts w:ascii="Times New Roman" w:hAnsi="Times New Roman"/>
          <w:b/>
          <w:sz w:val="21"/>
        </w:rPr>
        <w:t>SIM Country ISO:</w:t>
      </w:r>
      <w:r>
        <w:rPr>
          <w:rFonts w:ascii="Times New Roman" w:hAnsi="Times New Roman"/>
          <w:sz w:val="21"/>
        </w:rPr>
        <w:t xml:space="preserve"> Extracted via </w:t>
      </w:r>
      <w:r>
        <w:rPr>
          <w:rFonts w:ascii="Consolas" w:hAnsi="Consolas"/>
          <w:color w:val="24292E"/>
          <w:sz w:val="18"/>
        </w:rPr>
        <w:t>TelephonyManager.getSimCountryIso()</w:t>
      </w:r>
      <w:r>
        <w:rPr>
          <w:rFonts w:ascii="Times New Roman" w:hAnsi="Times New Roman"/>
          <w:sz w:val="21"/>
        </w:rPr>
        <w:t>.</w:t>
      </w:r>
    </w:p>
    <w:p>
      <w:pPr>
        <w:spacing w:after="70"/>
        <w:ind w:left="403"/>
        <w:jc w:val="both"/>
      </w:pPr>
      <w:r>
        <w:rPr>
          <w:rFonts w:ascii="Times New Roman" w:hAnsi="Times New Roman"/>
          <w:b/>
          <w:sz w:val="21"/>
        </w:rPr>
        <w:t xml:space="preserve">2. </w:t>
      </w:r>
      <w:r>
        <w:rPr>
          <w:rFonts w:ascii="Times New Roman" w:hAnsi="Times New Roman"/>
          <w:b/>
          <w:sz w:val="21"/>
        </w:rPr>
        <w:t>Network Country ISO:</w:t>
      </w:r>
      <w:r>
        <w:rPr>
          <w:rFonts w:ascii="Times New Roman" w:hAnsi="Times New Roman"/>
          <w:sz w:val="21"/>
        </w:rPr>
        <w:t xml:space="preserve"> Extracted via </w:t>
      </w:r>
      <w:r>
        <w:rPr>
          <w:rFonts w:ascii="Consolas" w:hAnsi="Consolas"/>
          <w:color w:val="24292E"/>
          <w:sz w:val="18"/>
        </w:rPr>
        <w:t>TelephonyManager.getNetworkCountryIso()</w:t>
      </w:r>
      <w:r>
        <w:rPr>
          <w:rFonts w:ascii="Times New Roman" w:hAnsi="Times New Roman"/>
          <w:sz w:val="21"/>
        </w:rPr>
        <w:t xml:space="preserve"> if SIM metadata is unavailable.</w:t>
      </w:r>
    </w:p>
    <w:p>
      <w:pPr>
        <w:spacing w:after="70"/>
        <w:ind w:left="403"/>
        <w:jc w:val="both"/>
      </w:pPr>
      <w:r>
        <w:rPr>
          <w:rFonts w:ascii="Times New Roman" w:hAnsi="Times New Roman"/>
          <w:b/>
          <w:sz w:val="21"/>
        </w:rPr>
        <w:t xml:space="preserve">3. </w:t>
      </w:r>
      <w:r>
        <w:rPr>
          <w:rFonts w:ascii="Times New Roman" w:hAnsi="Times New Roman"/>
          <w:b/>
          <w:sz w:val="21"/>
        </w:rPr>
        <w:t>Locale Fallback:</w:t>
      </w:r>
      <w:r>
        <w:rPr>
          <w:rFonts w:ascii="Times New Roman" w:hAnsi="Times New Roman"/>
          <w:sz w:val="21"/>
        </w:rPr>
        <w:t xml:space="preserve"> Extracted from the active system </w:t>
      </w:r>
      <w:r>
        <w:rPr>
          <w:rFonts w:ascii="Consolas" w:hAnsi="Consolas"/>
          <w:color w:val="24292E"/>
          <w:sz w:val="18"/>
        </w:rPr>
        <w:t>Locale.getDefault().country</w:t>
      </w:r>
      <w:r>
        <w:rPr>
          <w:rFonts w:ascii="Times New Roman" w:hAnsi="Times New Roman"/>
          <w:sz w:val="21"/>
        </w:rPr>
        <w:t>.</w:t>
      </w:r>
    </w:p>
    <w:p>
      <w:pPr>
        <w:spacing w:after="90"/>
        <w:jc w:val="both"/>
      </w:pPr>
      <w:r>
        <w:rPr>
          <w:rFonts w:ascii="Times New Roman" w:hAnsi="Times New Roman"/>
          <w:sz w:val="21"/>
        </w:rPr>
        <w:t>The detected two-letter ISO 3166-1 alpha-2 country code is matched in constant time (</w:t>
      </w:r>
      <w:r>
        <w:rPr>
          <w:rFonts w:ascii="Cambria Math" w:hAnsi="Cambria Math"/>
          <w:sz w:val="21"/>
        </w:rPr>
        <w:t>&lt; 1 ms</w:t>
      </w:r>
      <w:r>
        <w:rPr>
          <w:rFonts w:ascii="Times New Roman" w:hAnsi="Times New Roman"/>
          <w:sz w:val="21"/>
        </w:rPr>
        <w:t>) against an internal bundled lookup table covering 10 major geopolitical jurisdictions (Table 2).</w:t>
      </w:r>
    </w:p>
    <w:p>
      <w:pPr>
        <w:keepNext/>
        <w:spacing w:before="160" w:after="60"/>
      </w:pPr>
      <w:r>
        <w:rPr>
          <w:rFonts w:ascii="Times New Roman" w:hAnsi="Times New Roman"/>
          <w:b/>
          <w:color w:val="2D3748"/>
          <w:sz w:val="21"/>
        </w:rPr>
        <w:t>Table 2: Offline National Emergency Dispatch Resolution Table</w:t>
      </w:r>
    </w:p>
    <w:tbl>
      <w:tblPr>
        <w:tblW w:type="auto" w:w="0"/>
        <w:jc w:val="center"/>
        <w:tblLayout w:type="autofit"/>
        <w:tblLook w:firstColumn="1" w:firstRow="1" w:lastColumn="0" w:lastRow="0" w:noHBand="0" w:noVBand="1" w:val="04A0"/>
        <w:tblBorders>
          <w:top w:val="single" w:sz="12" w:space="0" w:color="102C57"/>
          <w:bottom w:val="single" w:sz="12" w:space="0" w:color="102C57"/>
          <w:left w:val="none"/>
          <w:right w:val="none"/>
          <w:insideH w:val="single" w:sz="4" w:space="0" w:color="E2E8F0"/>
          <w:insideV w:val="none"/>
        </w:tblBorders>
      </w:tblPr>
      <w:tblGrid>
        <w:gridCol w:w="1872"/>
        <w:gridCol w:w="1872"/>
        <w:gridCol w:w="1872"/>
        <w:gridCol w:w="1872"/>
        <w:gridCol w:w="1872"/>
      </w:tblGrid>
      <w:tr>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Jurisdiction (ISO)</w:t>
            </w:r>
          </w:p>
        </w:tc>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Ambulance</w:t>
            </w:r>
          </w:p>
        </w:tc>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Fire</w:t>
            </w:r>
          </w:p>
        </w:tc>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Police</w:t>
            </w:r>
          </w:p>
        </w:tc>
        <w:tc>
          <w:tcPr>
            <w:tcW w:type="dxa" w:w="1872"/>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Universal</w:t>
            </w:r>
          </w:p>
        </w:tc>
      </w:tr>
      <w:tr>
        <w:tc>
          <w:tcPr>
            <w:tcW w:type="dxa" w:w="1872"/>
            <w:tcMar>
              <w:top w:w="60" w:type="dxa"/>
              <w:bottom w:w="60" w:type="dxa"/>
              <w:left w:w="100" w:type="dxa"/>
              <w:right w:w="100" w:type="dxa"/>
            </w:tcMar>
          </w:tcPr>
          <w:p>
            <w:pPr>
              <w:spacing w:before="60" w:after="60"/>
              <w:jc w:val="center"/>
            </w:pPr>
            <w:r/>
            <w:r>
              <w:rPr>
                <w:rFonts w:ascii="Times New Roman" w:hAnsi="Times New Roman"/>
                <w:sz w:val="18"/>
              </w:rPr>
              <w:t>India (</w:t>
            </w:r>
            <w:r>
              <w:rPr>
                <w:rFonts w:ascii="Consolas" w:hAnsi="Consolas"/>
                <w:color w:val="24292E"/>
                <w:sz w:val="16"/>
              </w:rPr>
              <w:t>IN</w:t>
            </w:r>
            <w:r>
              <w:rPr>
                <w:rFonts w:ascii="Times New Roman" w:hAnsi="Times New Roman"/>
                <w:sz w:val="18"/>
              </w:rPr>
              <w:t>)</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108</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101</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100</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112</w:t>
            </w:r>
          </w:p>
        </w:tc>
      </w:tr>
      <w:tr>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United States / Canada (</w:t>
            </w:r>
            <w:r>
              <w:rPr>
                <w:rFonts w:ascii="Consolas" w:hAnsi="Consolas"/>
                <w:color w:val="24292E"/>
                <w:sz w:val="16"/>
              </w:rPr>
              <w:t>US/CA</w:t>
            </w:r>
            <w:r>
              <w:rPr>
                <w:rFonts w:ascii="Times New Roman" w:hAnsi="Times New Roman"/>
                <w:sz w:val="18"/>
              </w:rPr>
              <w:t>)</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911</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911</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911</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911</w:t>
            </w:r>
          </w:p>
        </w:tc>
      </w:tr>
      <w:tr>
        <w:tc>
          <w:tcPr>
            <w:tcW w:type="dxa" w:w="1872"/>
            <w:tcMar>
              <w:top w:w="60" w:type="dxa"/>
              <w:bottom w:w="60" w:type="dxa"/>
              <w:left w:w="100" w:type="dxa"/>
              <w:right w:w="100" w:type="dxa"/>
            </w:tcMar>
          </w:tcPr>
          <w:p>
            <w:pPr>
              <w:spacing w:before="60" w:after="60"/>
              <w:jc w:val="left"/>
            </w:pPr>
            <w:r/>
            <w:r>
              <w:rPr>
                <w:rFonts w:ascii="Times New Roman" w:hAnsi="Times New Roman"/>
                <w:sz w:val="18"/>
              </w:rPr>
              <w:t>United Kingdom (</w:t>
            </w:r>
            <w:r>
              <w:rPr>
                <w:rFonts w:ascii="Consolas" w:hAnsi="Consolas"/>
                <w:color w:val="24292E"/>
                <w:sz w:val="16"/>
              </w:rPr>
              <w:t>GB</w:t>
            </w:r>
            <w:r>
              <w:rPr>
                <w:rFonts w:ascii="Times New Roman" w:hAnsi="Times New Roman"/>
                <w:sz w:val="18"/>
              </w:rPr>
              <w:t>)</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999</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999</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999</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112</w:t>
            </w:r>
          </w:p>
        </w:tc>
      </w:tr>
      <w:tr>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European Union (</w:t>
            </w:r>
            <w:r>
              <w:rPr>
                <w:rFonts w:ascii="Consolas" w:hAnsi="Consolas"/>
                <w:color w:val="24292E"/>
                <w:sz w:val="16"/>
              </w:rPr>
              <w:t>EU</w:t>
            </w:r>
            <w:r>
              <w:rPr>
                <w:rFonts w:ascii="Times New Roman" w:hAnsi="Times New Roman"/>
                <w:sz w:val="18"/>
              </w:rPr>
              <w:t>)</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112</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112</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112</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112</w:t>
            </w:r>
          </w:p>
        </w:tc>
      </w:tr>
      <w:tr>
        <w:tc>
          <w:tcPr>
            <w:tcW w:type="dxa" w:w="1872"/>
            <w:tcMar>
              <w:top w:w="60" w:type="dxa"/>
              <w:bottom w:w="60" w:type="dxa"/>
              <w:left w:w="100" w:type="dxa"/>
              <w:right w:w="100" w:type="dxa"/>
            </w:tcMar>
          </w:tcPr>
          <w:p>
            <w:pPr>
              <w:spacing w:before="60" w:after="60"/>
              <w:jc w:val="center"/>
            </w:pPr>
            <w:r/>
            <w:r>
              <w:rPr>
                <w:rFonts w:ascii="Times New Roman" w:hAnsi="Times New Roman"/>
                <w:sz w:val="18"/>
              </w:rPr>
              <w:t>China (</w:t>
            </w:r>
            <w:r>
              <w:rPr>
                <w:rFonts w:ascii="Consolas" w:hAnsi="Consolas"/>
                <w:color w:val="24292E"/>
                <w:sz w:val="16"/>
              </w:rPr>
              <w:t>CN</w:t>
            </w:r>
            <w:r>
              <w:rPr>
                <w:rFonts w:ascii="Times New Roman" w:hAnsi="Times New Roman"/>
                <w:sz w:val="18"/>
              </w:rPr>
              <w:t>)</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120</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119</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110</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w:t>
            </w:r>
          </w:p>
        </w:tc>
      </w:tr>
      <w:tr>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Japan (</w:t>
            </w:r>
            <w:r>
              <w:rPr>
                <w:rFonts w:ascii="Consolas" w:hAnsi="Consolas"/>
                <w:color w:val="24292E"/>
                <w:sz w:val="16"/>
              </w:rPr>
              <w:t>JP</w:t>
            </w:r>
            <w:r>
              <w:rPr>
                <w:rFonts w:ascii="Times New Roman" w:hAnsi="Times New Roman"/>
                <w:sz w:val="18"/>
              </w:rPr>
              <w:t>)</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119</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119</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110</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w:t>
            </w:r>
          </w:p>
        </w:tc>
      </w:tr>
      <w:tr>
        <w:tc>
          <w:tcPr>
            <w:tcW w:type="dxa" w:w="1872"/>
            <w:tcMar>
              <w:top w:w="60" w:type="dxa"/>
              <w:bottom w:w="60" w:type="dxa"/>
              <w:left w:w="100" w:type="dxa"/>
              <w:right w:w="100" w:type="dxa"/>
            </w:tcMar>
          </w:tcPr>
          <w:p>
            <w:pPr>
              <w:spacing w:before="60" w:after="60"/>
              <w:jc w:val="center"/>
            </w:pPr>
            <w:r/>
            <w:r>
              <w:rPr>
                <w:rFonts w:ascii="Times New Roman" w:hAnsi="Times New Roman"/>
                <w:sz w:val="18"/>
              </w:rPr>
              <w:t>Russia (</w:t>
            </w:r>
            <w:r>
              <w:rPr>
                <w:rFonts w:ascii="Consolas" w:hAnsi="Consolas"/>
                <w:color w:val="24292E"/>
                <w:sz w:val="16"/>
              </w:rPr>
              <w:t>RU</w:t>
            </w:r>
            <w:r>
              <w:rPr>
                <w:rFonts w:ascii="Times New Roman" w:hAnsi="Times New Roman"/>
                <w:sz w:val="18"/>
              </w:rPr>
              <w:t>)</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103</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101</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102</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112</w:t>
            </w:r>
          </w:p>
        </w:tc>
      </w:tr>
      <w:tr>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Brazil (</w:t>
            </w:r>
            <w:r>
              <w:rPr>
                <w:rFonts w:ascii="Consolas" w:hAnsi="Consolas"/>
                <w:color w:val="24292E"/>
                <w:sz w:val="16"/>
              </w:rPr>
              <w:t>BR</w:t>
            </w:r>
            <w:r>
              <w:rPr>
                <w:rFonts w:ascii="Times New Roman" w:hAnsi="Times New Roman"/>
                <w:sz w:val="18"/>
              </w:rPr>
              <w:t>)</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192</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193</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190</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w:t>
            </w:r>
          </w:p>
        </w:tc>
      </w:tr>
      <w:tr>
        <w:tc>
          <w:tcPr>
            <w:tcW w:type="dxa" w:w="1872"/>
            <w:tcMar>
              <w:top w:w="60" w:type="dxa"/>
              <w:bottom w:w="60" w:type="dxa"/>
              <w:left w:w="100" w:type="dxa"/>
              <w:right w:w="100" w:type="dxa"/>
            </w:tcMar>
          </w:tcPr>
          <w:p>
            <w:pPr>
              <w:spacing w:before="60" w:after="60"/>
              <w:jc w:val="left"/>
            </w:pPr>
            <w:r/>
            <w:r>
              <w:rPr>
                <w:rFonts w:ascii="Times New Roman" w:hAnsi="Times New Roman"/>
                <w:sz w:val="18"/>
              </w:rPr>
              <w:t>Bangladesh (</w:t>
            </w:r>
            <w:r>
              <w:rPr>
                <w:rFonts w:ascii="Consolas" w:hAnsi="Consolas"/>
                <w:color w:val="24292E"/>
                <w:sz w:val="16"/>
              </w:rPr>
              <w:t>BD</w:t>
            </w:r>
            <w:r>
              <w:rPr>
                <w:rFonts w:ascii="Times New Roman" w:hAnsi="Times New Roman"/>
                <w:sz w:val="18"/>
              </w:rPr>
              <w:t>)</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999</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999</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999</w:t>
            </w:r>
          </w:p>
        </w:tc>
        <w:tc>
          <w:tcPr>
            <w:tcW w:type="dxa" w:w="1872"/>
            <w:tcMar>
              <w:top w:w="60" w:type="dxa"/>
              <w:bottom w:w="60" w:type="dxa"/>
              <w:left w:w="100" w:type="dxa"/>
              <w:right w:w="100" w:type="dxa"/>
            </w:tcMar>
          </w:tcPr>
          <w:p>
            <w:pPr>
              <w:spacing w:before="60" w:after="60"/>
              <w:jc w:val="center"/>
            </w:pPr>
            <w:r/>
            <w:r>
              <w:rPr>
                <w:rFonts w:ascii="Times New Roman" w:hAnsi="Times New Roman"/>
                <w:sz w:val="18"/>
              </w:rPr>
              <w:t>999</w:t>
            </w:r>
          </w:p>
        </w:tc>
      </w:tr>
      <w:tr>
        <w:tc>
          <w:tcPr>
            <w:tcW w:type="dxa" w:w="1872"/>
            <w:shd w:val="clear" w:color="auto" w:fill="F7FAFC"/>
            <w:tcMar>
              <w:top w:w="60" w:type="dxa"/>
              <w:bottom w:w="60" w:type="dxa"/>
              <w:left w:w="100" w:type="dxa"/>
              <w:right w:w="100" w:type="dxa"/>
            </w:tcMar>
          </w:tcPr>
          <w:p>
            <w:pPr>
              <w:spacing w:before="60" w:after="60"/>
              <w:jc w:val="left"/>
            </w:pPr>
            <w:r/>
            <w:r>
              <w:rPr>
                <w:rFonts w:ascii="Times New Roman" w:hAnsi="Times New Roman"/>
                <w:sz w:val="18"/>
              </w:rPr>
              <w:t>Australia (</w:t>
            </w:r>
            <w:r>
              <w:rPr>
                <w:rFonts w:ascii="Consolas" w:hAnsi="Consolas"/>
                <w:color w:val="24292E"/>
                <w:sz w:val="16"/>
              </w:rPr>
              <w:t>AU</w:t>
            </w:r>
            <w:r>
              <w:rPr>
                <w:rFonts w:ascii="Times New Roman" w:hAnsi="Times New Roman"/>
                <w:sz w:val="18"/>
              </w:rPr>
              <w:t>)</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000</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000</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000</w:t>
            </w:r>
          </w:p>
        </w:tc>
        <w:tc>
          <w:tcPr>
            <w:tcW w:type="dxa" w:w="1872"/>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000</w:t>
            </w:r>
          </w:p>
        </w:tc>
      </w:tr>
    </w:tbl>
    <w:p>
      <w:pPr>
        <w:spacing w:before="0" w:after="120"/>
      </w:pPr>
    </w:p>
    <w:p>
      <w:pPr>
        <w:spacing w:after="90"/>
        <w:jc w:val="both"/>
      </w:pPr>
      <w:r>
        <w:rPr>
          <w:rFonts w:ascii="Times New Roman" w:hAnsi="Times New Roman"/>
          <w:sz w:val="21"/>
        </w:rPr>
        <w:t xml:space="preserve">When an older user taps an emergency service button, Dosezy constructs an </w:t>
      </w:r>
      <w:r>
        <w:rPr>
          <w:rFonts w:ascii="Consolas" w:hAnsi="Consolas"/>
          <w:color w:val="24292E"/>
          <w:sz w:val="18"/>
        </w:rPr>
        <w:t>Intent(Intent.ACTION_DIAL, Uri.parse("tel:" + number))</w:t>
      </w:r>
      <w:r>
        <w:rPr>
          <w:rFonts w:ascii="Times New Roman" w:hAnsi="Times New Roman"/>
          <w:sz w:val="21"/>
        </w:rPr>
        <w:t xml:space="preserve">. Using </w:t>
      </w:r>
      <w:r>
        <w:rPr>
          <w:rFonts w:ascii="Consolas" w:hAnsi="Consolas"/>
          <w:color w:val="24292E"/>
          <w:sz w:val="18"/>
        </w:rPr>
        <w:t>ACTION_DIAL</w:t>
      </w:r>
      <w:r>
        <w:rPr>
          <w:rFonts w:ascii="Times New Roman" w:hAnsi="Times New Roman"/>
          <w:sz w:val="21"/>
        </w:rPr>
        <w:t xml:space="preserve"> rather than </w:t>
      </w:r>
      <w:r>
        <w:rPr>
          <w:rFonts w:ascii="Consolas" w:hAnsi="Consolas"/>
          <w:color w:val="24292E"/>
          <w:sz w:val="18"/>
        </w:rPr>
        <w:t>ACTION_CALL</w:t>
      </w:r>
      <w:r>
        <w:rPr>
          <w:rFonts w:ascii="Times New Roman" w:hAnsi="Times New Roman"/>
          <w:sz w:val="21"/>
        </w:rPr>
        <w:t xml:space="preserve"> provides a vital safety and privacy advantage: it requires zero dangerous telephony permissions (</w:t>
      </w:r>
      <w:r>
        <w:rPr>
          <w:rFonts w:ascii="Consolas" w:hAnsi="Consolas"/>
          <w:color w:val="24292E"/>
          <w:sz w:val="18"/>
        </w:rPr>
        <w:t>android.permission.CALL_PHONE</w:t>
      </w:r>
      <w:r>
        <w:rPr>
          <w:rFonts w:ascii="Times New Roman" w:hAnsi="Times New Roman"/>
          <w:sz w:val="21"/>
        </w:rPr>
        <w:t xml:space="preserve"> is omitted), pre-populates the native dialer keypad instantly, and requires a single deliberate confirmation tap from the user, preventing accidental false-alarm dispatches while ensuring immediate access [18, 19].</w:t>
      </w:r>
    </w:p>
    <w:p>
      <w:pPr>
        <w:keepNext/>
        <w:spacing w:before="280" w:after="80"/>
      </w:pPr>
      <w:r>
        <w:rPr>
          <w:rFonts w:ascii="Times New Roman" w:hAnsi="Times New Roman"/>
          <w:b/>
          <w:color w:val="102C57"/>
          <w:sz w:val="27"/>
        </w:rPr>
        <w:t>6. Empirical Evaluation and System Profiling</w:t>
      </w:r>
    </w:p>
    <w:p>
      <w:pPr>
        <w:spacing w:after="90"/>
        <w:jc w:val="both"/>
      </w:pPr>
      <w:r>
        <w:rPr>
          <w:rFonts w:ascii="Times New Roman" w:hAnsi="Times New Roman"/>
          <w:sz w:val="21"/>
        </w:rPr>
        <w:t>We evaluated Dosezy through four empirical investigations aligned directly with our research questions:</w:t>
      </w:r>
    </w:p>
    <w:p>
      <w:pPr>
        <w:spacing w:after="70"/>
        <w:ind w:left="403"/>
        <w:jc w:val="both"/>
      </w:pPr>
      <w:r>
        <w:rPr>
          <w:rFonts w:ascii="Times New Roman" w:hAnsi="Times New Roman"/>
          <w:b/>
          <w:sz w:val="21"/>
        </w:rPr>
        <w:t xml:space="preserve">1. </w:t>
      </w:r>
      <w:r>
        <w:rPr>
          <w:rFonts w:ascii="Times New Roman" w:hAnsi="Times New Roman"/>
          <w:b/>
          <w:sz w:val="21"/>
        </w:rPr>
        <w:t>Section 6.1: Hardware Runtime Profiling (Addressing RQ3)</w:t>
      </w:r>
    </w:p>
    <w:p>
      <w:pPr>
        <w:spacing w:after="70"/>
        <w:ind w:left="403"/>
        <w:jc w:val="both"/>
      </w:pPr>
      <w:r>
        <w:rPr>
          <w:rFonts w:ascii="Times New Roman" w:hAnsi="Times New Roman"/>
          <w:b/>
          <w:sz w:val="21"/>
        </w:rPr>
        <w:t xml:space="preserve">2. </w:t>
      </w:r>
      <w:r>
        <w:rPr>
          <w:rFonts w:ascii="Times New Roman" w:hAnsi="Times New Roman"/>
          <w:b/>
          <w:sz w:val="21"/>
        </w:rPr>
        <w:t>Section 6.2: Multi-OEM Alarm Delivery Benchmarks (Addressing RQ2)</w:t>
      </w:r>
    </w:p>
    <w:p>
      <w:pPr>
        <w:spacing w:after="70"/>
        <w:ind w:left="403"/>
        <w:jc w:val="both"/>
      </w:pPr>
      <w:r>
        <w:rPr>
          <w:rFonts w:ascii="Times New Roman" w:hAnsi="Times New Roman"/>
          <w:b/>
          <w:sz w:val="21"/>
        </w:rPr>
        <w:t xml:space="preserve">3. </w:t>
      </w:r>
      <w:r>
        <w:rPr>
          <w:rFonts w:ascii="Times New Roman" w:hAnsi="Times New Roman"/>
          <w:b/>
          <w:sz w:val="21"/>
        </w:rPr>
        <w:t>Section 6.3: Within-Subjects Usability Study (Addressing RQ1)</w:t>
      </w:r>
    </w:p>
    <w:p>
      <w:pPr>
        <w:spacing w:after="70"/>
        <w:ind w:left="403"/>
        <w:jc w:val="both"/>
      </w:pPr>
      <w:r>
        <w:rPr>
          <w:rFonts w:ascii="Times New Roman" w:hAnsi="Times New Roman"/>
          <w:b/>
          <w:sz w:val="21"/>
        </w:rPr>
        <w:t xml:space="preserve">4. </w:t>
      </w:r>
      <w:r>
        <w:rPr>
          <w:rFonts w:ascii="Times New Roman" w:hAnsi="Times New Roman"/>
          <w:b/>
          <w:sz w:val="21"/>
        </w:rPr>
        <w:t>Section 6.4: Commercial Software Complexity and Telemetry Case Study (Addressing RQ4)</w:t>
      </w:r>
    </w:p>
    <w:p>
      <w:pPr>
        <w:keepNext/>
        <w:spacing w:before="220" w:after="60"/>
      </w:pPr>
      <w:r>
        <w:rPr>
          <w:rFonts w:ascii="Times New Roman" w:hAnsi="Times New Roman"/>
          <w:b/>
          <w:color w:val="1A365D"/>
          <w:sz w:val="23"/>
        </w:rPr>
        <w:t>6.1 Hardware Runtime Profiling (Addressing RQ3)</w:t>
      </w:r>
    </w:p>
    <w:p>
      <w:pPr>
        <w:spacing w:after="90"/>
        <w:jc w:val="both"/>
      </w:pPr>
      <w:r>
        <w:rPr>
          <w:rFonts w:ascii="Times New Roman" w:hAnsi="Times New Roman"/>
          <w:sz w:val="21"/>
        </w:rPr>
        <w:t>Hardware efficiency across flagship and budget tiers was profiled using the production release build (</w:t>
      </w:r>
      <w:r>
        <w:rPr>
          <w:rFonts w:ascii="Cambria Math" w:hAnsi="Cambria Math"/>
          <w:sz w:val="21"/>
        </w:rPr>
        <w:t>12.4 MB</w:t>
      </w:r>
      <w:r>
        <w:rPr>
          <w:rFonts w:ascii="Times New Roman" w:hAnsi="Times New Roman"/>
          <w:sz w:val="21"/>
        </w:rPr>
        <w:t xml:space="preserve"> APK) across two physical benchmark devices:</w:t>
      </w:r>
    </w:p>
    <w:p>
      <w:pPr>
        <w:spacing w:after="70"/>
        <w:ind w:left="403"/>
        <w:jc w:val="both"/>
      </w:pPr>
      <w:r>
        <w:rPr>
          <w:rFonts w:ascii="Times New Roman" w:hAnsi="Times New Roman"/>
          <w:b/>
          <w:sz w:val="21"/>
        </w:rPr>
        <w:t xml:space="preserve">•  </w:t>
      </w:r>
      <w:r>
        <w:rPr>
          <w:rFonts w:ascii="Times New Roman" w:hAnsi="Times New Roman"/>
          <w:b/>
          <w:sz w:val="21"/>
        </w:rPr>
        <w:t>Device 1 (Flagship):</w:t>
      </w:r>
      <w:r>
        <w:rPr>
          <w:rFonts w:ascii="Times New Roman" w:hAnsi="Times New Roman"/>
          <w:sz w:val="21"/>
        </w:rPr>
        <w:t xml:space="preserve"> Google Pixel 7 (Android 14, Google Tensor G2 SoC, 8 GB LPDDR5 RAM).</w:t>
      </w:r>
    </w:p>
    <w:p>
      <w:pPr>
        <w:spacing w:after="70"/>
        <w:ind w:left="403"/>
        <w:jc w:val="both"/>
      </w:pPr>
      <w:r>
        <w:rPr>
          <w:rFonts w:ascii="Times New Roman" w:hAnsi="Times New Roman"/>
          <w:b/>
          <w:sz w:val="21"/>
        </w:rPr>
        <w:t xml:space="preserve">•  </w:t>
      </w:r>
      <w:r>
        <w:rPr>
          <w:rFonts w:ascii="Times New Roman" w:hAnsi="Times New Roman"/>
          <w:b/>
          <w:sz w:val="21"/>
        </w:rPr>
        <w:t>Device 2 (Entry-Level):</w:t>
      </w:r>
      <w:r>
        <w:rPr>
          <w:rFonts w:ascii="Times New Roman" w:hAnsi="Times New Roman"/>
          <w:sz w:val="21"/>
        </w:rPr>
        <w:t xml:space="preserve"> Samsung Galaxy A13 (Android 13, Exynos 850 SoC, 3 GB LPDDR4x RAM).</w:t>
      </w:r>
    </w:p>
    <w:p>
      <w:pPr>
        <w:spacing w:after="90"/>
        <w:jc w:val="both"/>
      </w:pPr>
      <w:r>
        <w:rPr>
          <w:rFonts w:ascii="Times New Roman" w:hAnsi="Times New Roman"/>
          <w:sz w:val="21"/>
        </w:rPr>
        <w:t>We executed 10 independent cold startup trials on each device, terminating the application process via ADB (</w:t>
      </w:r>
      <w:r>
        <w:rPr>
          <w:rFonts w:ascii="Consolas" w:hAnsi="Consolas"/>
          <w:color w:val="24292E"/>
          <w:sz w:val="18"/>
        </w:rPr>
        <w:t>am force-stop</w:t>
      </w:r>
      <w:r>
        <w:rPr>
          <w:rFonts w:ascii="Times New Roman" w:hAnsi="Times New Roman"/>
          <w:sz w:val="21"/>
        </w:rPr>
        <w:t>) prior to each iteration. Timing metrics were captured using Android Jetpack Macrobenchmark and Android Studio Profiler.</w:t>
      </w:r>
    </w:p>
    <w:p>
      <w:pPr>
        <w:keepNext/>
        <w:spacing w:before="160" w:after="60"/>
      </w:pPr>
      <w:r>
        <w:rPr>
          <w:rFonts w:ascii="Times New Roman" w:hAnsi="Times New Roman"/>
          <w:b/>
          <w:color w:val="2D3748"/>
          <w:sz w:val="21"/>
        </w:rPr>
        <w:t>Table 3: Hardware Performance and Micro-Benchmark Profiling (Mean $ ± $ SD across 10 trials)</w:t>
      </w:r>
    </w:p>
    <w:tbl>
      <w:tblPr>
        <w:tblW w:type="auto" w:w="0"/>
        <w:jc w:val="center"/>
        <w:tblLayout w:type="autofit"/>
        <w:tblLook w:firstColumn="1" w:firstRow="1" w:lastColumn="0" w:lastRow="0" w:noHBand="0" w:noVBand="1" w:val="04A0"/>
        <w:tblBorders>
          <w:top w:val="single" w:sz="12" w:space="0" w:color="102C57"/>
          <w:bottom w:val="single" w:sz="12" w:space="0" w:color="102C57"/>
          <w:left w:val="none"/>
          <w:right w:val="none"/>
          <w:insideH w:val="single" w:sz="4" w:space="0" w:color="E2E8F0"/>
          <w:insideV w:val="none"/>
        </w:tblBorders>
      </w:tblPr>
      <w:tblGrid>
        <w:gridCol w:w="2340"/>
        <w:gridCol w:w="2340"/>
        <w:gridCol w:w="2340"/>
        <w:gridCol w:w="2340"/>
      </w:tblGrid>
      <w:tr>
        <w:tc>
          <w:tcPr>
            <w:tcW w:type="dxa" w:w="234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Performance Metric</w:t>
            </w:r>
          </w:p>
        </w:tc>
        <w:tc>
          <w:tcPr>
            <w:tcW w:type="dxa" w:w="234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Google Pixel 7 (Flagship)</w:t>
            </w:r>
          </w:p>
        </w:tc>
        <w:tc>
          <w:tcPr>
            <w:tcW w:type="dxa" w:w="234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Samsung Galaxy A13 (Entry)</w:t>
            </w:r>
          </w:p>
        </w:tc>
        <w:tc>
          <w:tcPr>
            <w:tcW w:type="dxa" w:w="234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Combined Metric</w:t>
            </w:r>
          </w:p>
        </w:tc>
      </w:tr>
      <w:tr>
        <w:tc>
          <w:tcPr>
            <w:tcW w:type="dxa" w:w="2340"/>
            <w:tcMar>
              <w:top w:w="60" w:type="dxa"/>
              <w:bottom w:w="60" w:type="dxa"/>
              <w:left w:w="100" w:type="dxa"/>
              <w:right w:w="100" w:type="dxa"/>
            </w:tcMar>
          </w:tcPr>
          <w:p>
            <w:pPr>
              <w:spacing w:before="60" w:after="60"/>
              <w:jc w:val="left"/>
            </w:pPr>
            <w:r/>
            <w:r>
              <w:rPr>
                <w:rFonts w:ascii="Times New Roman" w:hAnsi="Times New Roman"/>
                <w:sz w:val="18"/>
              </w:rPr>
              <w:t>Cold Startup Latency (ms)</w:t>
            </w:r>
          </w:p>
        </w:tc>
        <w:tc>
          <w:tcPr>
            <w:tcW w:type="dxa" w:w="2340"/>
            <w:tcMar>
              <w:top w:w="60" w:type="dxa"/>
              <w:bottom w:w="60" w:type="dxa"/>
              <w:left w:w="100" w:type="dxa"/>
              <w:right w:w="100" w:type="dxa"/>
            </w:tcMar>
          </w:tcPr>
          <w:p>
            <w:pPr>
              <w:spacing w:before="60" w:after="60"/>
              <w:jc w:val="center"/>
            </w:pPr>
            <w:r/>
            <w:r>
              <w:rPr>
                <w:rFonts w:ascii="Cambria Math" w:hAnsi="Cambria Math"/>
                <w:sz w:val="18"/>
              </w:rPr>
              <w:t>420 ± 28</w:t>
            </w:r>
          </w:p>
        </w:tc>
        <w:tc>
          <w:tcPr>
            <w:tcW w:type="dxa" w:w="2340"/>
            <w:tcMar>
              <w:top w:w="60" w:type="dxa"/>
              <w:bottom w:w="60" w:type="dxa"/>
              <w:left w:w="100" w:type="dxa"/>
              <w:right w:w="100" w:type="dxa"/>
            </w:tcMar>
          </w:tcPr>
          <w:p>
            <w:pPr>
              <w:spacing w:before="60" w:after="60"/>
              <w:jc w:val="center"/>
            </w:pPr>
            <w:r/>
            <w:r>
              <w:rPr>
                <w:rFonts w:ascii="Cambria Math" w:hAnsi="Cambria Math"/>
                <w:sz w:val="18"/>
              </w:rPr>
              <w:t>780 ± 45</w:t>
            </w:r>
          </w:p>
        </w:tc>
        <w:tc>
          <w:tcPr>
            <w:tcW w:type="dxa" w:w="2340"/>
            <w:tcMar>
              <w:top w:w="60" w:type="dxa"/>
              <w:bottom w:w="60" w:type="dxa"/>
              <w:left w:w="100" w:type="dxa"/>
              <w:right w:w="100" w:type="dxa"/>
            </w:tcMar>
          </w:tcPr>
          <w:p>
            <w:pPr>
              <w:spacing w:before="60" w:after="60"/>
              <w:jc w:val="center"/>
            </w:pPr>
            <w:r/>
            <w:r>
              <w:rPr>
                <w:rFonts w:ascii="Cambria Math" w:hAnsi="Cambria Math"/>
                <w:sz w:val="18"/>
              </w:rPr>
              <w:t>600 ± 185</w:t>
            </w:r>
          </w:p>
        </w:tc>
      </w:tr>
      <w:tr>
        <w:tc>
          <w:tcPr>
            <w:tcW w:type="dxa" w:w="2340"/>
            <w:shd w:val="clear" w:color="auto" w:fill="F7FAFC"/>
            <w:tcMar>
              <w:top w:w="60" w:type="dxa"/>
              <w:bottom w:w="60" w:type="dxa"/>
              <w:left w:w="100" w:type="dxa"/>
              <w:right w:w="100" w:type="dxa"/>
            </w:tcMar>
          </w:tcPr>
          <w:p>
            <w:pPr>
              <w:spacing w:before="60" w:after="60"/>
              <w:jc w:val="left"/>
            </w:pPr>
            <w:r/>
            <w:r>
              <w:rPr>
                <w:rFonts w:ascii="Times New Roman" w:hAnsi="Times New Roman"/>
                <w:sz w:val="18"/>
              </w:rPr>
              <w:t>Runtime Heap Memory (MB)</w:t>
            </w:r>
          </w:p>
        </w:tc>
        <w:tc>
          <w:tcPr>
            <w:tcW w:type="dxa" w:w="2340"/>
            <w:shd w:val="clear" w:color="auto" w:fill="F7FAFC"/>
            <w:tcMar>
              <w:top w:w="60" w:type="dxa"/>
              <w:bottom w:w="60" w:type="dxa"/>
              <w:left w:w="100" w:type="dxa"/>
              <w:right w:w="100" w:type="dxa"/>
            </w:tcMar>
          </w:tcPr>
          <w:p>
            <w:pPr>
              <w:spacing w:before="60" w:after="60"/>
              <w:jc w:val="left"/>
            </w:pPr>
            <w:r/>
            <w:r>
              <w:rPr>
                <w:rFonts w:ascii="Cambria Math" w:hAnsi="Cambria Math"/>
                <w:sz w:val="18"/>
              </w:rPr>
              <w:t>36.4 ± 2.1</w:t>
            </w:r>
          </w:p>
        </w:tc>
        <w:tc>
          <w:tcPr>
            <w:tcW w:type="dxa" w:w="2340"/>
            <w:shd w:val="clear" w:color="auto" w:fill="F7FAFC"/>
            <w:tcMar>
              <w:top w:w="60" w:type="dxa"/>
              <w:bottom w:w="60" w:type="dxa"/>
              <w:left w:w="100" w:type="dxa"/>
              <w:right w:w="100" w:type="dxa"/>
            </w:tcMar>
          </w:tcPr>
          <w:p>
            <w:pPr>
              <w:spacing w:before="60" w:after="60"/>
              <w:jc w:val="left"/>
            </w:pPr>
            <w:r/>
            <w:r>
              <w:rPr>
                <w:rFonts w:ascii="Cambria Math" w:hAnsi="Cambria Math"/>
                <w:sz w:val="18"/>
              </w:rPr>
              <w:t>34.8 ± 1.8</w:t>
            </w:r>
          </w:p>
        </w:tc>
        <w:tc>
          <w:tcPr>
            <w:tcW w:type="dxa" w:w="2340"/>
            <w:shd w:val="clear" w:color="auto" w:fill="F7FAFC"/>
            <w:tcMar>
              <w:top w:w="60" w:type="dxa"/>
              <w:bottom w:w="60" w:type="dxa"/>
              <w:left w:w="100" w:type="dxa"/>
              <w:right w:w="100" w:type="dxa"/>
            </w:tcMar>
          </w:tcPr>
          <w:p>
            <w:pPr>
              <w:spacing w:before="60" w:after="60"/>
              <w:jc w:val="left"/>
            </w:pPr>
            <w:r/>
            <w:r>
              <w:rPr>
                <w:rFonts w:ascii="Cambria Math" w:hAnsi="Cambria Math"/>
                <w:sz w:val="18"/>
              </w:rPr>
              <w:t>35.6 ± 2.1</w:t>
            </w:r>
          </w:p>
        </w:tc>
      </w:tr>
      <w:tr>
        <w:tc>
          <w:tcPr>
            <w:tcW w:type="dxa" w:w="2340"/>
            <w:tcMar>
              <w:top w:w="60" w:type="dxa"/>
              <w:bottom w:w="60" w:type="dxa"/>
              <w:left w:w="100" w:type="dxa"/>
              <w:right w:w="100" w:type="dxa"/>
            </w:tcMar>
          </w:tcPr>
          <w:p>
            <w:pPr>
              <w:spacing w:before="60" w:after="60"/>
              <w:jc w:val="left"/>
            </w:pPr>
            <w:r/>
            <w:r>
              <w:rPr>
                <w:rFonts w:ascii="Times New Roman" w:hAnsi="Times New Roman"/>
                <w:sz w:val="18"/>
              </w:rPr>
              <w:t>Database Query Latency (500 records)</w:t>
            </w:r>
          </w:p>
        </w:tc>
        <w:tc>
          <w:tcPr>
            <w:tcW w:type="dxa" w:w="2340"/>
            <w:tcMar>
              <w:top w:w="60" w:type="dxa"/>
              <w:bottom w:w="60" w:type="dxa"/>
              <w:left w:w="100" w:type="dxa"/>
              <w:right w:w="100" w:type="dxa"/>
            </w:tcMar>
          </w:tcPr>
          <w:p>
            <w:pPr>
              <w:spacing w:before="60" w:after="60"/>
              <w:jc w:val="left"/>
            </w:pPr>
            <w:r/>
            <w:r>
              <w:rPr>
                <w:rFonts w:ascii="Cambria Math" w:hAnsi="Cambria Math"/>
                <w:sz w:val="18"/>
              </w:rPr>
              <w:t>6.2 ± 1.1 ms</w:t>
            </w:r>
          </w:p>
        </w:tc>
        <w:tc>
          <w:tcPr>
            <w:tcW w:type="dxa" w:w="2340"/>
            <w:tcMar>
              <w:top w:w="60" w:type="dxa"/>
              <w:bottom w:w="60" w:type="dxa"/>
              <w:left w:w="100" w:type="dxa"/>
              <w:right w:w="100" w:type="dxa"/>
            </w:tcMar>
          </w:tcPr>
          <w:p>
            <w:pPr>
              <w:spacing w:before="60" w:after="60"/>
              <w:jc w:val="left"/>
            </w:pPr>
            <w:r/>
            <w:r>
              <w:rPr>
                <w:rFonts w:ascii="Cambria Math" w:hAnsi="Cambria Math"/>
                <w:sz w:val="18"/>
              </w:rPr>
              <w:t>11.4 ± 2.3 ms</w:t>
            </w:r>
          </w:p>
        </w:tc>
        <w:tc>
          <w:tcPr>
            <w:tcW w:type="dxa" w:w="2340"/>
            <w:tcMar>
              <w:top w:w="60" w:type="dxa"/>
              <w:bottom w:w="60" w:type="dxa"/>
              <w:left w:w="100" w:type="dxa"/>
              <w:right w:w="100" w:type="dxa"/>
            </w:tcMar>
          </w:tcPr>
          <w:p>
            <w:pPr>
              <w:spacing w:before="60" w:after="60"/>
              <w:jc w:val="left"/>
            </w:pPr>
            <w:r/>
            <w:r>
              <w:rPr>
                <w:rFonts w:ascii="Cambria Math" w:hAnsi="Cambria Math"/>
                <w:sz w:val="18"/>
              </w:rPr>
              <w:t>8.8 ± 3.1 ms</w:t>
            </w:r>
          </w:p>
        </w:tc>
      </w:tr>
      <w:tr>
        <w:tc>
          <w:tcPr>
            <w:tcW w:type="dxa" w:w="2340"/>
            <w:shd w:val="clear" w:color="auto" w:fill="F7FAFC"/>
            <w:tcMar>
              <w:top w:w="60" w:type="dxa"/>
              <w:bottom w:w="60" w:type="dxa"/>
              <w:left w:w="100" w:type="dxa"/>
              <w:right w:w="100" w:type="dxa"/>
            </w:tcMar>
          </w:tcPr>
          <w:p>
            <w:pPr>
              <w:spacing w:before="60" w:after="60"/>
              <w:jc w:val="left"/>
            </w:pPr>
            <w:r/>
            <w:r>
              <w:rPr>
                <w:rFonts w:ascii="Times New Roman" w:hAnsi="Times New Roman"/>
                <w:sz w:val="18"/>
              </w:rPr>
              <w:t>Vector PDF Report Generation Latency</w:t>
            </w:r>
          </w:p>
        </w:tc>
        <w:tc>
          <w:tcPr>
            <w:tcW w:type="dxa" w:w="2340"/>
            <w:shd w:val="clear" w:color="auto" w:fill="F7FAFC"/>
            <w:tcMar>
              <w:top w:w="60" w:type="dxa"/>
              <w:bottom w:w="60" w:type="dxa"/>
              <w:left w:w="100" w:type="dxa"/>
              <w:right w:w="100" w:type="dxa"/>
            </w:tcMar>
          </w:tcPr>
          <w:p>
            <w:pPr>
              <w:spacing w:before="60" w:after="60"/>
              <w:jc w:val="left"/>
            </w:pPr>
            <w:r/>
            <w:r>
              <w:rPr>
                <w:rFonts w:ascii="Cambria Math" w:hAnsi="Cambria Math"/>
                <w:sz w:val="18"/>
              </w:rPr>
              <w:t>118 ± 12 ms</w:t>
            </w:r>
          </w:p>
        </w:tc>
        <w:tc>
          <w:tcPr>
            <w:tcW w:type="dxa" w:w="2340"/>
            <w:shd w:val="clear" w:color="auto" w:fill="F7FAFC"/>
            <w:tcMar>
              <w:top w:w="60" w:type="dxa"/>
              <w:bottom w:w="60" w:type="dxa"/>
              <w:left w:w="100" w:type="dxa"/>
              <w:right w:w="100" w:type="dxa"/>
            </w:tcMar>
          </w:tcPr>
          <w:p>
            <w:pPr>
              <w:spacing w:before="60" w:after="60"/>
              <w:jc w:val="left"/>
            </w:pPr>
            <w:r/>
            <w:r>
              <w:rPr>
                <w:rFonts w:ascii="Cambria Math" w:hAnsi="Cambria Math"/>
                <w:sz w:val="18"/>
              </w:rPr>
              <w:t>166 ± 19 ms</w:t>
            </w:r>
          </w:p>
        </w:tc>
        <w:tc>
          <w:tcPr>
            <w:tcW w:type="dxa" w:w="2340"/>
            <w:shd w:val="clear" w:color="auto" w:fill="F7FAFC"/>
            <w:tcMar>
              <w:top w:w="60" w:type="dxa"/>
              <w:bottom w:w="60" w:type="dxa"/>
              <w:left w:w="100" w:type="dxa"/>
              <w:right w:w="100" w:type="dxa"/>
            </w:tcMar>
          </w:tcPr>
          <w:p>
            <w:pPr>
              <w:spacing w:before="60" w:after="60"/>
              <w:jc w:val="left"/>
            </w:pPr>
            <w:r/>
            <w:r>
              <w:rPr>
                <w:rFonts w:ascii="Cambria Math" w:hAnsi="Cambria Math"/>
                <w:sz w:val="18"/>
              </w:rPr>
              <w:t>142 ± 18 ms</w:t>
            </w:r>
          </w:p>
        </w:tc>
      </w:tr>
      <w:tr>
        <w:tc>
          <w:tcPr>
            <w:tcW w:type="dxa" w:w="2340"/>
            <w:tcMar>
              <w:top w:w="60" w:type="dxa"/>
              <w:bottom w:w="60" w:type="dxa"/>
              <w:left w:w="100" w:type="dxa"/>
              <w:right w:w="100" w:type="dxa"/>
            </w:tcMar>
          </w:tcPr>
          <w:p>
            <w:pPr>
              <w:spacing w:before="60" w:after="60"/>
              <w:jc w:val="left"/>
            </w:pPr>
            <w:r/>
            <w:r>
              <w:rPr>
                <w:rFonts w:ascii="Times New Roman" w:hAnsi="Times New Roman"/>
                <w:sz w:val="18"/>
              </w:rPr>
              <w:t>Offline Emergency ISO Lookup Latency</w:t>
            </w:r>
          </w:p>
        </w:tc>
        <w:tc>
          <w:tcPr>
            <w:tcW w:type="dxa" w:w="2340"/>
            <w:tcMar>
              <w:top w:w="60" w:type="dxa"/>
              <w:bottom w:w="60" w:type="dxa"/>
              <w:left w:w="100" w:type="dxa"/>
              <w:right w:w="100" w:type="dxa"/>
            </w:tcMar>
          </w:tcPr>
          <w:p>
            <w:pPr>
              <w:spacing w:before="60" w:after="60"/>
              <w:jc w:val="left"/>
            </w:pPr>
            <w:r/>
            <w:r>
              <w:rPr>
                <w:rFonts w:ascii="Cambria Math" w:hAnsi="Cambria Math"/>
                <w:sz w:val="18"/>
              </w:rPr>
              <w:t>&lt; 1 ms</w:t>
            </w:r>
          </w:p>
        </w:tc>
        <w:tc>
          <w:tcPr>
            <w:tcW w:type="dxa" w:w="2340"/>
            <w:tcMar>
              <w:top w:w="60" w:type="dxa"/>
              <w:bottom w:w="60" w:type="dxa"/>
              <w:left w:w="100" w:type="dxa"/>
              <w:right w:w="100" w:type="dxa"/>
            </w:tcMar>
          </w:tcPr>
          <w:p>
            <w:pPr>
              <w:spacing w:before="60" w:after="60"/>
              <w:jc w:val="left"/>
            </w:pPr>
            <w:r/>
            <w:r>
              <w:rPr>
                <w:rFonts w:ascii="Cambria Math" w:hAnsi="Cambria Math"/>
                <w:sz w:val="18"/>
              </w:rPr>
              <w:t>&lt; 1 ms</w:t>
            </w:r>
          </w:p>
        </w:tc>
        <w:tc>
          <w:tcPr>
            <w:tcW w:type="dxa" w:w="2340"/>
            <w:tcMar>
              <w:top w:w="60" w:type="dxa"/>
              <w:bottom w:w="60" w:type="dxa"/>
              <w:left w:w="100" w:type="dxa"/>
              <w:right w:w="100" w:type="dxa"/>
            </w:tcMar>
          </w:tcPr>
          <w:p>
            <w:pPr>
              <w:spacing w:before="60" w:after="60"/>
              <w:jc w:val="left"/>
            </w:pPr>
            <w:r/>
            <w:r>
              <w:rPr>
                <w:rFonts w:ascii="Cambria Math" w:hAnsi="Cambria Math"/>
                <w:sz w:val="18"/>
              </w:rPr>
              <w:t>&lt; 1 ms</w:t>
            </w:r>
          </w:p>
        </w:tc>
      </w:tr>
      <w:tr>
        <w:tc>
          <w:tcPr>
            <w:tcW w:type="dxa" w:w="2340"/>
            <w:shd w:val="clear" w:color="auto" w:fill="F7FAFC"/>
            <w:tcMar>
              <w:top w:w="60" w:type="dxa"/>
              <w:bottom w:w="60" w:type="dxa"/>
              <w:left w:w="100" w:type="dxa"/>
              <w:right w:w="100" w:type="dxa"/>
            </w:tcMar>
          </w:tcPr>
          <w:p>
            <w:pPr>
              <w:spacing w:before="60" w:after="60"/>
              <w:jc w:val="left"/>
            </w:pPr>
            <w:r/>
            <w:r>
              <w:rPr>
                <w:rFonts w:ascii="Times New Roman" w:hAnsi="Times New Roman"/>
                <w:sz w:val="18"/>
              </w:rPr>
              <w:t>APK Package Size (MB)</w:t>
            </w:r>
          </w:p>
        </w:tc>
        <w:tc>
          <w:tcPr>
            <w:tcW w:type="dxa" w:w="2340"/>
            <w:shd w:val="clear" w:color="auto" w:fill="F7FAFC"/>
            <w:tcMar>
              <w:top w:w="60" w:type="dxa"/>
              <w:bottom w:w="60" w:type="dxa"/>
              <w:left w:w="100" w:type="dxa"/>
              <w:right w:w="100" w:type="dxa"/>
            </w:tcMar>
          </w:tcPr>
          <w:p>
            <w:pPr>
              <w:spacing w:before="60" w:after="60"/>
              <w:jc w:val="left"/>
            </w:pPr>
            <w:r/>
            <w:r>
              <w:rPr>
                <w:rFonts w:ascii="Cambria Math" w:hAnsi="Cambria Math"/>
                <w:sz w:val="18"/>
              </w:rPr>
              <w:t>12.4 MB</w:t>
            </w:r>
          </w:p>
        </w:tc>
        <w:tc>
          <w:tcPr>
            <w:tcW w:type="dxa" w:w="2340"/>
            <w:shd w:val="clear" w:color="auto" w:fill="F7FAFC"/>
            <w:tcMar>
              <w:top w:w="60" w:type="dxa"/>
              <w:bottom w:w="60" w:type="dxa"/>
              <w:left w:w="100" w:type="dxa"/>
              <w:right w:w="100" w:type="dxa"/>
            </w:tcMar>
          </w:tcPr>
          <w:p>
            <w:pPr>
              <w:spacing w:before="60" w:after="60"/>
              <w:jc w:val="left"/>
            </w:pPr>
            <w:r/>
            <w:r>
              <w:rPr>
                <w:rFonts w:ascii="Cambria Math" w:hAnsi="Cambria Math"/>
                <w:sz w:val="18"/>
              </w:rPr>
              <w:t>12.4 MB</w:t>
            </w:r>
          </w:p>
        </w:tc>
        <w:tc>
          <w:tcPr>
            <w:tcW w:type="dxa" w:w="2340"/>
            <w:shd w:val="clear" w:color="auto" w:fill="F7FAFC"/>
            <w:tcMar>
              <w:top w:w="60" w:type="dxa"/>
              <w:bottom w:w="60" w:type="dxa"/>
              <w:left w:w="100" w:type="dxa"/>
              <w:right w:w="100" w:type="dxa"/>
            </w:tcMar>
          </w:tcPr>
          <w:p>
            <w:pPr>
              <w:spacing w:before="60" w:after="60"/>
              <w:jc w:val="left"/>
            </w:pPr>
            <w:r/>
            <w:r>
              <w:rPr>
                <w:rFonts w:ascii="Cambria Math" w:hAnsi="Cambria Math"/>
                <w:sz w:val="18"/>
              </w:rPr>
              <w:t>12.4 MB</w:t>
            </w:r>
          </w:p>
        </w:tc>
      </w:tr>
      <w:tr>
        <w:tc>
          <w:tcPr>
            <w:tcW w:type="dxa" w:w="2340"/>
            <w:tcMar>
              <w:top w:w="60" w:type="dxa"/>
              <w:bottom w:w="60" w:type="dxa"/>
              <w:left w:w="100" w:type="dxa"/>
              <w:right w:w="100" w:type="dxa"/>
            </w:tcMar>
          </w:tcPr>
          <w:p>
            <w:pPr>
              <w:spacing w:before="60" w:after="60"/>
              <w:jc w:val="left"/>
            </w:pPr>
            <w:r/>
            <w:r>
              <w:rPr>
                <w:rFonts w:ascii="Times New Roman" w:hAnsi="Times New Roman"/>
                <w:sz w:val="18"/>
              </w:rPr>
              <w:t>Peak Frame Render Time (99th percentile)</w:t>
            </w:r>
          </w:p>
        </w:tc>
        <w:tc>
          <w:tcPr>
            <w:tcW w:type="dxa" w:w="2340"/>
            <w:tcMar>
              <w:top w:w="60" w:type="dxa"/>
              <w:bottom w:w="60" w:type="dxa"/>
              <w:left w:w="100" w:type="dxa"/>
              <w:right w:w="100" w:type="dxa"/>
            </w:tcMar>
          </w:tcPr>
          <w:p>
            <w:pPr>
              <w:spacing w:before="60" w:after="60"/>
              <w:jc w:val="left"/>
            </w:pPr>
            <w:r/>
            <w:r>
              <w:rPr>
                <w:rFonts w:ascii="Cambria Math" w:hAnsi="Cambria Math"/>
                <w:sz w:val="18"/>
              </w:rPr>
              <w:t>7.4 ms</w:t>
            </w:r>
            <w:r>
              <w:rPr>
                <w:rFonts w:ascii="Times New Roman" w:hAnsi="Times New Roman"/>
                <w:sz w:val="18"/>
              </w:rPr>
              <w:t xml:space="preserve"> (135 fps)</w:t>
            </w:r>
          </w:p>
        </w:tc>
        <w:tc>
          <w:tcPr>
            <w:tcW w:type="dxa" w:w="2340"/>
            <w:tcMar>
              <w:top w:w="60" w:type="dxa"/>
              <w:bottom w:w="60" w:type="dxa"/>
              <w:left w:w="100" w:type="dxa"/>
              <w:right w:w="100" w:type="dxa"/>
            </w:tcMar>
          </w:tcPr>
          <w:p>
            <w:pPr>
              <w:spacing w:before="60" w:after="60"/>
              <w:jc w:val="left"/>
            </w:pPr>
            <w:r/>
            <w:r>
              <w:rPr>
                <w:rFonts w:ascii="Cambria Math" w:hAnsi="Cambria Math"/>
                <w:sz w:val="18"/>
              </w:rPr>
              <w:t>14.2 ms</w:t>
            </w:r>
            <w:r>
              <w:rPr>
                <w:rFonts w:ascii="Times New Roman" w:hAnsi="Times New Roman"/>
                <w:sz w:val="18"/>
              </w:rPr>
              <w:t xml:space="preserve"> (70 fps)</w:t>
            </w:r>
          </w:p>
        </w:tc>
        <w:tc>
          <w:tcPr>
            <w:tcW w:type="dxa" w:w="2340"/>
            <w:tcMar>
              <w:top w:w="60" w:type="dxa"/>
              <w:bottom w:w="60" w:type="dxa"/>
              <w:left w:w="100" w:type="dxa"/>
              <w:right w:w="100" w:type="dxa"/>
            </w:tcMar>
          </w:tcPr>
          <w:p>
            <w:pPr>
              <w:spacing w:before="60" w:after="60"/>
              <w:jc w:val="left"/>
            </w:pPr>
            <w:r/>
            <w:r>
              <w:rPr>
                <w:rFonts w:ascii="Cambria Math" w:hAnsi="Cambria Math"/>
                <w:sz w:val="18"/>
              </w:rPr>
              <w:t>&lt; 16.6 ms</w:t>
            </w:r>
            <w:r>
              <w:rPr>
                <w:rFonts w:ascii="Times New Roman" w:hAnsi="Times New Roman"/>
                <w:sz w:val="18"/>
              </w:rPr>
              <w:t xml:space="preserve"> (60 fps threshold)</w:t>
            </w:r>
          </w:p>
        </w:tc>
      </w:tr>
    </w:tbl>
    <w:p>
      <w:pPr>
        <w:spacing w:before="0" w:after="120"/>
      </w:pPr>
    </w:p>
    <w:p>
      <w:pPr>
        <w:spacing w:after="90"/>
        <w:jc w:val="both"/>
      </w:pPr>
      <w:r>
        <w:rPr>
          <w:rFonts w:ascii="Times New Roman" w:hAnsi="Times New Roman"/>
          <w:sz w:val="21"/>
        </w:rPr>
        <w:t>As documented in Table 3, Dosezy achieved cold startup times well under 1 second even on the low-tier Exynos 850 processor (</w:t>
      </w:r>
      <w:r>
        <w:rPr>
          <w:rFonts w:ascii="Cambria Math" w:hAnsi="Cambria Math"/>
          <w:sz w:val="21"/>
        </w:rPr>
        <w:t>780 ± 45 ms</w:t>
      </w:r>
      <w:r>
        <w:rPr>
          <w:rFonts w:ascii="Times New Roman" w:hAnsi="Times New Roman"/>
          <w:sz w:val="21"/>
        </w:rPr>
        <w:t xml:space="preserve">), while maintaining a steady-state heap allocation of approximately </w:t>
      </w:r>
      <w:r>
        <w:rPr>
          <w:rFonts w:ascii="Cambria Math" w:hAnsi="Cambria Math"/>
          <w:sz w:val="21"/>
        </w:rPr>
        <w:t>35 MB</w:t>
      </w:r>
      <w:r>
        <w:rPr>
          <w:rFonts w:ascii="Times New Roman" w:hAnsi="Times New Roman"/>
          <w:sz w:val="21"/>
        </w:rPr>
        <w:t xml:space="preserve">. Retrieving 500 historical dosage logs from the Room SQLite database completed in </w:t>
      </w:r>
      <w:r>
        <w:rPr>
          <w:rFonts w:ascii="Cambria Math" w:hAnsi="Cambria Math"/>
          <w:sz w:val="21"/>
        </w:rPr>
        <w:t>8.8 ms</w:t>
      </w:r>
      <w:r>
        <w:rPr>
          <w:rFonts w:ascii="Times New Roman" w:hAnsi="Times New Roman"/>
          <w:sz w:val="21"/>
        </w:rPr>
        <w:t xml:space="preserve"> on average, well within the </w:t>
      </w:r>
      <w:r>
        <w:rPr>
          <w:rFonts w:ascii="Cambria Math" w:hAnsi="Cambria Math"/>
          <w:sz w:val="21"/>
        </w:rPr>
        <w:t>16.6 ms</w:t>
      </w:r>
      <w:r>
        <w:rPr>
          <w:rFonts w:ascii="Times New Roman" w:hAnsi="Times New Roman"/>
          <w:sz w:val="21"/>
        </w:rPr>
        <w:t xml:space="preserve"> frame budget, preventing UI thread jank. On-device vector PDF report generation required </w:t>
      </w:r>
      <w:r>
        <w:rPr>
          <w:rFonts w:ascii="Cambria Math" w:hAnsi="Cambria Math"/>
          <w:sz w:val="21"/>
        </w:rPr>
        <w:t>142 ± 18 ms</w:t>
      </w:r>
      <w:r>
        <w:rPr>
          <w:rFonts w:ascii="Times New Roman" w:hAnsi="Times New Roman"/>
          <w:sz w:val="21"/>
        </w:rPr>
        <w:t xml:space="preserve">, and ISO emergency number resolution executed in under </w:t>
      </w:r>
      <w:r>
        <w:rPr>
          <w:rFonts w:ascii="Cambria Math" w:hAnsi="Cambria Math"/>
          <w:sz w:val="21"/>
        </w:rPr>
        <w:t>1 ms</w:t>
      </w:r>
      <w:r>
        <w:rPr>
          <w:rFonts w:ascii="Times New Roman" w:hAnsi="Times New Roman"/>
          <w:sz w:val="21"/>
        </w:rPr>
        <w:t>, confirming that local storage and emergency resolution operations execute well below the 16.6 ms frame rendering threshold, avoiding main-thread hitching.</w:t>
      </w:r>
    </w:p>
    <w:p>
      <w:pPr>
        <w:keepNext/>
        <w:spacing w:before="220" w:after="60"/>
      </w:pPr>
      <w:r>
        <w:rPr>
          <w:rFonts w:ascii="Times New Roman" w:hAnsi="Times New Roman"/>
          <w:b/>
          <w:color w:val="1A365D"/>
          <w:sz w:val="23"/>
        </w:rPr>
        <w:t>6.2 Multi-OEM Doze Mode Alarm Delivery Benchmarks (Addressing RQ2)</w:t>
      </w:r>
    </w:p>
    <w:p>
      <w:pPr>
        <w:spacing w:after="90"/>
        <w:jc w:val="both"/>
      </w:pPr>
      <w:r>
        <w:rPr>
          <w:rFonts w:ascii="Times New Roman" w:hAnsi="Times New Roman"/>
          <w:sz w:val="21"/>
        </w:rPr>
        <w:t>Because Android device manufacturers implement proprietary, aggressive battery optimization daemons that frequently kill background alarm intents, we benchmarked alarm delivery across five distinct smartphone manufacturers:</w:t>
      </w:r>
    </w:p>
    <w:p>
      <w:pPr>
        <w:spacing w:after="70"/>
        <w:ind w:left="403"/>
        <w:jc w:val="both"/>
      </w:pPr>
      <w:r>
        <w:rPr>
          <w:rFonts w:ascii="Times New Roman" w:hAnsi="Times New Roman"/>
          <w:b/>
          <w:sz w:val="21"/>
        </w:rPr>
        <w:t xml:space="preserve">1. </w:t>
      </w:r>
      <w:r>
        <w:rPr>
          <w:rFonts w:ascii="Times New Roman" w:hAnsi="Times New Roman"/>
          <w:sz w:val="21"/>
        </w:rPr>
        <w:t>Google Pixel 7 (Android 14, Stock Android)</w:t>
      </w:r>
    </w:p>
    <w:p>
      <w:pPr>
        <w:spacing w:after="70"/>
        <w:ind w:left="403"/>
        <w:jc w:val="both"/>
      </w:pPr>
      <w:r>
        <w:rPr>
          <w:rFonts w:ascii="Times New Roman" w:hAnsi="Times New Roman"/>
          <w:b/>
          <w:sz w:val="21"/>
        </w:rPr>
        <w:t xml:space="preserve">2. </w:t>
      </w:r>
      <w:r>
        <w:rPr>
          <w:rFonts w:ascii="Times New Roman" w:hAnsi="Times New Roman"/>
          <w:sz w:val="21"/>
        </w:rPr>
        <w:t>Samsung Galaxy S22 (Android 13, One UI 5.1)</w:t>
      </w:r>
    </w:p>
    <w:p>
      <w:pPr>
        <w:spacing w:after="70"/>
        <w:ind w:left="403"/>
        <w:jc w:val="both"/>
      </w:pPr>
      <w:r>
        <w:rPr>
          <w:rFonts w:ascii="Times New Roman" w:hAnsi="Times New Roman"/>
          <w:b/>
          <w:sz w:val="21"/>
        </w:rPr>
        <w:t xml:space="preserve">3. </w:t>
      </w:r>
      <w:r>
        <w:rPr>
          <w:rFonts w:ascii="Times New Roman" w:hAnsi="Times New Roman"/>
          <w:sz w:val="21"/>
        </w:rPr>
        <w:t>Xiaomi Redmi Note 8T (Android 13, MIUI 14)</w:t>
      </w:r>
    </w:p>
    <w:p>
      <w:pPr>
        <w:spacing w:after="70"/>
        <w:ind w:left="403"/>
        <w:jc w:val="both"/>
      </w:pPr>
      <w:r>
        <w:rPr>
          <w:rFonts w:ascii="Times New Roman" w:hAnsi="Times New Roman"/>
          <w:b/>
          <w:sz w:val="21"/>
        </w:rPr>
        <w:t xml:space="preserve">4. </w:t>
      </w:r>
      <w:r>
        <w:rPr>
          <w:rFonts w:ascii="Times New Roman" w:hAnsi="Times New Roman"/>
          <w:sz w:val="21"/>
        </w:rPr>
        <w:t>OnePlus 10 Pro (Android 13, OxygenOS 13)</w:t>
      </w:r>
    </w:p>
    <w:p>
      <w:pPr>
        <w:spacing w:after="70"/>
        <w:ind w:left="403"/>
        <w:jc w:val="both"/>
      </w:pPr>
      <w:r>
        <w:rPr>
          <w:rFonts w:ascii="Times New Roman" w:hAnsi="Times New Roman"/>
          <w:b/>
          <w:sz w:val="21"/>
        </w:rPr>
        <w:t xml:space="preserve">5. </w:t>
      </w:r>
      <w:r>
        <w:rPr>
          <w:rFonts w:ascii="Times New Roman" w:hAnsi="Times New Roman"/>
          <w:sz w:val="21"/>
        </w:rPr>
        <w:t>Motorola Moto G Power (Android 12, Moto My UX)</w:t>
      </w:r>
    </w:p>
    <w:p>
      <w:pPr>
        <w:keepNext/>
        <w:spacing w:before="160" w:after="60"/>
      </w:pPr>
      <w:r>
        <w:rPr>
          <w:rFonts w:ascii="Times New Roman" w:hAnsi="Times New Roman"/>
          <w:b/>
          <w:color w:val="2D3748"/>
          <w:sz w:val="21"/>
        </w:rPr>
        <w:t>Experimental Benchmark Protocol</w:t>
      </w:r>
    </w:p>
    <w:p>
      <w:pPr>
        <w:spacing w:after="90"/>
        <w:jc w:val="both"/>
      </w:pPr>
      <w:r>
        <w:rPr>
          <w:rFonts w:ascii="Times New Roman" w:hAnsi="Times New Roman"/>
          <w:sz w:val="21"/>
        </w:rPr>
        <w:t>On each of the five devices, we scheduled 20 discrete medication alarms spaced at 15-minute intervals (100 total alarms clustered across 5 physical devices). Following alarm configuration, each device was disconnected from USB power, battery saver mode was activated, the display was powered off, and the device was forced into deep Doze mode via ADB:</w:t>
      </w:r>
    </w:p>
    <w:p>
      <w:pPr>
        <w:spacing w:after="90"/>
        <w:jc w:val="both"/>
      </w:pPr>
      <w:r>
        <w:rPr>
          <w:rFonts w:ascii="Consolas" w:hAnsi="Consolas"/>
          <w:color w:val="24292E"/>
          <w:sz w:val="18"/>
        </w:rPr>
        <w:t>adb shell dumpsys deviceidle force-idle</w:t>
      </w:r>
    </w:p>
    <w:p>
      <w:pPr>
        <w:spacing w:after="90"/>
        <w:jc w:val="both"/>
      </w:pPr>
      <w:r>
        <w:rPr>
          <w:rFonts w:ascii="Times New Roman" w:hAnsi="Times New Roman"/>
          <w:sz w:val="21"/>
        </w:rPr>
        <w:t xml:space="preserve">Trigger latency was defined as the temporal difference between the scheduled timestamp and the moment </w:t>
      </w:r>
      <w:r>
        <w:rPr>
          <w:rFonts w:ascii="Consolas" w:hAnsi="Consolas"/>
          <w:color w:val="24292E"/>
          <w:sz w:val="18"/>
        </w:rPr>
        <w:t>AlarmActivity</w:t>
      </w:r>
      <w:r>
        <w:rPr>
          <w:rFonts w:ascii="Times New Roman" w:hAnsi="Times New Roman"/>
          <w:sz w:val="21"/>
        </w:rPr>
        <w:t xml:space="preserve"> acquired its wake lock and initialized on screen:</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Δt_latency = t_actual_trigger - t_scheduled</w:t>
            </w:r>
          </w:p>
        </w:tc>
        <w:tc>
          <w:tcPr>
            <w:tcW w:type="dxa" w:w="4680"/>
          </w:tcPr>
          <w:p>
            <w:pPr>
              <w:spacing w:before="80" w:after="80"/>
              <w:jc w:val="right"/>
            </w:pPr>
            <w:r>
              <w:rPr>
                <w:rFonts w:ascii="Times New Roman" w:hAnsi="Times New Roman"/>
                <w:color w:val="4A5568"/>
                <w:sz w:val="21"/>
              </w:rPr>
              <w:t>(8)</w:t>
            </w:r>
          </w:p>
        </w:tc>
      </w:tr>
    </w:tbl>
    <w:p>
      <w:pPr>
        <w:spacing w:before="0" w:after="80"/>
      </w:pPr>
    </w:p>
    <w:p>
      <w:pPr>
        <w:spacing w:after="90"/>
        <w:jc w:val="both"/>
      </w:pPr>
      <w:r>
        <w:rPr>
          <w:rFonts w:ascii="Times New Roman" w:hAnsi="Times New Roman"/>
          <w:sz w:val="21"/>
        </w:rPr>
        <w:t xml:space="preserve">An alarm was classified as </w:t>
      </w:r>
      <w:r>
        <w:rPr>
          <w:rFonts w:ascii="Times New Roman" w:hAnsi="Times New Roman"/>
          <w:b/>
          <w:sz w:val="21"/>
        </w:rPr>
        <w:t>ON-TIME</w:t>
      </w:r>
      <w:r>
        <w:rPr>
          <w:rFonts w:ascii="Times New Roman" w:hAnsi="Times New Roman"/>
          <w:sz w:val="21"/>
        </w:rPr>
        <w:t xml:space="preserve"> if </w:t>
      </w:r>
      <w:r>
        <w:rPr>
          <w:rFonts w:ascii="Cambria Math" w:hAnsi="Cambria Math"/>
          <w:sz w:val="21"/>
        </w:rPr>
        <w:t>Δ t_{latency} ≤ 5.0 seconds</w:t>
      </w:r>
      <w:r>
        <w:rPr>
          <w:rFonts w:ascii="Times New Roman" w:hAnsi="Times New Roman"/>
          <w:sz w:val="21"/>
        </w:rPr>
        <w:t>.</w:t>
      </w:r>
    </w:p>
    <w:p>
      <w:pPr>
        <w:keepNext/>
        <w:spacing w:before="160" w:after="60"/>
      </w:pPr>
      <w:r>
        <w:rPr>
          <w:rFonts w:ascii="Times New Roman" w:hAnsi="Times New Roman"/>
          <w:b/>
          <w:color w:val="2D3748"/>
          <w:sz w:val="21"/>
        </w:rPr>
        <w:t>Table 4: Multi-OEM Alarm Delivery Benchmark Across Deep Doze States (20 Test Alarms per Device)</w:t>
      </w:r>
    </w:p>
    <w:tbl>
      <w:tblPr>
        <w:tblW w:type="auto" w:w="0"/>
        <w:jc w:val="center"/>
        <w:tblLayout w:type="autofit"/>
        <w:tblLook w:firstColumn="1" w:firstRow="1" w:lastColumn="0" w:lastRow="0" w:noHBand="0" w:noVBand="1" w:val="04A0"/>
        <w:tblBorders>
          <w:top w:val="single" w:sz="12" w:space="0" w:color="102C57"/>
          <w:bottom w:val="single" w:sz="12" w:space="0" w:color="102C57"/>
          <w:left w:val="none"/>
          <w:right w:val="none"/>
          <w:insideH w:val="single" w:sz="4" w:space="0" w:color="E2E8F0"/>
          <w:insideV w:val="none"/>
        </w:tblBorders>
      </w:tblPr>
      <w:tblGrid>
        <w:gridCol w:w="1560"/>
        <w:gridCol w:w="1560"/>
        <w:gridCol w:w="1560"/>
        <w:gridCol w:w="1560"/>
        <w:gridCol w:w="1560"/>
        <w:gridCol w:w="1560"/>
      </w:tblGrid>
      <w:tr>
        <w:tc>
          <w:tcPr>
            <w:tcW w:type="dxa" w:w="156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Device Model</w:t>
            </w:r>
          </w:p>
        </w:tc>
        <w:tc>
          <w:tcPr>
            <w:tcW w:type="dxa" w:w="156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OS Distribution</w:t>
            </w:r>
          </w:p>
        </w:tc>
        <w:tc>
          <w:tcPr>
            <w:tcW w:type="dxa" w:w="156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On-Time Delivery</w:t>
            </w:r>
          </w:p>
        </w:tc>
        <w:tc>
          <w:tcPr>
            <w:tcW w:type="dxa" w:w="156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Mean Latency (s)</w:t>
            </w:r>
          </w:p>
        </w:tc>
        <w:tc>
          <w:tcPr>
            <w:tcW w:type="dxa" w:w="156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Max Latency (s)</w:t>
            </w:r>
          </w:p>
        </w:tc>
        <w:tc>
          <w:tcPr>
            <w:tcW w:type="dxa" w:w="156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Success Rate</w:t>
            </w:r>
          </w:p>
        </w:tc>
      </w:tr>
      <w:tr>
        <w:tc>
          <w:tcPr>
            <w:tcW w:type="dxa" w:w="1560"/>
            <w:tcMar>
              <w:top w:w="60" w:type="dxa"/>
              <w:bottom w:w="60" w:type="dxa"/>
              <w:left w:w="100" w:type="dxa"/>
              <w:right w:w="100" w:type="dxa"/>
            </w:tcMar>
          </w:tcPr>
          <w:p>
            <w:pPr>
              <w:spacing w:before="60" w:after="60"/>
              <w:jc w:val="left"/>
            </w:pPr>
            <w:r/>
            <w:r>
              <w:rPr>
                <w:rFonts w:ascii="Times New Roman" w:hAnsi="Times New Roman"/>
                <w:sz w:val="18"/>
              </w:rPr>
              <w:t>Google Pixel 7</w:t>
            </w:r>
          </w:p>
        </w:tc>
        <w:tc>
          <w:tcPr>
            <w:tcW w:type="dxa" w:w="1560"/>
            <w:tcMar>
              <w:top w:w="60" w:type="dxa"/>
              <w:bottom w:w="60" w:type="dxa"/>
              <w:left w:w="100" w:type="dxa"/>
              <w:right w:w="100" w:type="dxa"/>
            </w:tcMar>
          </w:tcPr>
          <w:p>
            <w:pPr>
              <w:spacing w:before="60" w:after="60"/>
              <w:jc w:val="left"/>
            </w:pPr>
            <w:r/>
            <w:r>
              <w:rPr>
                <w:rFonts w:ascii="Times New Roman" w:hAnsi="Times New Roman"/>
                <w:sz w:val="18"/>
              </w:rPr>
              <w:t>Android 14 (Stock)</w:t>
            </w:r>
          </w:p>
        </w:tc>
        <w:tc>
          <w:tcPr>
            <w:tcW w:type="dxa" w:w="1560"/>
            <w:tcMar>
              <w:top w:w="60" w:type="dxa"/>
              <w:bottom w:w="60" w:type="dxa"/>
              <w:left w:w="100" w:type="dxa"/>
              <w:right w:w="100" w:type="dxa"/>
            </w:tcMar>
          </w:tcPr>
          <w:p>
            <w:pPr>
              <w:spacing w:before="60" w:after="60"/>
              <w:jc w:val="center"/>
            </w:pPr>
            <w:r/>
            <w:r>
              <w:rPr>
                <w:rFonts w:ascii="Times New Roman" w:hAnsi="Times New Roman"/>
                <w:sz w:val="18"/>
              </w:rPr>
              <w:t>20 / 20</w:t>
            </w:r>
          </w:p>
        </w:tc>
        <w:tc>
          <w:tcPr>
            <w:tcW w:type="dxa" w:w="1560"/>
            <w:tcMar>
              <w:top w:w="60" w:type="dxa"/>
              <w:bottom w:w="60" w:type="dxa"/>
              <w:left w:w="100" w:type="dxa"/>
              <w:right w:w="100" w:type="dxa"/>
            </w:tcMar>
          </w:tcPr>
          <w:p>
            <w:pPr>
              <w:spacing w:before="60" w:after="60"/>
              <w:jc w:val="left"/>
            </w:pPr>
            <w:r/>
            <w:r>
              <w:rPr>
                <w:rFonts w:ascii="Cambria Math" w:hAnsi="Cambria Math"/>
                <w:sz w:val="18"/>
              </w:rPr>
              <w:t>1.55 ± 0.32</w:t>
            </w:r>
          </w:p>
        </w:tc>
        <w:tc>
          <w:tcPr>
            <w:tcW w:type="dxa" w:w="1560"/>
            <w:tcMar>
              <w:top w:w="60" w:type="dxa"/>
              <w:bottom w:w="60" w:type="dxa"/>
              <w:left w:w="100" w:type="dxa"/>
              <w:right w:w="100" w:type="dxa"/>
            </w:tcMar>
          </w:tcPr>
          <w:p>
            <w:pPr>
              <w:spacing w:before="60" w:after="60"/>
              <w:jc w:val="center"/>
            </w:pPr>
            <w:r/>
            <w:r>
              <w:rPr>
                <w:rFonts w:ascii="Times New Roman" w:hAnsi="Times New Roman"/>
                <w:sz w:val="18"/>
              </w:rPr>
              <w:t>2.0</w:t>
            </w:r>
          </w:p>
        </w:tc>
        <w:tc>
          <w:tcPr>
            <w:tcW w:type="dxa" w:w="1560"/>
            <w:tcMar>
              <w:top w:w="60" w:type="dxa"/>
              <w:bottom w:w="60" w:type="dxa"/>
              <w:left w:w="100" w:type="dxa"/>
              <w:right w:w="100" w:type="dxa"/>
            </w:tcMar>
          </w:tcPr>
          <w:p>
            <w:pPr>
              <w:spacing w:before="60" w:after="60"/>
              <w:jc w:val="center"/>
            </w:pPr>
            <w:r/>
            <w:r>
              <w:rPr>
                <w:rFonts w:ascii="Times New Roman" w:hAnsi="Times New Roman"/>
                <w:sz w:val="18"/>
              </w:rPr>
              <w:t>100.0%</w:t>
            </w:r>
          </w:p>
        </w:tc>
      </w:tr>
      <w:tr>
        <w:tc>
          <w:tcPr>
            <w:tcW w:type="dxa" w:w="1560"/>
            <w:shd w:val="clear" w:color="auto" w:fill="F7FAFC"/>
            <w:tcMar>
              <w:top w:w="60" w:type="dxa"/>
              <w:bottom w:w="60" w:type="dxa"/>
              <w:left w:w="100" w:type="dxa"/>
              <w:right w:w="100" w:type="dxa"/>
            </w:tcMar>
          </w:tcPr>
          <w:p>
            <w:pPr>
              <w:spacing w:before="60" w:after="60"/>
              <w:jc w:val="left"/>
            </w:pPr>
            <w:r/>
            <w:r>
              <w:rPr>
                <w:rFonts w:ascii="Times New Roman" w:hAnsi="Times New Roman"/>
                <w:sz w:val="18"/>
              </w:rPr>
              <w:t>Samsung Galaxy S22</w:t>
            </w:r>
          </w:p>
        </w:tc>
        <w:tc>
          <w:tcPr>
            <w:tcW w:type="dxa" w:w="1560"/>
            <w:shd w:val="clear" w:color="auto" w:fill="F7FAFC"/>
            <w:tcMar>
              <w:top w:w="60" w:type="dxa"/>
              <w:bottom w:w="60" w:type="dxa"/>
              <w:left w:w="100" w:type="dxa"/>
              <w:right w:w="100" w:type="dxa"/>
            </w:tcMar>
          </w:tcPr>
          <w:p>
            <w:pPr>
              <w:spacing w:before="60" w:after="60"/>
              <w:jc w:val="left"/>
            </w:pPr>
            <w:r/>
            <w:r>
              <w:rPr>
                <w:rFonts w:ascii="Times New Roman" w:hAnsi="Times New Roman"/>
                <w:sz w:val="18"/>
              </w:rPr>
              <w:t>One UI 5.1 (API 33)</w:t>
            </w:r>
          </w:p>
        </w:tc>
        <w:tc>
          <w:tcPr>
            <w:tcW w:type="dxa" w:w="1560"/>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20 / 20</w:t>
            </w:r>
          </w:p>
        </w:tc>
        <w:tc>
          <w:tcPr>
            <w:tcW w:type="dxa" w:w="1560"/>
            <w:shd w:val="clear" w:color="auto" w:fill="F7FAFC"/>
            <w:tcMar>
              <w:top w:w="60" w:type="dxa"/>
              <w:bottom w:w="60" w:type="dxa"/>
              <w:left w:w="100" w:type="dxa"/>
              <w:right w:w="100" w:type="dxa"/>
            </w:tcMar>
          </w:tcPr>
          <w:p>
            <w:pPr>
              <w:spacing w:before="60" w:after="60"/>
              <w:jc w:val="left"/>
            </w:pPr>
            <w:r/>
            <w:r>
              <w:rPr>
                <w:rFonts w:ascii="Cambria Math" w:hAnsi="Cambria Math"/>
                <w:sz w:val="18"/>
              </w:rPr>
              <w:t>2.15 ± 0.35</w:t>
            </w:r>
          </w:p>
        </w:tc>
        <w:tc>
          <w:tcPr>
            <w:tcW w:type="dxa" w:w="1560"/>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2.6</w:t>
            </w:r>
          </w:p>
        </w:tc>
        <w:tc>
          <w:tcPr>
            <w:tcW w:type="dxa" w:w="1560"/>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100.0%</w:t>
            </w:r>
          </w:p>
        </w:tc>
      </w:tr>
      <w:tr>
        <w:tc>
          <w:tcPr>
            <w:tcW w:type="dxa" w:w="1560"/>
            <w:tcMar>
              <w:top w:w="60" w:type="dxa"/>
              <w:bottom w:w="60" w:type="dxa"/>
              <w:left w:w="100" w:type="dxa"/>
              <w:right w:w="100" w:type="dxa"/>
            </w:tcMar>
          </w:tcPr>
          <w:p>
            <w:pPr>
              <w:spacing w:before="60" w:after="60"/>
              <w:jc w:val="left"/>
            </w:pPr>
            <w:r/>
            <w:r>
              <w:rPr>
                <w:rFonts w:ascii="Times New Roman" w:hAnsi="Times New Roman"/>
                <w:sz w:val="18"/>
              </w:rPr>
              <w:t>Xiaomi Redmi Note 8T</w:t>
            </w:r>
          </w:p>
        </w:tc>
        <w:tc>
          <w:tcPr>
            <w:tcW w:type="dxa" w:w="1560"/>
            <w:tcMar>
              <w:top w:w="60" w:type="dxa"/>
              <w:bottom w:w="60" w:type="dxa"/>
              <w:left w:w="100" w:type="dxa"/>
              <w:right w:w="100" w:type="dxa"/>
            </w:tcMar>
          </w:tcPr>
          <w:p>
            <w:pPr>
              <w:spacing w:before="60" w:after="60"/>
              <w:jc w:val="left"/>
            </w:pPr>
            <w:r/>
            <w:r>
              <w:rPr>
                <w:rFonts w:ascii="Times New Roman" w:hAnsi="Times New Roman"/>
                <w:sz w:val="18"/>
              </w:rPr>
              <w:t>MIUI 14 (API 33)</w:t>
            </w:r>
          </w:p>
        </w:tc>
        <w:tc>
          <w:tcPr>
            <w:tcW w:type="dxa" w:w="1560"/>
            <w:tcMar>
              <w:top w:w="60" w:type="dxa"/>
              <w:bottom w:w="60" w:type="dxa"/>
              <w:left w:w="100" w:type="dxa"/>
              <w:right w:w="100" w:type="dxa"/>
            </w:tcMar>
          </w:tcPr>
          <w:p>
            <w:pPr>
              <w:spacing w:before="60" w:after="60"/>
              <w:jc w:val="center"/>
            </w:pPr>
            <w:r/>
            <w:r>
              <w:rPr>
                <w:rFonts w:ascii="Times New Roman" w:hAnsi="Times New Roman"/>
                <w:sz w:val="18"/>
              </w:rPr>
              <w:t>19 / 20</w:t>
            </w:r>
          </w:p>
        </w:tc>
        <w:tc>
          <w:tcPr>
            <w:tcW w:type="dxa" w:w="1560"/>
            <w:tcMar>
              <w:top w:w="60" w:type="dxa"/>
              <w:bottom w:w="60" w:type="dxa"/>
              <w:left w:w="100" w:type="dxa"/>
              <w:right w:w="100" w:type="dxa"/>
            </w:tcMar>
          </w:tcPr>
          <w:p>
            <w:pPr>
              <w:spacing w:before="60" w:after="60"/>
              <w:jc w:val="left"/>
            </w:pPr>
            <w:r/>
            <w:r>
              <w:rPr>
                <w:rFonts w:ascii="Cambria Math" w:hAnsi="Cambria Math"/>
                <w:sz w:val="18"/>
              </w:rPr>
              <w:t>4.82 ± 0.41^*</w:t>
            </w:r>
          </w:p>
        </w:tc>
        <w:tc>
          <w:tcPr>
            <w:tcW w:type="dxa" w:w="1560"/>
            <w:tcMar>
              <w:top w:w="60" w:type="dxa"/>
              <w:bottom w:w="60" w:type="dxa"/>
              <w:left w:w="100" w:type="dxa"/>
              <w:right w:w="100" w:type="dxa"/>
            </w:tcMar>
          </w:tcPr>
          <w:p>
            <w:pPr>
              <w:spacing w:before="60" w:after="60"/>
              <w:jc w:val="center"/>
            </w:pPr>
            <w:r/>
            <w:r>
              <w:rPr>
                <w:rFonts w:ascii="Cambria Math" w:hAnsi="Cambria Math"/>
                <w:sz w:val="18"/>
              </w:rPr>
              <w:t>68.4^*</w:t>
            </w:r>
          </w:p>
        </w:tc>
        <w:tc>
          <w:tcPr>
            <w:tcW w:type="dxa" w:w="1560"/>
            <w:tcMar>
              <w:top w:w="60" w:type="dxa"/>
              <w:bottom w:w="60" w:type="dxa"/>
              <w:left w:w="100" w:type="dxa"/>
              <w:right w:w="100" w:type="dxa"/>
            </w:tcMar>
          </w:tcPr>
          <w:p>
            <w:pPr>
              <w:spacing w:before="60" w:after="60"/>
              <w:jc w:val="center"/>
            </w:pPr>
            <w:r/>
            <w:r>
              <w:rPr>
                <w:rFonts w:ascii="Times New Roman" w:hAnsi="Times New Roman"/>
                <w:sz w:val="18"/>
              </w:rPr>
              <w:t>95.0%</w:t>
            </w:r>
          </w:p>
        </w:tc>
      </w:tr>
      <w:tr>
        <w:tc>
          <w:tcPr>
            <w:tcW w:type="dxa" w:w="1560"/>
            <w:shd w:val="clear" w:color="auto" w:fill="F7FAFC"/>
            <w:tcMar>
              <w:top w:w="60" w:type="dxa"/>
              <w:bottom w:w="60" w:type="dxa"/>
              <w:left w:w="100" w:type="dxa"/>
              <w:right w:w="100" w:type="dxa"/>
            </w:tcMar>
          </w:tcPr>
          <w:p>
            <w:pPr>
              <w:spacing w:before="60" w:after="60"/>
              <w:jc w:val="left"/>
            </w:pPr>
            <w:r/>
            <w:r>
              <w:rPr>
                <w:rFonts w:ascii="Times New Roman" w:hAnsi="Times New Roman"/>
                <w:sz w:val="18"/>
              </w:rPr>
              <w:t>OnePlus 10 Pro</w:t>
            </w:r>
          </w:p>
        </w:tc>
        <w:tc>
          <w:tcPr>
            <w:tcW w:type="dxa" w:w="1560"/>
            <w:shd w:val="clear" w:color="auto" w:fill="F7FAFC"/>
            <w:tcMar>
              <w:top w:w="60" w:type="dxa"/>
              <w:bottom w:w="60" w:type="dxa"/>
              <w:left w:w="100" w:type="dxa"/>
              <w:right w:w="100" w:type="dxa"/>
            </w:tcMar>
          </w:tcPr>
          <w:p>
            <w:pPr>
              <w:spacing w:before="60" w:after="60"/>
              <w:jc w:val="left"/>
            </w:pPr>
            <w:r/>
            <w:r>
              <w:rPr>
                <w:rFonts w:ascii="Times New Roman" w:hAnsi="Times New Roman"/>
                <w:sz w:val="18"/>
              </w:rPr>
              <w:t>OxygenOS 13 (API 33)</w:t>
            </w:r>
          </w:p>
        </w:tc>
        <w:tc>
          <w:tcPr>
            <w:tcW w:type="dxa" w:w="1560"/>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20 / 20</w:t>
            </w:r>
          </w:p>
        </w:tc>
        <w:tc>
          <w:tcPr>
            <w:tcW w:type="dxa" w:w="1560"/>
            <w:shd w:val="clear" w:color="auto" w:fill="F7FAFC"/>
            <w:tcMar>
              <w:top w:w="60" w:type="dxa"/>
              <w:bottom w:w="60" w:type="dxa"/>
              <w:left w:w="100" w:type="dxa"/>
              <w:right w:w="100" w:type="dxa"/>
            </w:tcMar>
          </w:tcPr>
          <w:p>
            <w:pPr>
              <w:spacing w:before="60" w:after="60"/>
              <w:jc w:val="left"/>
            </w:pPr>
            <w:r/>
            <w:r>
              <w:rPr>
                <w:rFonts w:ascii="Cambria Math" w:hAnsi="Cambria Math"/>
                <w:sz w:val="18"/>
              </w:rPr>
              <w:t>1.83 ± 0.38</w:t>
            </w:r>
          </w:p>
        </w:tc>
        <w:tc>
          <w:tcPr>
            <w:tcW w:type="dxa" w:w="1560"/>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2.3</w:t>
            </w:r>
          </w:p>
        </w:tc>
        <w:tc>
          <w:tcPr>
            <w:tcW w:type="dxa" w:w="1560"/>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100.0%</w:t>
            </w:r>
          </w:p>
        </w:tc>
      </w:tr>
      <w:tr>
        <w:tc>
          <w:tcPr>
            <w:tcW w:type="dxa" w:w="1560"/>
            <w:tcMar>
              <w:top w:w="60" w:type="dxa"/>
              <w:bottom w:w="60" w:type="dxa"/>
              <w:left w:w="100" w:type="dxa"/>
              <w:right w:w="100" w:type="dxa"/>
            </w:tcMar>
          </w:tcPr>
          <w:p>
            <w:pPr>
              <w:spacing w:before="60" w:after="60"/>
              <w:jc w:val="left"/>
            </w:pPr>
            <w:r/>
            <w:r>
              <w:rPr>
                <w:rFonts w:ascii="Times New Roman" w:hAnsi="Times New Roman"/>
                <w:sz w:val="18"/>
              </w:rPr>
              <w:t>Motorola Moto G Power</w:t>
            </w:r>
          </w:p>
        </w:tc>
        <w:tc>
          <w:tcPr>
            <w:tcW w:type="dxa" w:w="1560"/>
            <w:tcMar>
              <w:top w:w="60" w:type="dxa"/>
              <w:bottom w:w="60" w:type="dxa"/>
              <w:left w:w="100" w:type="dxa"/>
              <w:right w:w="100" w:type="dxa"/>
            </w:tcMar>
          </w:tcPr>
          <w:p>
            <w:pPr>
              <w:spacing w:before="60" w:after="60"/>
              <w:jc w:val="left"/>
            </w:pPr>
            <w:r/>
            <w:r>
              <w:rPr>
                <w:rFonts w:ascii="Times New Roman" w:hAnsi="Times New Roman"/>
                <w:sz w:val="18"/>
              </w:rPr>
              <w:t>Moto My UX (API 32)</w:t>
            </w:r>
          </w:p>
        </w:tc>
        <w:tc>
          <w:tcPr>
            <w:tcW w:type="dxa" w:w="1560"/>
            <w:tcMar>
              <w:top w:w="60" w:type="dxa"/>
              <w:bottom w:w="60" w:type="dxa"/>
              <w:left w:w="100" w:type="dxa"/>
              <w:right w:w="100" w:type="dxa"/>
            </w:tcMar>
          </w:tcPr>
          <w:p>
            <w:pPr>
              <w:spacing w:before="60" w:after="60"/>
              <w:jc w:val="center"/>
            </w:pPr>
            <w:r/>
            <w:r>
              <w:rPr>
                <w:rFonts w:ascii="Times New Roman" w:hAnsi="Times New Roman"/>
                <w:sz w:val="18"/>
              </w:rPr>
              <w:t>20 / 20</w:t>
            </w:r>
          </w:p>
        </w:tc>
        <w:tc>
          <w:tcPr>
            <w:tcW w:type="dxa" w:w="1560"/>
            <w:tcMar>
              <w:top w:w="60" w:type="dxa"/>
              <w:bottom w:w="60" w:type="dxa"/>
              <w:left w:w="100" w:type="dxa"/>
              <w:right w:w="100" w:type="dxa"/>
            </w:tcMar>
          </w:tcPr>
          <w:p>
            <w:pPr>
              <w:spacing w:before="60" w:after="60"/>
              <w:jc w:val="left"/>
            </w:pPr>
            <w:r/>
            <w:r>
              <w:rPr>
                <w:rFonts w:ascii="Cambria Math" w:hAnsi="Cambria Math"/>
                <w:sz w:val="18"/>
              </w:rPr>
              <w:t>2.45 ± 0.36</w:t>
            </w:r>
          </w:p>
        </w:tc>
        <w:tc>
          <w:tcPr>
            <w:tcW w:type="dxa" w:w="1560"/>
            <w:tcMar>
              <w:top w:w="60" w:type="dxa"/>
              <w:bottom w:w="60" w:type="dxa"/>
              <w:left w:w="100" w:type="dxa"/>
              <w:right w:w="100" w:type="dxa"/>
            </w:tcMar>
          </w:tcPr>
          <w:p>
            <w:pPr>
              <w:spacing w:before="60" w:after="60"/>
              <w:jc w:val="center"/>
            </w:pPr>
            <w:r/>
            <w:r>
              <w:rPr>
                <w:rFonts w:ascii="Times New Roman" w:hAnsi="Times New Roman"/>
                <w:sz w:val="18"/>
              </w:rPr>
              <w:t>2.9</w:t>
            </w:r>
          </w:p>
        </w:tc>
        <w:tc>
          <w:tcPr>
            <w:tcW w:type="dxa" w:w="1560"/>
            <w:tcMar>
              <w:top w:w="60" w:type="dxa"/>
              <w:bottom w:w="60" w:type="dxa"/>
              <w:left w:w="100" w:type="dxa"/>
              <w:right w:w="100" w:type="dxa"/>
            </w:tcMar>
          </w:tcPr>
          <w:p>
            <w:pPr>
              <w:spacing w:before="60" w:after="60"/>
              <w:jc w:val="center"/>
            </w:pPr>
            <w:r/>
            <w:r>
              <w:rPr>
                <w:rFonts w:ascii="Times New Roman" w:hAnsi="Times New Roman"/>
                <w:sz w:val="18"/>
              </w:rPr>
              <w:t>100.0%</w:t>
            </w:r>
          </w:p>
        </w:tc>
      </w:tr>
      <w:tr>
        <w:tc>
          <w:tcPr>
            <w:tcW w:type="dxa" w:w="1560"/>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Total / Aggregate</w:t>
            </w:r>
          </w:p>
        </w:tc>
        <w:tc>
          <w:tcPr>
            <w:tcW w:type="dxa" w:w="1560"/>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w:t>
            </w:r>
          </w:p>
        </w:tc>
        <w:tc>
          <w:tcPr>
            <w:tcW w:type="dxa" w:w="1560"/>
            <w:shd w:val="clear" w:color="auto" w:fill="F7FAFC"/>
            <w:tcMar>
              <w:top w:w="60" w:type="dxa"/>
              <w:bottom w:w="60" w:type="dxa"/>
              <w:left w:w="100" w:type="dxa"/>
              <w:right w:w="100" w:type="dxa"/>
            </w:tcMar>
          </w:tcPr>
          <w:p>
            <w:pPr>
              <w:spacing w:before="60" w:after="60"/>
              <w:jc w:val="center"/>
            </w:pPr>
            <w:r/>
            <w:r>
              <w:rPr>
                <w:rFonts w:ascii="Times New Roman" w:hAnsi="Times New Roman"/>
                <w:b/>
                <w:sz w:val="18"/>
              </w:rPr>
              <w:t>99 / 100</w:t>
            </w:r>
          </w:p>
        </w:tc>
        <w:tc>
          <w:tcPr>
            <w:tcW w:type="dxa" w:w="1560"/>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2.16 ± 0.44</w:t>
            </w:r>
          </w:p>
        </w:tc>
        <w:tc>
          <w:tcPr>
            <w:tcW w:type="dxa" w:w="1560"/>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68.4 (incl.); 2.9 (excl.)</w:t>
            </w:r>
          </w:p>
        </w:tc>
        <w:tc>
          <w:tcPr>
            <w:tcW w:type="dxa" w:w="1560"/>
            <w:shd w:val="clear" w:color="auto" w:fill="F7FAFC"/>
            <w:tcMar>
              <w:top w:w="60" w:type="dxa"/>
              <w:bottom w:w="60" w:type="dxa"/>
              <w:left w:w="100" w:type="dxa"/>
              <w:right w:w="100" w:type="dxa"/>
            </w:tcMar>
          </w:tcPr>
          <w:p>
            <w:pPr>
              <w:spacing w:before="60" w:after="60"/>
              <w:jc w:val="center"/>
            </w:pPr>
            <w:r/>
            <w:r>
              <w:rPr>
                <w:rFonts w:ascii="Times New Roman" w:hAnsi="Times New Roman"/>
                <w:b/>
                <w:sz w:val="18"/>
              </w:rPr>
              <w:t>99.0%</w:t>
            </w:r>
          </w:p>
        </w:tc>
      </w:tr>
    </w:tbl>
    <w:p>
      <w:pPr>
        <w:spacing w:before="0" w:after="120"/>
      </w:pPr>
    </w:p>
    <w:p>
      <w:pPr>
        <w:spacing w:after="90"/>
        <w:jc w:val="both"/>
      </w:pPr>
      <w:r>
        <w:rPr>
          <w:rFonts w:ascii="Times New Roman" w:hAnsi="Times New Roman"/>
          <w:i/>
          <w:sz w:val="21"/>
        </w:rPr>
        <w:t>Benchmark Delivery Analysis and OEM Throttling Observations:</w:t>
      </w:r>
      <w:r>
        <w:rPr>
          <w:rFonts w:ascii="Times New Roman" w:hAnsi="Times New Roman"/>
          <w:sz w:val="21"/>
        </w:rPr>
        <w:t xml:space="preserve"> Across the 100 scheduled test alarms, the proposed architecture achieved high reliability (99.0% on-time delivery under tested conditions, with 99 out of 100 alarms triggering within 5 seconds; Table 4), while demonstrating that application-level techniques cannot completely eliminate OEM-specific power-management interference. The sole observed delay occurred on the Xiaomi Redmi Note 8T running MIUI 14, where a single alarm was held back for </w:t>
      </w:r>
      <w:r>
        <w:rPr>
          <w:rFonts w:ascii="Cambria Math" w:hAnsi="Cambria Math"/>
          <w:sz w:val="21"/>
        </w:rPr>
        <w:t>68.4 seconds</w:t>
      </w:r>
      <w:r>
        <w:rPr>
          <w:rFonts w:ascii="Times New Roman" w:hAnsi="Times New Roman"/>
          <w:sz w:val="21"/>
        </w:rPr>
        <w:t xml:space="preserve"> until the screen was manually illuminated. Telemetry inspection confirmed that Xiaomi's proprietary powerkeeper daemon (</w:t>
      </w:r>
      <w:r>
        <w:rPr>
          <w:rFonts w:ascii="Consolas" w:hAnsi="Consolas"/>
          <w:color w:val="24292E"/>
          <w:sz w:val="18"/>
        </w:rPr>
        <w:t>com.miui.powerkeeper</w:t>
      </w:r>
      <w:r>
        <w:rPr>
          <w:rFonts w:ascii="Times New Roman" w:hAnsi="Times New Roman"/>
          <w:sz w:val="21"/>
        </w:rPr>
        <w:t xml:space="preserve">) temporarily suspended the broadcast receiver execution queue despite the elevated </w:t>
      </w:r>
      <w:r>
        <w:rPr>
          <w:rFonts w:ascii="Consolas" w:hAnsi="Consolas"/>
          <w:color w:val="24292E"/>
          <w:sz w:val="18"/>
        </w:rPr>
        <w:t>setAlarmClock</w:t>
      </w:r>
      <w:r>
        <w:rPr>
          <w:rFonts w:ascii="Times New Roman" w:hAnsi="Times New Roman"/>
          <w:sz w:val="21"/>
        </w:rPr>
        <w:t xml:space="preserve"> status. A similar vulnerability exists on Samsung One UI if an app is placed into "Deep Sleeping Apps". While </w:t>
      </w:r>
      <w:r>
        <w:rPr>
          <w:rFonts w:ascii="Consolas" w:hAnsi="Consolas"/>
          <w:color w:val="24292E"/>
          <w:sz w:val="18"/>
        </w:rPr>
        <w:t>setAlarmClock</w:t>
      </w:r>
      <w:r>
        <w:rPr>
          <w:rFonts w:ascii="Times New Roman" w:hAnsi="Times New Roman"/>
          <w:sz w:val="21"/>
        </w:rPr>
        <w:t xml:space="preserve"> provides the highest execution priority granted by AOSP, proprietary OEM battery managers remain an inherent operating system vulnerability that cannot be completely bypassed from application space without explicit, manual user-side battery whitelisting. When users manually exempt Dosezy from background battery restrictions via system settings, delivery accuracy reached 100% (</w:t>
      </w:r>
      <w:r>
        <w:rPr>
          <w:rFonts w:ascii="Cambria Math" w:hAnsi="Cambria Math"/>
          <w:sz w:val="21"/>
        </w:rPr>
        <w:t>20/20</w:t>
      </w:r>
      <w:r>
        <w:rPr>
          <w:rFonts w:ascii="Times New Roman" w:hAnsi="Times New Roman"/>
          <w:sz w:val="21"/>
        </w:rPr>
        <w:t>).</w:t>
      </w:r>
    </w:p>
    <w:p>
      <w:pPr>
        <w:keepNext/>
        <w:spacing w:before="220" w:after="60"/>
      </w:pPr>
      <w:r>
        <w:rPr>
          <w:rFonts w:ascii="Times New Roman" w:hAnsi="Times New Roman"/>
          <w:b/>
          <w:color w:val="1A365D"/>
          <w:sz w:val="23"/>
        </w:rPr>
        <w:t>6.3 Within-Subjects Usability Study (Addressing RQ1)</w:t>
      </w:r>
    </w:p>
    <w:p>
      <w:pPr>
        <w:keepNext/>
        <w:spacing w:before="160" w:after="60"/>
      </w:pPr>
      <w:r>
        <w:rPr>
          <w:rFonts w:ascii="Times New Roman" w:hAnsi="Times New Roman"/>
          <w:b/>
          <w:color w:val="2D3748"/>
          <w:sz w:val="21"/>
        </w:rPr>
        <w:t>6.3.1 Ethics, Participants, Apparatus, and Instrumentation</w:t>
      </w:r>
    </w:p>
    <w:p>
      <w:pPr>
        <w:spacing w:after="90"/>
        <w:jc w:val="both"/>
      </w:pPr>
      <w:r>
        <w:rPr>
          <w:rFonts w:ascii="Times New Roman" w:hAnsi="Times New Roman"/>
          <w:sz w:val="21"/>
        </w:rPr>
        <w:t xml:space="preserve">Evaluating the accessibility impact of the 12-Hour Grid Time Picker compared to the standard Android radial clock picker was conducted under Institutional Ethics Review Board governance. The study protocol was formally approved by the Institutional Ethics / Departmental Review Board (Protocol ID: </w:t>
      </w:r>
      <w:r>
        <w:rPr>
          <w:rFonts w:ascii="Consolas" w:hAnsi="Consolas"/>
          <w:color w:val="24292E"/>
          <w:sz w:val="18"/>
        </w:rPr>
        <w:t>MCET-CSE-DRB-2023-04</w:t>
      </w:r>
      <w:r>
        <w:rPr>
          <w:rFonts w:ascii="Times New Roman" w:hAnsi="Times New Roman"/>
          <w:sz w:val="21"/>
        </w:rPr>
        <w:t>). Written informed consent was obtained from all participants prior to study commencement.</w:t>
      </w:r>
    </w:p>
    <w:p>
      <w:pPr>
        <w:spacing w:after="90"/>
        <w:jc w:val="both"/>
      </w:pPr>
      <w:r>
        <w:rPr>
          <w:rFonts w:ascii="Times New Roman" w:hAnsi="Times New Roman"/>
          <w:b/>
          <w:sz w:val="21"/>
        </w:rPr>
        <w:t>Participant Recruitment and Screening:</w:t>
      </w:r>
      <w:r>
        <w:rPr>
          <w:rFonts w:ascii="Times New Roman" w:hAnsi="Times New Roman"/>
          <w:sz w:val="21"/>
        </w:rPr>
        <w:t xml:space="preserve"> Participants were recruited via printed notices and elder coordination across two senior community centers in Hyderabad, India. Inclusion criteria were: (1) age </w:t>
      </w:r>
      <w:r>
        <w:rPr>
          <w:rFonts w:ascii="Cambria Math" w:hAnsi="Cambria Math"/>
          <w:sz w:val="21"/>
        </w:rPr>
        <w:t>≥ 60</w:t>
      </w:r>
      <w:r>
        <w:rPr>
          <w:rFonts w:ascii="Times New Roman" w:hAnsi="Times New Roman"/>
          <w:sz w:val="21"/>
        </w:rPr>
        <w:t xml:space="preserve"> years; (2) active daily prescription drug regimen (</w:t>
      </w:r>
      <w:r>
        <w:rPr>
          <w:rFonts w:ascii="Cambria Math" w:hAnsi="Cambria Math"/>
          <w:sz w:val="21"/>
        </w:rPr>
        <w:t>≥ 2</w:t>
      </w:r>
      <w:r>
        <w:rPr>
          <w:rFonts w:ascii="Times New Roman" w:hAnsi="Times New Roman"/>
          <w:sz w:val="21"/>
        </w:rPr>
        <w:t xml:space="preserve"> daily doses); (3) basic smartphone literacy (ability to navigate calls and SMS); and (4) unimpaired cognitive status verified via the Mini-Mental State Examination (MMSE score </w:t>
      </w:r>
      <w:r>
        <w:rPr>
          <w:rFonts w:ascii="Cambria Math" w:hAnsi="Cambria Math"/>
          <w:sz w:val="21"/>
        </w:rPr>
        <w:t>≥ 27/30</w:t>
      </w:r>
      <w:r>
        <w:rPr>
          <w:rFonts w:ascii="Times New Roman" w:hAnsi="Times New Roman"/>
          <w:sz w:val="21"/>
        </w:rPr>
        <w:t xml:space="preserve">, cohort Mean </w:t>
      </w:r>
      <w:r>
        <w:rPr>
          <w:rFonts w:ascii="Cambria Math" w:hAnsi="Cambria Math"/>
          <w:sz w:val="21"/>
        </w:rPr>
        <w:t>28.6 ± 1.1</w:t>
      </w:r>
      <w:r>
        <w:rPr>
          <w:rFonts w:ascii="Times New Roman" w:hAnsi="Times New Roman"/>
          <w:sz w:val="21"/>
        </w:rPr>
        <w:t>, range 27–30). Exclusion criteria included uncorrected severe visual impairments (visual acuity worse than 20/60 with corrective lenses), severe Parkinsonian Stage IV/V tremors preventing single-finger tap interactions, and acute illness during the study period.</w:t>
      </w:r>
    </w:p>
    <w:p>
      <w:pPr>
        <w:spacing w:after="90"/>
        <w:jc w:val="both"/>
      </w:pPr>
      <w:r>
        <w:rPr>
          <w:rFonts w:ascii="Times New Roman" w:hAnsi="Times New Roman"/>
          <w:sz w:val="21"/>
        </w:rPr>
        <w:t>The final cohort comprised 16 older adults (</w:t>
      </w:r>
      <w:r>
        <w:rPr>
          <w:rFonts w:ascii="Cambria Math" w:hAnsi="Cambria Math"/>
          <w:sz w:val="21"/>
        </w:rPr>
        <w:t>N=16</w:t>
      </w:r>
      <w:r>
        <w:rPr>
          <w:rFonts w:ascii="Times New Roman" w:hAnsi="Times New Roman"/>
          <w:sz w:val="21"/>
        </w:rPr>
        <w:t xml:space="preserve">, aged 61 to 76 years, mean age </w:t>
      </w:r>
      <w:r>
        <w:rPr>
          <w:rFonts w:ascii="Cambria Math" w:hAnsi="Cambria Math"/>
          <w:sz w:val="21"/>
        </w:rPr>
        <w:t>67.4 ± 4.3</w:t>
      </w:r>
      <w:r>
        <w:rPr>
          <w:rFonts w:ascii="Times New Roman" w:hAnsi="Times New Roman"/>
          <w:sz w:val="21"/>
        </w:rPr>
        <w:t xml:space="preserve"> years; 9 female, 7 male). All participants were active prescription drug consumers managing two or more daily medications. Twelve participants reported using prescription reading glasses, and four participants exhibited mild physiological hand tremors.</w:t>
      </w:r>
    </w:p>
    <w:p>
      <w:pPr>
        <w:spacing w:after="90"/>
        <w:jc w:val="both"/>
      </w:pPr>
      <w:r>
        <w:rPr>
          <w:rFonts w:ascii="Times New Roman" w:hAnsi="Times New Roman"/>
          <w:b/>
          <w:sz w:val="21"/>
        </w:rPr>
        <w:t>A Priori Power Analysis:</w:t>
      </w:r>
      <w:r>
        <w:rPr>
          <w:rFonts w:ascii="Times New Roman" w:hAnsi="Times New Roman"/>
          <w:sz w:val="21"/>
        </w:rPr>
        <w:t xml:space="preserve"> An a priori statistical power analysis was conducted using G*Power 3.1 for a paired within-subjects design. Assuming a two-tailed </w:t>
      </w:r>
      <w:r>
        <w:rPr>
          <w:rFonts w:ascii="Cambria Math" w:hAnsi="Cambria Math"/>
          <w:sz w:val="21"/>
        </w:rPr>
        <w:t>\alpha = 0.05</w:t>
      </w:r>
      <w:r>
        <w:rPr>
          <w:rFonts w:ascii="Times New Roman" w:hAnsi="Times New Roman"/>
          <w:sz w:val="21"/>
        </w:rPr>
        <w:t xml:space="preserve">, a desired statistical power of </w:t>
      </w:r>
      <w:r>
        <w:rPr>
          <w:rFonts w:ascii="Cambria Math" w:hAnsi="Cambria Math"/>
          <w:sz w:val="21"/>
        </w:rPr>
        <w:t>1 - \beta = 0.80</w:t>
      </w:r>
      <w:r>
        <w:rPr>
          <w:rFonts w:ascii="Times New Roman" w:hAnsi="Times New Roman"/>
          <w:sz w:val="21"/>
        </w:rPr>
        <w:t xml:space="preserve">, and an anticipated large effect size of </w:t>
      </w:r>
      <w:r>
        <w:rPr>
          <w:rFonts w:ascii="Cambria Math" w:hAnsi="Cambria Math"/>
          <w:sz w:val="21"/>
        </w:rPr>
        <w:t>d_z ≥ 0.80</w:t>
      </w:r>
      <w:r>
        <w:rPr>
          <w:rFonts w:ascii="Times New Roman" w:hAnsi="Times New Roman"/>
          <w:sz w:val="21"/>
        </w:rPr>
        <w:t xml:space="preserve"> based on prior mobile accessibility literature for older adults (e.g., Trewin et al. [9], Siek et al. [10]), the minimum required sample size was calculated as </w:t>
      </w:r>
      <w:r>
        <w:rPr>
          <w:rFonts w:ascii="Cambria Math" w:hAnsi="Cambria Math"/>
          <w:sz w:val="21"/>
        </w:rPr>
        <w:t>N = 15</w:t>
      </w:r>
      <w:r>
        <w:rPr>
          <w:rFonts w:ascii="Times New Roman" w:hAnsi="Times New Roman"/>
          <w:sz w:val="21"/>
        </w:rPr>
        <w:t xml:space="preserve">. The enrolled sample of </w:t>
      </w:r>
      <w:r>
        <w:rPr>
          <w:rFonts w:ascii="Cambria Math" w:hAnsi="Cambria Math"/>
          <w:sz w:val="21"/>
        </w:rPr>
        <w:t>N = 16</w:t>
      </w:r>
      <w:r>
        <w:rPr>
          <w:rFonts w:ascii="Times New Roman" w:hAnsi="Times New Roman"/>
          <w:sz w:val="21"/>
        </w:rPr>
        <w:t xml:space="preserve"> participants satisfies this prerequisite.</w:t>
      </w:r>
    </w:p>
    <w:p>
      <w:pPr>
        <w:spacing w:after="90"/>
        <w:jc w:val="both"/>
      </w:pPr>
      <w:r>
        <w:rPr>
          <w:rFonts w:ascii="Times New Roman" w:hAnsi="Times New Roman"/>
          <w:b/>
          <w:sz w:val="21"/>
        </w:rPr>
        <w:t>Testing Apparatus:</w:t>
      </w:r>
      <w:r>
        <w:rPr>
          <w:rFonts w:ascii="Times New Roman" w:hAnsi="Times New Roman"/>
          <w:sz w:val="21"/>
        </w:rPr>
        <w:t xml:space="preserve"> All trials were executed on a Samsung Galaxy A13 smartphone featuring a 6.6-inch PLS LCD display (</w:t>
      </w:r>
      <w:r>
        <w:rPr>
          <w:rFonts w:ascii="Cambria Math" w:hAnsi="Cambria Math"/>
          <w:sz w:val="21"/>
        </w:rPr>
        <w:t>1080 × 2408</w:t>
      </w:r>
      <w:r>
        <w:rPr>
          <w:rFonts w:ascii="Times New Roman" w:hAnsi="Times New Roman"/>
          <w:sz w:val="21"/>
        </w:rPr>
        <w:t xml:space="preserve"> resolution, 400 ppi, physical screen dimensions </w:t>
      </w:r>
      <w:r>
        <w:rPr>
          <w:rFonts w:ascii="Cambria Math" w:hAnsi="Cambria Math"/>
          <w:sz w:val="21"/>
        </w:rPr>
        <w:t>150 × 67 mm</w:t>
      </w:r>
      <w:r>
        <w:rPr>
          <w:rFonts w:ascii="Times New Roman" w:hAnsi="Times New Roman"/>
          <w:sz w:val="21"/>
        </w:rPr>
        <w:t xml:space="preserve">), running Android 13 with One UI Core 5.1. Display brightness was fixed at </w:t>
      </w:r>
      <w:r>
        <w:rPr>
          <w:rFonts w:ascii="Cambria Math" w:hAnsi="Cambria Math"/>
          <w:sz w:val="21"/>
        </w:rPr>
        <w:t>70%</w:t>
      </w:r>
      <w:r>
        <w:rPr>
          <w:rFonts w:ascii="Times New Roman" w:hAnsi="Times New Roman"/>
          <w:sz w:val="21"/>
        </w:rPr>
        <w:t>, and system font scaling was set to default (</w:t>
      </w:r>
      <w:r>
        <w:rPr>
          <w:rFonts w:ascii="Cambria Math" w:hAnsi="Cambria Math"/>
          <w:sz w:val="21"/>
        </w:rPr>
        <w:t>100%</w:t>
      </w:r>
      <w:r>
        <w:rPr>
          <w:rFonts w:ascii="Times New Roman" w:hAnsi="Times New Roman"/>
          <w:sz w:val="21"/>
        </w:rPr>
        <w:t>).</w:t>
      </w:r>
    </w:p>
    <w:p>
      <w:pPr>
        <w:spacing w:after="90"/>
        <w:jc w:val="both"/>
      </w:pPr>
      <w:r>
        <w:rPr>
          <w:rFonts w:ascii="Times New Roman" w:hAnsi="Times New Roman"/>
          <w:b/>
          <w:sz w:val="21"/>
        </w:rPr>
        <w:t>Timing Instrumentation &amp; Error Operationalization:</w:t>
      </w:r>
      <w:r>
        <w:rPr>
          <w:rFonts w:ascii="Times New Roman" w:hAnsi="Times New Roman"/>
          <w:sz w:val="21"/>
        </w:rPr>
        <w:t xml:space="preserve"> Interaction timestamps were captured automatically with microsecond precision via Jetpack Compose pointer input modifiers attached to the root dialog surface. Touch input errors (</w:t>
      </w:r>
      <w:r>
        <w:rPr>
          <w:rFonts w:ascii="Cambria Math" w:hAnsi="Cambria Math"/>
          <w:i/>
          <w:sz w:val="21"/>
        </w:rPr>
        <w:t>TIE</w:t>
      </w:r>
      <w:r>
        <w:rPr>
          <w:rFonts w:ascii="Times New Roman" w:hAnsi="Times New Roman"/>
          <w:sz w:val="21"/>
        </w:rPr>
        <w:t>) were operationalized as: (1) touch slips where pointer down and pointer up occurred across different button bounding boxes; (2) accidental adjacent button presses requiring immediate re-selection; and (3) aborted drags where a radial hand was released in an incorrect quadrant, requiring a second correction drag.</w:t>
      </w:r>
    </w:p>
    <w:p>
      <w:pPr>
        <w:spacing w:after="90"/>
        <w:jc w:val="both"/>
      </w:pPr>
      <w:r>
        <w:rPr>
          <w:rFonts w:ascii="Times New Roman" w:hAnsi="Times New Roman"/>
          <w:b/>
          <w:sz w:val="21"/>
        </w:rPr>
        <w:t>Statistical Software:</w:t>
      </w:r>
      <w:r>
        <w:rPr>
          <w:rFonts w:ascii="Times New Roman" w:hAnsi="Times New Roman"/>
          <w:sz w:val="21"/>
        </w:rPr>
        <w:t xml:space="preserve"> Statistical hypothesis tests, effect sizes, and confidence intervals were computed using Python 3.11 with SciPy 1.11.2 and Pandas 2.1.0.</w:t>
      </w:r>
    </w:p>
    <w:p>
      <w:pPr>
        <w:keepNext/>
        <w:spacing w:before="160" w:after="60"/>
      </w:pPr>
      <w:r>
        <w:rPr>
          <w:rFonts w:ascii="Times New Roman" w:hAnsi="Times New Roman"/>
          <w:b/>
          <w:color w:val="2D3748"/>
          <w:sz w:val="21"/>
        </w:rPr>
        <w:t>6.3.2 Experimental Design and Counterbalanced Order Control</w:t>
      </w:r>
    </w:p>
    <w:p>
      <w:pPr>
        <w:spacing w:after="90"/>
        <w:jc w:val="both"/>
      </w:pPr>
      <w:r>
        <w:rPr>
          <w:rFonts w:ascii="Times New Roman" w:hAnsi="Times New Roman"/>
          <w:sz w:val="21"/>
        </w:rPr>
        <w:t>The experiment employed a within-subjects counterbalanced design. Participants performed time-setting operations under two conditions:</w:t>
      </w:r>
    </w:p>
    <w:p>
      <w:pPr>
        <w:spacing w:after="70"/>
        <w:ind w:left="403"/>
        <w:jc w:val="both"/>
      </w:pPr>
      <w:r>
        <w:rPr>
          <w:rFonts w:ascii="Times New Roman" w:hAnsi="Times New Roman"/>
          <w:b/>
          <w:sz w:val="21"/>
        </w:rPr>
        <w:t xml:space="preserve">•  </w:t>
      </w:r>
      <w:r>
        <w:rPr>
          <w:rFonts w:ascii="Times New Roman" w:hAnsi="Times New Roman"/>
          <w:b/>
          <w:sz w:val="21"/>
        </w:rPr>
        <w:t>Condition A (Proposed 12-Hour Grid):</w:t>
      </w:r>
      <w:r>
        <w:rPr>
          <w:rFonts w:ascii="Times New Roman" w:hAnsi="Times New Roman"/>
          <w:sz w:val="21"/>
        </w:rPr>
        <w:t xml:space="preserve"> Setting reminder times using Dosezy's stationary </w:t>
      </w:r>
      <w:r>
        <w:rPr>
          <w:rFonts w:ascii="Cambria Math" w:hAnsi="Cambria Math"/>
          <w:sz w:val="21"/>
        </w:rPr>
        <w:t>56 × 56 dp</w:t>
      </w:r>
      <w:r>
        <w:rPr>
          <w:rFonts w:ascii="Times New Roman" w:hAnsi="Times New Roman"/>
          <w:sz w:val="21"/>
        </w:rPr>
        <w:t xml:space="preserve"> button grid with discrete AM/PM toggles and quick minute chips.</w:t>
      </w:r>
    </w:p>
    <w:p>
      <w:pPr>
        <w:spacing w:after="70"/>
        <w:ind w:left="403"/>
        <w:jc w:val="both"/>
      </w:pPr>
      <w:r>
        <w:rPr>
          <w:rFonts w:ascii="Times New Roman" w:hAnsi="Times New Roman"/>
          <w:b/>
          <w:sz w:val="21"/>
        </w:rPr>
        <w:t xml:space="preserve">•  </w:t>
      </w:r>
      <w:r>
        <w:rPr>
          <w:rFonts w:ascii="Times New Roman" w:hAnsi="Times New Roman"/>
          <w:b/>
          <w:sz w:val="21"/>
        </w:rPr>
        <w:t>Condition B (Standard Android Radial Clock):</w:t>
      </w:r>
      <w:r>
        <w:rPr>
          <w:rFonts w:ascii="Times New Roman" w:hAnsi="Times New Roman"/>
          <w:sz w:val="21"/>
        </w:rPr>
        <w:t xml:space="preserve"> Setting reminder times using the standard Material Design circular clock dial, requiring continuous circular dragging of hands for hours and minutes.</w:t>
      </w:r>
    </w:p>
    <w:p>
      <w:pPr>
        <w:spacing w:after="90"/>
        <w:jc w:val="both"/>
      </w:pPr>
      <w:r>
        <w:rPr>
          <w:rFonts w:ascii="Times New Roman" w:hAnsi="Times New Roman"/>
          <w:sz w:val="21"/>
        </w:rPr>
        <w:t>Participants were randomly allocated to two counterbalanced ordering cohorts: Cohort 1 (</w:t>
      </w:r>
      <w:r>
        <w:rPr>
          <w:rFonts w:ascii="Cambria Math" w:hAnsi="Cambria Math"/>
          <w:sz w:val="21"/>
        </w:rPr>
        <w:t>n=8</w:t>
      </w:r>
      <w:r>
        <w:rPr>
          <w:rFonts w:ascii="Times New Roman" w:hAnsi="Times New Roman"/>
          <w:sz w:val="21"/>
        </w:rPr>
        <w:t>) completed Condition A followed by Condition B; Cohort 2 (</w:t>
      </w:r>
      <w:r>
        <w:rPr>
          <w:rFonts w:ascii="Cambria Math" w:hAnsi="Cambria Math"/>
          <w:sz w:val="21"/>
        </w:rPr>
        <w:t>n=8</w:t>
      </w:r>
      <w:r>
        <w:rPr>
          <w:rFonts w:ascii="Times New Roman" w:hAnsi="Times New Roman"/>
          <w:sz w:val="21"/>
        </w:rPr>
        <w:t>) completed Condition B followed by Condition A. To verify the absence of differential carryover effects, we computed individual within-subject difference scores (</w:t>
      </w:r>
      <w:r>
        <w:rPr>
          <w:rFonts w:ascii="Cambria Math" w:hAnsi="Cambria Math"/>
          <w:sz w:val="21"/>
        </w:rPr>
        <w:t>D_i = Score_{A,i} - Score_{B,i}</w:t>
      </w:r>
      <w:r>
        <w:rPr>
          <w:rFonts w:ascii="Times New Roman" w:hAnsi="Times New Roman"/>
          <w:sz w:val="21"/>
        </w:rPr>
        <w:t>) and compared them across the two sequence cohorts (</w:t>
      </w:r>
      <w:r>
        <w:rPr>
          <w:rFonts w:ascii="Cambria Math" w:hAnsi="Cambria Math"/>
          <w:i/>
          <w:sz w:val="21"/>
        </w:rPr>
        <w:t>AB</w:t>
      </w:r>
      <w:r>
        <w:rPr>
          <w:rFonts w:ascii="Times New Roman" w:hAnsi="Times New Roman"/>
          <w:sz w:val="21"/>
        </w:rPr>
        <w:t xml:space="preserve"> vs. </w:t>
      </w:r>
      <w:r>
        <w:rPr>
          <w:rFonts w:ascii="Cambria Math" w:hAnsi="Cambria Math"/>
          <w:i/>
          <w:sz w:val="21"/>
        </w:rPr>
        <w:t>BA</w:t>
      </w:r>
      <w:r>
        <w:rPr>
          <w:rFonts w:ascii="Times New Roman" w:hAnsi="Times New Roman"/>
          <w:sz w:val="21"/>
        </w:rPr>
        <w:t xml:space="preserve">). Independent-samples </w:t>
      </w:r>
      <w:r>
        <w:rPr>
          <w:rFonts w:ascii="Cambria Math" w:hAnsi="Cambria Math"/>
          <w:i/>
          <w:sz w:val="21"/>
        </w:rPr>
        <w:t>t</w:t>
      </w:r>
      <w:r>
        <w:rPr>
          <w:rFonts w:ascii="Times New Roman" w:hAnsi="Times New Roman"/>
          <w:sz w:val="21"/>
        </w:rPr>
        <w:t>-tests confirmed no significant sequence carryover effect on task completion time (</w:t>
      </w:r>
      <w:r>
        <w:rPr>
          <w:rFonts w:ascii="Cambria Math" w:hAnsi="Cambria Math"/>
          <w:sz w:val="21"/>
        </w:rPr>
        <w:t>t(14) = 0.38, p = 0.71</w:t>
      </w:r>
      <w:r>
        <w:rPr>
          <w:rFonts w:ascii="Times New Roman" w:hAnsi="Times New Roman"/>
          <w:sz w:val="21"/>
        </w:rPr>
        <w:t>) or SUS scores (</w:t>
      </w:r>
      <w:r>
        <w:rPr>
          <w:rFonts w:ascii="Cambria Math" w:hAnsi="Cambria Math"/>
          <w:sz w:val="21"/>
        </w:rPr>
        <w:t>t(14) = 0.42, p = 0.68</w:t>
      </w:r>
      <w:r>
        <w:rPr>
          <w:rFonts w:ascii="Times New Roman" w:hAnsi="Times New Roman"/>
          <w:sz w:val="21"/>
        </w:rPr>
        <w:t>).</w:t>
      </w:r>
    </w:p>
    <w:p>
      <w:pPr>
        <w:keepNext/>
        <w:spacing w:before="160" w:after="60"/>
      </w:pPr>
      <w:r>
        <w:rPr>
          <w:rFonts w:ascii="Times New Roman" w:hAnsi="Times New Roman"/>
          <w:b/>
          <w:color w:val="2D3748"/>
          <w:sz w:val="21"/>
        </w:rPr>
        <w:t>6.3.3 Task Protocol and Interaction Sequences</w:t>
      </w:r>
    </w:p>
    <w:p>
      <w:pPr>
        <w:spacing w:after="90"/>
        <w:jc w:val="both"/>
      </w:pPr>
      <w:r>
        <w:rPr>
          <w:rFonts w:ascii="Times New Roman" w:hAnsi="Times New Roman"/>
          <w:sz w:val="21"/>
        </w:rPr>
        <w:t>Participants completed three prescription scheduling tasks reflecting varying motor demands:</w:t>
      </w:r>
    </w:p>
    <w:p>
      <w:pPr>
        <w:spacing w:after="70"/>
        <w:ind w:left="403"/>
        <w:jc w:val="both"/>
      </w:pPr>
      <w:r>
        <w:rPr>
          <w:rFonts w:ascii="Times New Roman" w:hAnsi="Times New Roman"/>
          <w:b/>
          <w:sz w:val="21"/>
        </w:rPr>
        <w:t xml:space="preserve">•  </w:t>
      </w:r>
      <w:r>
        <w:rPr>
          <w:rFonts w:ascii="Times New Roman" w:hAnsi="Times New Roman"/>
          <w:b/>
          <w:sz w:val="21"/>
        </w:rPr>
        <w:t>Task 1 (Modal On-the-Hour):</w:t>
      </w:r>
      <w:r>
        <w:rPr>
          <w:rFonts w:ascii="Times New Roman" w:hAnsi="Times New Roman"/>
          <w:sz w:val="21"/>
        </w:rPr>
        <w:t xml:space="preserve"> Configure a reminder for </w:t>
      </w:r>
      <w:r>
        <w:rPr>
          <w:rFonts w:ascii="Times New Roman" w:hAnsi="Times New Roman"/>
          <w:b/>
          <w:sz w:val="21"/>
        </w:rPr>
        <w:t>8:00 AM</w:t>
      </w:r>
      <w:r>
        <w:rPr>
          <w:rFonts w:ascii="Times New Roman" w:hAnsi="Times New Roman"/>
          <w:sz w:val="21"/>
        </w:rPr>
        <w:t xml:space="preserve"> (standard morning prescription, default :00 minute chip).</w:t>
      </w:r>
    </w:p>
    <w:p>
      <w:pPr>
        <w:spacing w:after="70"/>
        <w:ind w:left="403"/>
        <w:jc w:val="both"/>
      </w:pPr>
      <w:r>
        <w:rPr>
          <w:rFonts w:ascii="Times New Roman" w:hAnsi="Times New Roman"/>
          <w:b/>
          <w:sz w:val="21"/>
        </w:rPr>
        <w:t xml:space="preserve">•  </w:t>
      </w:r>
      <w:r>
        <w:rPr>
          <w:rFonts w:ascii="Times New Roman" w:hAnsi="Times New Roman"/>
          <w:b/>
          <w:sz w:val="21"/>
        </w:rPr>
        <w:t>Task 2 (Modal Half-Hour Preset):</w:t>
      </w:r>
      <w:r>
        <w:rPr>
          <w:rFonts w:ascii="Times New Roman" w:hAnsi="Times New Roman"/>
          <w:sz w:val="21"/>
        </w:rPr>
        <w:t xml:space="preserve"> Configure a reminder for </w:t>
      </w:r>
      <w:r>
        <w:rPr>
          <w:rFonts w:ascii="Times New Roman" w:hAnsi="Times New Roman"/>
          <w:b/>
          <w:sz w:val="21"/>
        </w:rPr>
        <w:t>1:30 PM</w:t>
      </w:r>
      <w:r>
        <w:rPr>
          <w:rFonts w:ascii="Times New Roman" w:hAnsi="Times New Roman"/>
          <w:sz w:val="21"/>
        </w:rPr>
        <w:t xml:space="preserve"> (post-lunch prescription, selecting :30 minute chip).</w:t>
      </w:r>
    </w:p>
    <w:p>
      <w:pPr>
        <w:spacing w:after="70"/>
        <w:ind w:left="403"/>
        <w:jc w:val="both"/>
      </w:pPr>
      <w:r>
        <w:rPr>
          <w:rFonts w:ascii="Times New Roman" w:hAnsi="Times New Roman"/>
          <w:b/>
          <w:sz w:val="21"/>
        </w:rPr>
        <w:t xml:space="preserve">•  </w:t>
      </w:r>
      <w:r>
        <w:rPr>
          <w:rFonts w:ascii="Times New Roman" w:hAnsi="Times New Roman"/>
          <w:b/>
          <w:sz w:val="21"/>
        </w:rPr>
        <w:t>Task 3 (Non-Modal Arbitrary Minute Stepper):</w:t>
      </w:r>
      <w:r>
        <w:rPr>
          <w:rFonts w:ascii="Times New Roman" w:hAnsi="Times New Roman"/>
          <w:sz w:val="21"/>
        </w:rPr>
        <w:t xml:space="preserve"> Configure a reminder for </w:t>
      </w:r>
      <w:r>
        <w:rPr>
          <w:rFonts w:ascii="Times New Roman" w:hAnsi="Times New Roman"/>
          <w:b/>
          <w:sz w:val="21"/>
        </w:rPr>
        <w:t>9:42 PM</w:t>
      </w:r>
      <w:r>
        <w:rPr>
          <w:rFonts w:ascii="Times New Roman" w:hAnsi="Times New Roman"/>
          <w:sz w:val="21"/>
        </w:rPr>
        <w:t xml:space="preserve"> (evening dose requiring fine adjustment via chip :45 followed by three taps on the minus-stepper button).</w:t>
      </w:r>
    </w:p>
    <w:p>
      <w:pPr>
        <w:spacing w:after="90"/>
        <w:jc w:val="both"/>
      </w:pPr>
      <w:r>
        <w:rPr>
          <w:rFonts w:ascii="Times New Roman" w:hAnsi="Times New Roman"/>
          <w:sz w:val="21"/>
        </w:rPr>
        <w:t>Table 4.1 contrasts the concrete gesture sequences required under both interfaces across each task.</w:t>
      </w:r>
    </w:p>
    <w:p>
      <w:pPr>
        <w:keepNext/>
        <w:spacing w:before="160" w:after="60"/>
      </w:pPr>
      <w:r>
        <w:rPr>
          <w:rFonts w:ascii="Times New Roman" w:hAnsi="Times New Roman"/>
          <w:b/>
          <w:color w:val="2D3748"/>
          <w:sz w:val="21"/>
        </w:rPr>
        <w:t>Table 4.1: Comparative Interaction Gesture Sequences: 12-Hour Grid vs. Standard Radial Dial</w:t>
      </w:r>
    </w:p>
    <w:tbl>
      <w:tblPr>
        <w:tblW w:type="auto" w:w="0"/>
        <w:jc w:val="center"/>
        <w:tblLayout w:type="autofit"/>
        <w:tblLook w:firstColumn="1" w:firstRow="1" w:lastColumn="0" w:lastRow="0" w:noHBand="0" w:noVBand="1" w:val="04A0"/>
        <w:tblBorders>
          <w:top w:val="single" w:sz="12" w:space="0" w:color="102C57"/>
          <w:bottom w:val="single" w:sz="12" w:space="0" w:color="102C57"/>
          <w:left w:val="none"/>
          <w:right w:val="none"/>
          <w:insideH w:val="single" w:sz="4" w:space="0" w:color="E2E8F0"/>
          <w:insideV w:val="none"/>
        </w:tblBorders>
      </w:tblPr>
      <w:tblGrid>
        <w:gridCol w:w="3120"/>
        <w:gridCol w:w="3120"/>
        <w:gridCol w:w="3120"/>
      </w:tblGrid>
      <w:tr>
        <w:tc>
          <w:tcPr>
            <w:tcW w:type="dxa" w:w="312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Task / Target</w:t>
            </w:r>
          </w:p>
        </w:tc>
        <w:tc>
          <w:tcPr>
            <w:tcW w:type="dxa" w:w="312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Condition A (12-Hour Grid Picker)</w:t>
            </w:r>
          </w:p>
        </w:tc>
        <w:tc>
          <w:tcPr>
            <w:tcW w:type="dxa" w:w="312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Condition B (Standard Radial Clock)</w:t>
            </w:r>
          </w:p>
        </w:tc>
      </w:tr>
      <w:tr>
        <w:tc>
          <w:tcPr>
            <w:tcW w:type="dxa" w:w="3120"/>
            <w:tcMar>
              <w:top w:w="60" w:type="dxa"/>
              <w:bottom w:w="60" w:type="dxa"/>
              <w:left w:w="100" w:type="dxa"/>
              <w:right w:w="100" w:type="dxa"/>
            </w:tcMar>
          </w:tcPr>
          <w:p>
            <w:pPr>
              <w:spacing w:before="60" w:after="60"/>
              <w:jc w:val="left"/>
            </w:pPr>
            <w:r/>
            <w:r>
              <w:rPr>
                <w:rFonts w:ascii="Times New Roman" w:hAnsi="Times New Roman"/>
                <w:b/>
                <w:sz w:val="18"/>
              </w:rPr>
              <w:t>Task 1 (8:00 AM)</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 xml:space="preserve">Tap </w:t>
            </w:r>
            <w:r>
              <w:rPr>
                <w:rFonts w:ascii="Consolas" w:hAnsi="Consolas"/>
                <w:color w:val="24292E"/>
                <w:sz w:val="16"/>
              </w:rPr>
              <w:t>8</w:t>
            </w:r>
            <w:r>
              <w:rPr>
                <w:rFonts w:ascii="Times New Roman" w:hAnsi="Times New Roman"/>
                <w:sz w:val="18"/>
              </w:rPr>
              <w:t xml:space="preserve"> (AM and :00 default) </w:t>
            </w:r>
            <w:r>
              <w:rPr>
                <w:rFonts w:ascii="Cambria Math" w:hAnsi="Cambria Math"/>
                <w:sz w:val="18"/>
              </w:rPr>
              <w:t>\to</w:t>
            </w:r>
            <w:r>
              <w:rPr>
                <w:rFonts w:ascii="Times New Roman" w:hAnsi="Times New Roman"/>
                <w:sz w:val="18"/>
              </w:rPr>
              <w:t xml:space="preserve"> Tap </w:t>
            </w:r>
            <w:r>
              <w:rPr>
                <w:rFonts w:ascii="Consolas" w:hAnsi="Consolas"/>
                <w:color w:val="24292E"/>
                <w:sz w:val="16"/>
              </w:rPr>
              <w:t>OK</w:t>
            </w:r>
            <w:r>
              <w:rPr>
                <w:rFonts w:ascii="Times New Roman" w:hAnsi="Times New Roman"/>
                <w:sz w:val="18"/>
              </w:rPr>
              <w:t xml:space="preserve"> [2 discrete stationary taps]</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 xml:space="preserve">Touch pin </w:t>
            </w:r>
            <w:r>
              <w:rPr>
                <w:rFonts w:ascii="Cambria Math" w:hAnsi="Cambria Math"/>
                <w:sz w:val="18"/>
              </w:rPr>
              <w:t>\to</w:t>
            </w:r>
            <w:r>
              <w:rPr>
                <w:rFonts w:ascii="Times New Roman" w:hAnsi="Times New Roman"/>
                <w:sz w:val="18"/>
              </w:rPr>
              <w:t xml:space="preserve"> drag hand along </w:t>
            </w:r>
            <w:r>
              <w:rPr>
                <w:rFonts w:ascii="Cambria Math" w:hAnsi="Cambria Math"/>
                <w:sz w:val="18"/>
              </w:rPr>
              <w:t>240^\circ</w:t>
            </w:r>
            <w:r>
              <w:rPr>
                <w:rFonts w:ascii="Times New Roman" w:hAnsi="Times New Roman"/>
                <w:sz w:val="18"/>
              </w:rPr>
              <w:t xml:space="preserve"> arc to </w:t>
            </w:r>
            <w:r>
              <w:rPr>
                <w:rFonts w:ascii="Consolas" w:hAnsi="Consolas"/>
                <w:color w:val="24292E"/>
                <w:sz w:val="16"/>
              </w:rPr>
              <w:t>8</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release </w:t>
            </w:r>
            <w:r>
              <w:rPr>
                <w:rFonts w:ascii="Cambria Math" w:hAnsi="Cambria Math"/>
                <w:sz w:val="18"/>
              </w:rPr>
              <w:t>\to</w:t>
            </w:r>
            <w:r>
              <w:rPr>
                <w:rFonts w:ascii="Times New Roman" w:hAnsi="Times New Roman"/>
                <w:sz w:val="18"/>
              </w:rPr>
              <w:t xml:space="preserve"> drag hand to </w:t>
            </w:r>
            <w:r>
              <w:rPr>
                <w:rFonts w:ascii="Consolas" w:hAnsi="Consolas"/>
                <w:color w:val="24292E"/>
                <w:sz w:val="16"/>
              </w:rPr>
              <w:t>00</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release </w:t>
            </w:r>
            <w:r>
              <w:rPr>
                <w:rFonts w:ascii="Cambria Math" w:hAnsi="Cambria Math"/>
                <w:sz w:val="18"/>
              </w:rPr>
              <w:t>\to</w:t>
            </w:r>
            <w:r>
              <w:rPr>
                <w:rFonts w:ascii="Times New Roman" w:hAnsi="Times New Roman"/>
                <w:sz w:val="18"/>
              </w:rPr>
              <w:t xml:space="preserve"> Tap </w:t>
            </w:r>
            <w:r>
              <w:rPr>
                <w:rFonts w:ascii="Consolas" w:hAnsi="Consolas"/>
                <w:color w:val="24292E"/>
                <w:sz w:val="16"/>
              </w:rPr>
              <w:t>OK</w:t>
            </w:r>
            <w:r>
              <w:rPr>
                <w:rFonts w:ascii="Times New Roman" w:hAnsi="Times New Roman"/>
                <w:sz w:val="18"/>
              </w:rPr>
              <w:t xml:space="preserve"> [2 continuous curved drags + 1 tap]</w:t>
            </w:r>
          </w:p>
        </w:tc>
      </w:tr>
      <w:tr>
        <w:tc>
          <w:tcPr>
            <w:tcW w:type="dxa" w:w="3120"/>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Task 2 (1:30 PM)</w:t>
            </w:r>
          </w:p>
        </w:tc>
        <w:tc>
          <w:tcPr>
            <w:tcW w:type="dxa" w:w="3120"/>
            <w:shd w:val="clear" w:color="auto" w:fill="F7FAFC"/>
            <w:tcMar>
              <w:top w:w="60" w:type="dxa"/>
              <w:bottom w:w="60" w:type="dxa"/>
              <w:left w:w="100" w:type="dxa"/>
              <w:right w:w="100" w:type="dxa"/>
            </w:tcMar>
          </w:tcPr>
          <w:p>
            <w:pPr>
              <w:spacing w:before="60" w:after="60"/>
              <w:jc w:val="left"/>
            </w:pPr>
            <w:r/>
            <w:r>
              <w:rPr>
                <w:rFonts w:ascii="Times New Roman" w:hAnsi="Times New Roman"/>
                <w:sz w:val="18"/>
              </w:rPr>
              <w:t xml:space="preserve">Tap </w:t>
            </w:r>
            <w:r>
              <w:rPr>
                <w:rFonts w:ascii="Consolas" w:hAnsi="Consolas"/>
                <w:color w:val="24292E"/>
                <w:sz w:val="16"/>
              </w:rPr>
              <w:t>PM</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Tap </w:t>
            </w:r>
            <w:r>
              <w:rPr>
                <w:rFonts w:ascii="Consolas" w:hAnsi="Consolas"/>
                <w:color w:val="24292E"/>
                <w:sz w:val="16"/>
              </w:rPr>
              <w:t>1</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Tap </w:t>
            </w:r>
            <w:r>
              <w:rPr>
                <w:rFonts w:ascii="Consolas" w:hAnsi="Consolas"/>
                <w:color w:val="24292E"/>
                <w:sz w:val="16"/>
              </w:rPr>
              <w:t>:30</w:t>
            </w:r>
            <w:r>
              <w:rPr>
                <w:rFonts w:ascii="Times New Roman" w:hAnsi="Times New Roman"/>
                <w:sz w:val="18"/>
              </w:rPr>
              <w:t xml:space="preserve"> chip </w:t>
            </w:r>
            <w:r>
              <w:rPr>
                <w:rFonts w:ascii="Cambria Math" w:hAnsi="Cambria Math"/>
                <w:sz w:val="18"/>
              </w:rPr>
              <w:t>\to</w:t>
            </w:r>
            <w:r>
              <w:rPr>
                <w:rFonts w:ascii="Times New Roman" w:hAnsi="Times New Roman"/>
                <w:sz w:val="18"/>
              </w:rPr>
              <w:t xml:space="preserve"> Tap </w:t>
            </w:r>
            <w:r>
              <w:rPr>
                <w:rFonts w:ascii="Consolas" w:hAnsi="Consolas"/>
                <w:color w:val="24292E"/>
                <w:sz w:val="16"/>
              </w:rPr>
              <w:t>OK</w:t>
            </w:r>
            <w:r>
              <w:rPr>
                <w:rFonts w:ascii="Times New Roman" w:hAnsi="Times New Roman"/>
                <w:sz w:val="18"/>
              </w:rPr>
              <w:t xml:space="preserve"> [4 discrete stationary taps]</w:t>
            </w:r>
          </w:p>
        </w:tc>
        <w:tc>
          <w:tcPr>
            <w:tcW w:type="dxa" w:w="3120"/>
            <w:shd w:val="clear" w:color="auto" w:fill="F7FAFC"/>
            <w:tcMar>
              <w:top w:w="60" w:type="dxa"/>
              <w:bottom w:w="60" w:type="dxa"/>
              <w:left w:w="100" w:type="dxa"/>
              <w:right w:w="100" w:type="dxa"/>
            </w:tcMar>
          </w:tcPr>
          <w:p>
            <w:pPr>
              <w:spacing w:before="60" w:after="60"/>
              <w:jc w:val="left"/>
            </w:pPr>
            <w:r/>
            <w:r>
              <w:rPr>
                <w:rFonts w:ascii="Times New Roman" w:hAnsi="Times New Roman"/>
                <w:sz w:val="18"/>
              </w:rPr>
              <w:t xml:space="preserve">Tap </w:t>
            </w:r>
            <w:r>
              <w:rPr>
                <w:rFonts w:ascii="Consolas" w:hAnsi="Consolas"/>
                <w:color w:val="24292E"/>
                <w:sz w:val="16"/>
              </w:rPr>
              <w:t>PM</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drag hand along arc to </w:t>
            </w:r>
            <w:r>
              <w:rPr>
                <w:rFonts w:ascii="Consolas" w:hAnsi="Consolas"/>
                <w:color w:val="24292E"/>
                <w:sz w:val="16"/>
              </w:rPr>
              <w:t>1</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release </w:t>
            </w:r>
            <w:r>
              <w:rPr>
                <w:rFonts w:ascii="Cambria Math" w:hAnsi="Cambria Math"/>
                <w:sz w:val="18"/>
              </w:rPr>
              <w:t>\to</w:t>
            </w:r>
            <w:r>
              <w:rPr>
                <w:rFonts w:ascii="Times New Roman" w:hAnsi="Times New Roman"/>
                <w:sz w:val="18"/>
              </w:rPr>
              <w:t xml:space="preserve"> drag hand along </w:t>
            </w:r>
            <w:r>
              <w:rPr>
                <w:rFonts w:ascii="Cambria Math" w:hAnsi="Cambria Math"/>
                <w:sz w:val="18"/>
              </w:rPr>
              <w:t>180^\circ</w:t>
            </w:r>
            <w:r>
              <w:rPr>
                <w:rFonts w:ascii="Times New Roman" w:hAnsi="Times New Roman"/>
                <w:sz w:val="18"/>
              </w:rPr>
              <w:t xml:space="preserve"> arc to </w:t>
            </w:r>
            <w:r>
              <w:rPr>
                <w:rFonts w:ascii="Consolas" w:hAnsi="Consolas"/>
                <w:color w:val="24292E"/>
                <w:sz w:val="16"/>
              </w:rPr>
              <w:t>30</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release </w:t>
            </w:r>
            <w:r>
              <w:rPr>
                <w:rFonts w:ascii="Cambria Math" w:hAnsi="Cambria Math"/>
                <w:sz w:val="18"/>
              </w:rPr>
              <w:t>\to</w:t>
            </w:r>
            <w:r>
              <w:rPr>
                <w:rFonts w:ascii="Times New Roman" w:hAnsi="Times New Roman"/>
                <w:sz w:val="18"/>
              </w:rPr>
              <w:t xml:space="preserve"> Tap </w:t>
            </w:r>
            <w:r>
              <w:rPr>
                <w:rFonts w:ascii="Consolas" w:hAnsi="Consolas"/>
                <w:color w:val="24292E"/>
                <w:sz w:val="16"/>
              </w:rPr>
              <w:t>OK</w:t>
            </w:r>
            <w:r>
              <w:rPr>
                <w:rFonts w:ascii="Times New Roman" w:hAnsi="Times New Roman"/>
                <w:sz w:val="18"/>
              </w:rPr>
              <w:t xml:space="preserve"> [2 continuous curved drags + 2 taps]</w:t>
            </w:r>
          </w:p>
        </w:tc>
      </w:tr>
      <w:tr>
        <w:tc>
          <w:tcPr>
            <w:tcW w:type="dxa" w:w="3120"/>
            <w:tcMar>
              <w:top w:w="60" w:type="dxa"/>
              <w:bottom w:w="60" w:type="dxa"/>
              <w:left w:w="100" w:type="dxa"/>
              <w:right w:w="100" w:type="dxa"/>
            </w:tcMar>
          </w:tcPr>
          <w:p>
            <w:pPr>
              <w:spacing w:before="60" w:after="60"/>
              <w:jc w:val="left"/>
            </w:pPr>
            <w:r/>
            <w:r>
              <w:rPr>
                <w:rFonts w:ascii="Times New Roman" w:hAnsi="Times New Roman"/>
                <w:b/>
                <w:sz w:val="18"/>
              </w:rPr>
              <w:t>Task 3 (9:42 PM)</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 xml:space="preserve">Tap </w:t>
            </w:r>
            <w:r>
              <w:rPr>
                <w:rFonts w:ascii="Consolas" w:hAnsi="Consolas"/>
                <w:color w:val="24292E"/>
                <w:sz w:val="16"/>
              </w:rPr>
              <w:t>PM</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Tap </w:t>
            </w:r>
            <w:r>
              <w:rPr>
                <w:rFonts w:ascii="Consolas" w:hAnsi="Consolas"/>
                <w:color w:val="24292E"/>
                <w:sz w:val="16"/>
              </w:rPr>
              <w:t>9</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Tap </w:t>
            </w:r>
            <w:r>
              <w:rPr>
                <w:rFonts w:ascii="Consolas" w:hAnsi="Consolas"/>
                <w:color w:val="24292E"/>
                <w:sz w:val="16"/>
              </w:rPr>
              <w:t>:45</w:t>
            </w:r>
            <w:r>
              <w:rPr>
                <w:rFonts w:ascii="Times New Roman" w:hAnsi="Times New Roman"/>
                <w:sz w:val="18"/>
              </w:rPr>
              <w:t xml:space="preserve"> chip </w:t>
            </w:r>
            <w:r>
              <w:rPr>
                <w:rFonts w:ascii="Cambria Math" w:hAnsi="Cambria Math"/>
                <w:sz w:val="18"/>
              </w:rPr>
              <w:t>\to</w:t>
            </w:r>
            <w:r>
              <w:rPr>
                <w:rFonts w:ascii="Times New Roman" w:hAnsi="Times New Roman"/>
                <w:sz w:val="18"/>
              </w:rPr>
              <w:t xml:space="preserve"> Tap </w:t>
            </w:r>
            <w:r>
              <w:rPr>
                <w:rFonts w:ascii="Consolas" w:hAnsi="Consolas"/>
                <w:color w:val="24292E"/>
                <w:sz w:val="16"/>
              </w:rPr>
              <w:t>[-]</w:t>
            </w:r>
            <w:r>
              <w:rPr>
                <w:rFonts w:ascii="Times New Roman" w:hAnsi="Times New Roman"/>
                <w:sz w:val="18"/>
              </w:rPr>
              <w:t xml:space="preserve"> stepper </w:t>
            </w:r>
            <w:r>
              <w:rPr>
                <w:rFonts w:ascii="Cambria Math" w:hAnsi="Cambria Math"/>
                <w:sz w:val="18"/>
              </w:rPr>
              <w:t>× 3</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Tap </w:t>
            </w:r>
            <w:r>
              <w:rPr>
                <w:rFonts w:ascii="Consolas" w:hAnsi="Consolas"/>
                <w:color w:val="24292E"/>
                <w:sz w:val="16"/>
              </w:rPr>
              <w:t>OK</w:t>
            </w:r>
            <w:r>
              <w:rPr>
                <w:rFonts w:ascii="Times New Roman" w:hAnsi="Times New Roman"/>
                <w:sz w:val="18"/>
              </w:rPr>
              <w:t xml:space="preserve"> [7 discrete stationary taps]</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 xml:space="preserve">Tap </w:t>
            </w:r>
            <w:r>
              <w:rPr>
                <w:rFonts w:ascii="Consolas" w:hAnsi="Consolas"/>
                <w:color w:val="24292E"/>
                <w:sz w:val="16"/>
              </w:rPr>
              <w:t>PM</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drag hand to </w:t>
            </w:r>
            <w:r>
              <w:rPr>
                <w:rFonts w:ascii="Consolas" w:hAnsi="Consolas"/>
                <w:color w:val="24292E"/>
                <w:sz w:val="16"/>
              </w:rPr>
              <w:t>9</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release </w:t>
            </w:r>
            <w:r>
              <w:rPr>
                <w:rFonts w:ascii="Cambria Math" w:hAnsi="Cambria Math"/>
                <w:sz w:val="18"/>
              </w:rPr>
              <w:t>\to</w:t>
            </w:r>
            <w:r>
              <w:rPr>
                <w:rFonts w:ascii="Times New Roman" w:hAnsi="Times New Roman"/>
                <w:sz w:val="18"/>
              </w:rPr>
              <w:t xml:space="preserve"> drag hand along </w:t>
            </w:r>
            <w:r>
              <w:rPr>
                <w:rFonts w:ascii="Cambria Math" w:hAnsi="Cambria Math"/>
                <w:sz w:val="18"/>
              </w:rPr>
              <w:t>252^\circ</w:t>
            </w:r>
            <w:r>
              <w:rPr>
                <w:rFonts w:ascii="Times New Roman" w:hAnsi="Times New Roman"/>
                <w:sz w:val="18"/>
              </w:rPr>
              <w:t xml:space="preserve"> arc to exact minute </w:t>
            </w:r>
            <w:r>
              <w:rPr>
                <w:rFonts w:ascii="Consolas" w:hAnsi="Consolas"/>
                <w:color w:val="24292E"/>
                <w:sz w:val="16"/>
              </w:rPr>
              <w:t>42</w:t>
            </w:r>
            <w:r>
              <w:rPr>
                <w:rFonts w:ascii="Times New Roman" w:hAnsi="Times New Roman"/>
                <w:sz w:val="18"/>
              </w:rPr>
              <w:t xml:space="preserve"> </w:t>
            </w:r>
            <w:r>
              <w:rPr>
                <w:rFonts w:ascii="Cambria Math" w:hAnsi="Cambria Math"/>
                <w:sz w:val="18"/>
              </w:rPr>
              <w:t>\to</w:t>
            </w:r>
            <w:r>
              <w:rPr>
                <w:rFonts w:ascii="Times New Roman" w:hAnsi="Times New Roman"/>
                <w:sz w:val="18"/>
              </w:rPr>
              <w:t xml:space="preserve"> precision release </w:t>
            </w:r>
            <w:r>
              <w:rPr>
                <w:rFonts w:ascii="Cambria Math" w:hAnsi="Cambria Math"/>
                <w:sz w:val="18"/>
              </w:rPr>
              <w:t>\to</w:t>
            </w:r>
            <w:r>
              <w:rPr>
                <w:rFonts w:ascii="Times New Roman" w:hAnsi="Times New Roman"/>
                <w:sz w:val="18"/>
              </w:rPr>
              <w:t xml:space="preserve"> Tap </w:t>
            </w:r>
            <w:r>
              <w:rPr>
                <w:rFonts w:ascii="Consolas" w:hAnsi="Consolas"/>
                <w:color w:val="24292E"/>
                <w:sz w:val="16"/>
              </w:rPr>
              <w:t>OK</w:t>
            </w:r>
            <w:r>
              <w:rPr>
                <w:rFonts w:ascii="Times New Roman" w:hAnsi="Times New Roman"/>
                <w:sz w:val="18"/>
              </w:rPr>
              <w:t xml:space="preserve"> [2 continuous curved drags + fine release + 2 taps]</w:t>
            </w:r>
          </w:p>
        </w:tc>
      </w:tr>
    </w:tbl>
    <w:p>
      <w:pPr>
        <w:spacing w:before="0" w:after="120"/>
      </w:pPr>
    </w:p>
    <w:p>
      <w:pPr>
        <w:spacing w:after="90"/>
        <w:jc w:val="both"/>
      </w:pPr>
      <w:r>
        <w:rPr>
          <w:rFonts w:ascii="Times New Roman" w:hAnsi="Times New Roman"/>
          <w:sz w:val="21"/>
        </w:rPr>
        <w:t>We logged four objective and psychometric dependent variables:</w:t>
      </w:r>
    </w:p>
    <w:p>
      <w:pPr>
        <w:spacing w:after="70"/>
        <w:ind w:left="403"/>
        <w:jc w:val="both"/>
      </w:pPr>
      <w:r>
        <w:rPr>
          <w:rFonts w:ascii="Times New Roman" w:hAnsi="Times New Roman"/>
          <w:b/>
          <w:sz w:val="21"/>
        </w:rPr>
        <w:t xml:space="preserve">1. </w:t>
      </w:r>
      <w:r>
        <w:rPr>
          <w:rFonts w:ascii="Times New Roman" w:hAnsi="Times New Roman"/>
          <w:b/>
          <w:sz w:val="21"/>
        </w:rPr>
        <w:t>Task Completion Time ($TCT$):</w:t>
      </w:r>
      <w:r>
        <w:rPr>
          <w:rFonts w:ascii="Times New Roman" w:hAnsi="Times New Roman"/>
          <w:sz w:val="21"/>
        </w:rPr>
        <w:t xml:space="preserve"> Elapsed duration in seconds from dialog launch to pressing "OK".</w:t>
      </w:r>
    </w:p>
    <w:p>
      <w:pPr>
        <w:spacing w:after="70"/>
        <w:ind w:left="403"/>
        <w:jc w:val="both"/>
      </w:pPr>
      <w:r>
        <w:rPr>
          <w:rFonts w:ascii="Times New Roman" w:hAnsi="Times New Roman"/>
          <w:b/>
          <w:sz w:val="21"/>
        </w:rPr>
        <w:t xml:space="preserve">2. </w:t>
      </w:r>
      <w:r>
        <w:rPr>
          <w:rFonts w:ascii="Times New Roman" w:hAnsi="Times New Roman"/>
          <w:b/>
          <w:sz w:val="21"/>
        </w:rPr>
        <w:t>Touch Input Errors ($TIE$):</w:t>
      </w:r>
      <w:r>
        <w:rPr>
          <w:rFonts w:ascii="Times New Roman" w:hAnsi="Times New Roman"/>
          <w:sz w:val="21"/>
        </w:rPr>
        <w:t xml:space="preserve"> Number of unintentional touch slips, accidental adjacent number selections, and missed drags requiring manual correction.</w:t>
      </w:r>
    </w:p>
    <w:p>
      <w:pPr>
        <w:spacing w:after="70"/>
        <w:ind w:left="403"/>
        <w:jc w:val="both"/>
      </w:pPr>
      <w:r>
        <w:rPr>
          <w:rFonts w:ascii="Times New Roman" w:hAnsi="Times New Roman"/>
          <w:b/>
          <w:sz w:val="21"/>
        </w:rPr>
        <w:t xml:space="preserve">3. </w:t>
      </w:r>
      <w:r>
        <w:rPr>
          <w:rFonts w:ascii="Times New Roman" w:hAnsi="Times New Roman"/>
          <w:b/>
          <w:sz w:val="21"/>
        </w:rPr>
        <w:t>Task Ease (SEQ):</w:t>
      </w:r>
      <w:r>
        <w:rPr>
          <w:rFonts w:ascii="Times New Roman" w:hAnsi="Times New Roman"/>
          <w:sz w:val="21"/>
        </w:rPr>
        <w:t xml:space="preserve"> The Single Ease Question rated on a 7-point Likert scale (1 = Very Difficult, 7 = Very Easy) administered immediately following each condition.</w:t>
      </w:r>
    </w:p>
    <w:p>
      <w:pPr>
        <w:spacing w:after="70"/>
        <w:ind w:left="403"/>
        <w:jc w:val="both"/>
      </w:pPr>
      <w:r>
        <w:rPr>
          <w:rFonts w:ascii="Times New Roman" w:hAnsi="Times New Roman"/>
          <w:b/>
          <w:sz w:val="21"/>
        </w:rPr>
        <w:t xml:space="preserve">4. </w:t>
      </w:r>
      <w:r>
        <w:rPr>
          <w:rFonts w:ascii="Times New Roman" w:hAnsi="Times New Roman"/>
          <w:b/>
          <w:sz w:val="21"/>
        </w:rPr>
        <w:t>System Usability Scale (SUS):</w:t>
      </w:r>
      <w:r>
        <w:rPr>
          <w:rFonts w:ascii="Times New Roman" w:hAnsi="Times New Roman"/>
          <w:sz w:val="21"/>
        </w:rPr>
        <w:t xml:space="preserve"> Standardized 10-item questionnaire administered at the conclusion of each condition, yielding a composite score from 0 to 100 [13].</w:t>
      </w:r>
    </w:p>
    <w:p>
      <w:pPr>
        <w:keepNext/>
        <w:spacing w:before="160" w:after="60"/>
      </w:pPr>
      <w:r>
        <w:rPr>
          <w:rFonts w:ascii="Times New Roman" w:hAnsi="Times New Roman"/>
          <w:b/>
          <w:color w:val="2D3748"/>
          <w:sz w:val="21"/>
        </w:rPr>
        <w:t>6.3.4 Statistical Analysis and Usability Findings</w:t>
      </w:r>
    </w:p>
    <w:p>
      <w:pPr>
        <w:spacing w:after="90"/>
        <w:jc w:val="both"/>
      </w:pPr>
      <w:r>
        <w:rPr>
          <w:rFonts w:ascii="Times New Roman" w:hAnsi="Times New Roman"/>
          <w:sz w:val="21"/>
        </w:rPr>
        <w:t xml:space="preserve">Data were analyzed using paired two-tailed Student's </w:t>
      </w:r>
      <w:r>
        <w:rPr>
          <w:rFonts w:ascii="Cambria Math" w:hAnsi="Cambria Math"/>
          <w:i/>
          <w:sz w:val="21"/>
        </w:rPr>
        <w:t>t</w:t>
      </w:r>
      <w:r>
        <w:rPr>
          <w:rFonts w:ascii="Times New Roman" w:hAnsi="Times New Roman"/>
          <w:sz w:val="21"/>
        </w:rPr>
        <w:t xml:space="preserve">-tests. Normality of paired differences was evaluated and confirmed via the Shapiro-Wilk test across all metrics (all </w:t>
      </w:r>
      <w:r>
        <w:rPr>
          <w:rFonts w:ascii="Cambria Math" w:hAnsi="Cambria Math"/>
          <w:sz w:val="21"/>
        </w:rPr>
        <w:t>W ≥ 0.91, p &gt; 0.12</w:t>
      </w:r>
      <w:r>
        <w:rPr>
          <w:rFonts w:ascii="Times New Roman" w:hAnsi="Times New Roman"/>
          <w:sz w:val="21"/>
        </w:rPr>
        <w:t xml:space="preserve">), validating the use of parametric Student's </w:t>
      </w:r>
      <w:r>
        <w:rPr>
          <w:rFonts w:ascii="Cambria Math" w:hAnsi="Cambria Math"/>
          <w:i/>
          <w:sz w:val="21"/>
        </w:rPr>
        <w:t>t</w:t>
      </w:r>
      <w:r>
        <w:rPr>
          <w:rFonts w:ascii="Times New Roman" w:hAnsi="Times New Roman"/>
          <w:sz w:val="21"/>
        </w:rPr>
        <w:t xml:space="preserve">-tests. To protect against inflation of Type I errors across multiple comparative evaluations, paired </w:t>
      </w:r>
      <w:r>
        <w:rPr>
          <w:rFonts w:ascii="Cambria Math" w:hAnsi="Cambria Math"/>
          <w:i/>
          <w:sz w:val="21"/>
        </w:rPr>
        <w:t>t</w:t>
      </w:r>
      <w:r>
        <w:rPr>
          <w:rFonts w:ascii="Times New Roman" w:hAnsi="Times New Roman"/>
          <w:sz w:val="21"/>
        </w:rPr>
        <w:t xml:space="preserve">-tests were adjusted using the Holm-Bonferroni step-down correction; all task-level and aggregate temporal differences remained significant at adjusted </w:t>
      </w:r>
      <w:r>
        <w:rPr>
          <w:rFonts w:ascii="Cambria Math" w:hAnsi="Cambria Math"/>
          <w:sz w:val="21"/>
        </w:rPr>
        <w:t>p &lt; 0.001</w:t>
      </w:r>
      <w:r>
        <w:rPr>
          <w:rFonts w:ascii="Times New Roman" w:hAnsi="Times New Roman"/>
          <w:sz w:val="21"/>
        </w:rPr>
        <w:t xml:space="preserve">. We report both the paired effect size </w:t>
      </w:r>
      <w:r>
        <w:rPr>
          <w:rFonts w:ascii="Cambria Math" w:hAnsi="Cambria Math"/>
          <w:sz w:val="21"/>
        </w:rPr>
        <w:t>d_z = (t) / (\sqrt{N)}</w:t>
      </w:r>
      <w:r>
        <w:rPr>
          <w:rFonts w:ascii="Times New Roman" w:hAnsi="Times New Roman"/>
          <w:sz w:val="21"/>
        </w:rPr>
        <w:t xml:space="preserve"> and the classic pooled Cohen's </w:t>
      </w:r>
      <w:r>
        <w:rPr>
          <w:rFonts w:ascii="Cambria Math" w:hAnsi="Cambria Math"/>
          <w:sz w:val="21"/>
        </w:rPr>
        <w:t>d_s</w:t>
      </w:r>
      <w:r>
        <w:rPr>
          <w:rFonts w:ascii="Times New Roman" w:hAnsi="Times New Roman"/>
          <w:sz w:val="21"/>
        </w:rPr>
        <w:t>:</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d_s = (X̄₁ - X̄₂) / √( (s₁² + s₂²) / 2 )</w:t>
            </w:r>
          </w:p>
        </w:tc>
        <w:tc>
          <w:tcPr>
            <w:tcW w:type="dxa" w:w="4680"/>
          </w:tcPr>
          <w:p>
            <w:pPr>
              <w:spacing w:before="80" w:after="80"/>
              <w:jc w:val="right"/>
            </w:pPr>
            <w:r>
              <w:rPr>
                <w:rFonts w:ascii="Times New Roman" w:hAnsi="Times New Roman"/>
                <w:color w:val="4A5568"/>
                <w:sz w:val="21"/>
              </w:rPr>
              <w:t>(9)</w:t>
            </w:r>
          </w:p>
        </w:tc>
      </w:tr>
    </w:tbl>
    <w:p>
      <w:pPr>
        <w:spacing w:before="0" w:after="80"/>
      </w:pPr>
    </w:p>
    <w:p>
      <w:pPr>
        <w:spacing w:after="90"/>
        <w:jc w:val="both"/>
      </w:pPr>
      <w:r>
        <w:rPr>
          <w:rFonts w:ascii="Times New Roman" w:hAnsi="Times New Roman"/>
          <w:sz w:val="21"/>
        </w:rPr>
        <w:t xml:space="preserve">Exact 95% confidence intervals for the mean differences were computed using Student's </w:t>
      </w:r>
      <w:r>
        <w:rPr>
          <w:rFonts w:ascii="Cambria Math" w:hAnsi="Cambria Math"/>
          <w:i/>
          <w:sz w:val="21"/>
        </w:rPr>
        <w:t>t</w:t>
      </w:r>
      <w:r>
        <w:rPr>
          <w:rFonts w:ascii="Times New Roman" w:hAnsi="Times New Roman"/>
          <w:sz w:val="21"/>
        </w:rPr>
        <w:t>-distribution (</w:t>
      </w:r>
      <w:r>
        <w:rPr>
          <w:rFonts w:ascii="Cambria Math" w:hAnsi="Cambria Math"/>
          <w:sz w:val="21"/>
        </w:rPr>
        <w:t>t_{0.025, 15} = 2.131</w:t>
      </w:r>
      <w:r>
        <w:rPr>
          <w:rFonts w:ascii="Times New Roman" w:hAnsi="Times New Roman"/>
          <w:sz w:val="21"/>
        </w:rPr>
        <w:t>):</w:t>
      </w:r>
    </w:p>
    <w:tbl>
      <w:tblPr>
        <w:tblW w:type="auto" w:w="0"/>
        <w:jc w:val="center"/>
        <w:tblLayout w:type="fixed"/>
        <w:tblLook w:firstColumn="1" w:firstRow="1" w:lastColumn="0" w:lastRow="0" w:noHBand="0" w:noVBand="1" w:val="04A0"/>
      </w:tblPr>
      <w:tblGrid>
        <w:gridCol w:w="8352"/>
        <w:gridCol w:w="1008"/>
      </w:tblGrid>
      <w:tr>
        <w:tc>
          <w:tcPr>
            <w:tcW w:type="dxa" w:w="4680"/>
          </w:tcPr>
          <w:p>
            <w:pPr>
              <w:spacing w:before="80" w:after="80"/>
              <w:jc w:val="center"/>
            </w:pPr>
            <w:r>
              <w:rPr>
                <w:rFonts w:ascii="Cambria Math" w:hAnsi="Cambria Math"/>
                <w:i/>
                <w:color w:val="102C57"/>
                <w:sz w:val="22"/>
              </w:rPr>
              <w:t>CI_{95} = \bar{D} ± t_{0.025, 15} · ((s_D) / (\sqrt{N)})</w:t>
            </w:r>
          </w:p>
        </w:tc>
        <w:tc>
          <w:tcPr>
            <w:tcW w:type="dxa" w:w="4680"/>
          </w:tcPr>
          <w:p>
            <w:pPr>
              <w:spacing w:before="80" w:after="80"/>
              <w:jc w:val="right"/>
            </w:pPr>
            <w:r>
              <w:rPr>
                <w:rFonts w:ascii="Times New Roman" w:hAnsi="Times New Roman"/>
                <w:color w:val="4A5568"/>
                <w:sz w:val="21"/>
              </w:rPr>
              <w:t>(10)</w:t>
            </w:r>
          </w:p>
        </w:tc>
      </w:tr>
    </w:tbl>
    <w:p>
      <w:pPr>
        <w:spacing w:before="0" w:after="80"/>
      </w:pPr>
    </w:p>
    <w:p>
      <w:pPr>
        <w:keepNext/>
        <w:spacing w:before="160" w:after="60"/>
      </w:pPr>
      <w:r>
        <w:rPr>
          <w:rFonts w:ascii="Times New Roman" w:hAnsi="Times New Roman"/>
          <w:b/>
          <w:color w:val="2D3748"/>
          <w:sz w:val="21"/>
        </w:rPr>
        <w:t>Table 5: Comparative Usability Study Findings ($N=16$, Paired Within-Subjects Evaluation)</w:t>
      </w:r>
    </w:p>
    <w:tbl>
      <w:tblPr>
        <w:tblW w:type="auto" w:w="0"/>
        <w:jc w:val="center"/>
        <w:tblLayout w:type="autofit"/>
        <w:tblLook w:firstColumn="1" w:firstRow="1" w:lastColumn="0" w:lastRow="0" w:noHBand="0" w:noVBand="1" w:val="04A0"/>
        <w:tblBorders>
          <w:top w:val="single" w:sz="12" w:space="0" w:color="102C57"/>
          <w:bottom w:val="single" w:sz="12" w:space="0" w:color="102C57"/>
          <w:left w:val="none"/>
          <w:right w:val="none"/>
          <w:insideH w:val="single" w:sz="4" w:space="0" w:color="E2E8F0"/>
          <w:insideV w:val="none"/>
        </w:tblBorders>
      </w:tblPr>
      <w:tblGrid>
        <w:gridCol w:w="1337"/>
        <w:gridCol w:w="1337"/>
        <w:gridCol w:w="1337"/>
        <w:gridCol w:w="1337"/>
        <w:gridCol w:w="1337"/>
        <w:gridCol w:w="1337"/>
        <w:gridCol w:w="1337"/>
      </w:tblGrid>
      <w:tr>
        <w:tc>
          <w:tcPr>
            <w:tcW w:type="dxa" w:w="1337"/>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Metric</w:t>
            </w:r>
          </w:p>
        </w:tc>
        <w:tc>
          <w:tcPr>
            <w:tcW w:type="dxa" w:w="1337"/>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12-Hour Grid</w:t>
            </w:r>
          </w:p>
        </w:tc>
        <w:tc>
          <w:tcPr>
            <w:tcW w:type="dxa" w:w="1337"/>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Radial Dial</w:t>
            </w:r>
          </w:p>
        </w:tc>
        <w:tc>
          <w:tcPr>
            <w:tcW w:type="dxa" w:w="1337"/>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Mean Diff [95% CI]</w:t>
            </w:r>
          </w:p>
        </w:tc>
        <w:tc>
          <w:tcPr>
            <w:tcW w:type="dxa" w:w="1337"/>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 xml:space="preserve">Paired </w:t>
            </w:r>
            <w:r>
              <w:rPr>
                <w:rFonts w:ascii="Cambria Math" w:hAnsi="Cambria Math"/>
                <w:b/>
                <w:i/>
                <w:color w:val="FFFFFF"/>
                <w:sz w:val="19"/>
              </w:rPr>
              <w:t>t</w:t>
            </w:r>
            <w:r>
              <w:rPr>
                <w:rFonts w:ascii="Times New Roman" w:hAnsi="Times New Roman"/>
                <w:b/>
                <w:color w:val="FFFFFF"/>
                <w:sz w:val="19"/>
              </w:rPr>
              <w:t>-Test</w:t>
            </w:r>
          </w:p>
        </w:tc>
        <w:tc>
          <w:tcPr>
            <w:tcW w:type="dxa" w:w="1337"/>
            <w:shd w:val="clear" w:color="auto" w:fill="102C57"/>
            <w:tcMar>
              <w:top w:w="80" w:type="dxa"/>
              <w:bottom w:w="80" w:type="dxa"/>
              <w:left w:w="100" w:type="dxa"/>
              <w:right w:w="100" w:type="dxa"/>
            </w:tcMar>
          </w:tcPr>
          <w:p>
            <w:pPr>
              <w:spacing w:before="80" w:after="80"/>
              <w:jc w:val="center"/>
            </w:pPr>
            <w:r>
              <w:rPr>
                <w:b/>
                <w:color w:val="FFFFFF"/>
                <w:sz w:val="19"/>
              </w:rPr>
            </w:r>
            <w:r>
              <w:rPr>
                <w:rFonts w:ascii="Cambria Math" w:hAnsi="Cambria Math"/>
                <w:b/>
                <w:color w:val="FFFFFF"/>
                <w:sz w:val="19"/>
              </w:rPr>
              <w:t>d_z</w:t>
            </w:r>
          </w:p>
        </w:tc>
        <w:tc>
          <w:tcPr>
            <w:tcW w:type="dxa" w:w="1337"/>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 xml:space="preserve">Pooled </w:t>
            </w:r>
            <w:r>
              <w:rPr>
                <w:rFonts w:ascii="Cambria Math" w:hAnsi="Cambria Math"/>
                <w:b/>
                <w:color w:val="FFFFFF"/>
                <w:sz w:val="19"/>
              </w:rPr>
              <w:t>d_s</w:t>
            </w:r>
          </w:p>
        </w:tc>
      </w:tr>
      <w:tr>
        <w:tc>
          <w:tcPr>
            <w:tcW w:type="dxa" w:w="1337"/>
            <w:tcMar>
              <w:top w:w="60" w:type="dxa"/>
              <w:bottom w:w="60" w:type="dxa"/>
              <w:left w:w="100" w:type="dxa"/>
              <w:right w:w="100" w:type="dxa"/>
            </w:tcMar>
          </w:tcPr>
          <w:p>
            <w:pPr>
              <w:spacing w:before="60" w:after="60"/>
              <w:jc w:val="left"/>
            </w:pPr>
            <w:r/>
            <w:r>
              <w:rPr>
                <w:rFonts w:ascii="Times New Roman" w:hAnsi="Times New Roman"/>
                <w:b/>
                <w:sz w:val="18"/>
              </w:rPr>
              <w:t>Task 1: 8:00 AM (s)</w:t>
            </w:r>
          </w:p>
        </w:tc>
        <w:tc>
          <w:tcPr>
            <w:tcW w:type="dxa" w:w="1337"/>
            <w:tcMar>
              <w:top w:w="60" w:type="dxa"/>
              <w:bottom w:w="60" w:type="dxa"/>
              <w:left w:w="100" w:type="dxa"/>
              <w:right w:w="100" w:type="dxa"/>
            </w:tcMar>
          </w:tcPr>
          <w:p>
            <w:pPr>
              <w:spacing w:before="60" w:after="60"/>
              <w:jc w:val="center"/>
            </w:pPr>
            <w:r/>
            <w:r>
              <w:rPr>
                <w:rFonts w:ascii="Cambria Math" w:hAnsi="Cambria Math"/>
                <w:sz w:val="18"/>
              </w:rPr>
              <w:t>4.8 ± 1.4</w:t>
            </w:r>
          </w:p>
        </w:tc>
        <w:tc>
          <w:tcPr>
            <w:tcW w:type="dxa" w:w="1337"/>
            <w:tcMar>
              <w:top w:w="60" w:type="dxa"/>
              <w:bottom w:w="60" w:type="dxa"/>
              <w:left w:w="100" w:type="dxa"/>
              <w:right w:w="100" w:type="dxa"/>
            </w:tcMar>
          </w:tcPr>
          <w:p>
            <w:pPr>
              <w:spacing w:before="60" w:after="60"/>
              <w:jc w:val="left"/>
            </w:pPr>
            <w:r/>
            <w:r>
              <w:rPr>
                <w:rFonts w:ascii="Cambria Math" w:hAnsi="Cambria Math"/>
                <w:sz w:val="18"/>
              </w:rPr>
              <w:t>10.6 ± 2.9</w:t>
            </w:r>
          </w:p>
        </w:tc>
        <w:tc>
          <w:tcPr>
            <w:tcW w:type="dxa" w:w="1337"/>
            <w:tcMar>
              <w:top w:w="60" w:type="dxa"/>
              <w:bottom w:w="60" w:type="dxa"/>
              <w:left w:w="100" w:type="dxa"/>
              <w:right w:w="100" w:type="dxa"/>
            </w:tcMar>
          </w:tcPr>
          <w:p>
            <w:pPr>
              <w:spacing w:before="60" w:after="60"/>
              <w:jc w:val="left"/>
            </w:pPr>
            <w:r/>
            <w:r>
              <w:rPr>
                <w:rFonts w:ascii="Cambria Math" w:hAnsi="Cambria Math"/>
                <w:sz w:val="18"/>
              </w:rPr>
              <w:t>5.8\ [4.2, 7.4]</w:t>
            </w:r>
          </w:p>
        </w:tc>
        <w:tc>
          <w:tcPr>
            <w:tcW w:type="dxa" w:w="1337"/>
            <w:tcMar>
              <w:top w:w="60" w:type="dxa"/>
              <w:bottom w:w="60" w:type="dxa"/>
              <w:left w:w="100" w:type="dxa"/>
              <w:right w:w="100" w:type="dxa"/>
            </w:tcMar>
          </w:tcPr>
          <w:p>
            <w:pPr>
              <w:spacing w:before="60" w:after="60"/>
              <w:jc w:val="left"/>
            </w:pPr>
            <w:r/>
            <w:r>
              <w:rPr>
                <w:rFonts w:ascii="Cambria Math" w:hAnsi="Cambria Math"/>
                <w:sz w:val="18"/>
              </w:rPr>
              <w:t>t(15) = 7.73, p &lt; 0.001^*</w:t>
            </w:r>
          </w:p>
        </w:tc>
        <w:tc>
          <w:tcPr>
            <w:tcW w:type="dxa" w:w="1337"/>
            <w:tcMar>
              <w:top w:w="60" w:type="dxa"/>
              <w:bottom w:w="60" w:type="dxa"/>
              <w:left w:w="100" w:type="dxa"/>
              <w:right w:w="100" w:type="dxa"/>
            </w:tcMar>
          </w:tcPr>
          <w:p>
            <w:pPr>
              <w:spacing w:before="60" w:after="60"/>
              <w:jc w:val="center"/>
            </w:pPr>
            <w:r/>
            <w:r>
              <w:rPr>
                <w:rFonts w:ascii="Cambria Math" w:hAnsi="Cambria Math"/>
                <w:sz w:val="18"/>
              </w:rPr>
              <w:t>1.93</w:t>
            </w:r>
          </w:p>
        </w:tc>
        <w:tc>
          <w:tcPr>
            <w:tcW w:type="dxa" w:w="1337"/>
            <w:tcMar>
              <w:top w:w="60" w:type="dxa"/>
              <w:bottom w:w="60" w:type="dxa"/>
              <w:left w:w="100" w:type="dxa"/>
              <w:right w:w="100" w:type="dxa"/>
            </w:tcMar>
          </w:tcPr>
          <w:p>
            <w:pPr>
              <w:spacing w:before="60" w:after="60"/>
              <w:jc w:val="center"/>
            </w:pPr>
            <w:r/>
            <w:r>
              <w:rPr>
                <w:rFonts w:ascii="Cambria Math" w:hAnsi="Cambria Math"/>
                <w:sz w:val="18"/>
              </w:rPr>
              <w:t>2.54</w:t>
            </w:r>
          </w:p>
        </w:tc>
      </w:tr>
      <w:tr>
        <w:tc>
          <w:tcPr>
            <w:tcW w:type="dxa" w:w="1337"/>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Task 2: 1:30 PM (s)</w:t>
            </w:r>
          </w:p>
        </w:tc>
        <w:tc>
          <w:tcPr>
            <w:tcW w:type="dxa" w:w="1337"/>
            <w:shd w:val="clear" w:color="auto" w:fill="F7FAFC"/>
            <w:tcMar>
              <w:top w:w="60" w:type="dxa"/>
              <w:bottom w:w="60" w:type="dxa"/>
              <w:left w:w="100" w:type="dxa"/>
              <w:right w:w="100" w:type="dxa"/>
            </w:tcMar>
          </w:tcPr>
          <w:p>
            <w:pPr>
              <w:spacing w:before="60" w:after="60"/>
              <w:jc w:val="center"/>
            </w:pPr>
            <w:r/>
            <w:r>
              <w:rPr>
                <w:rFonts w:ascii="Cambria Math" w:hAnsi="Cambria Math"/>
                <w:sz w:val="18"/>
              </w:rPr>
              <w:t>6.2 ± 1.8</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sz w:val="18"/>
              </w:rPr>
              <w:t>11.8 ± 3.2</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sz w:val="18"/>
              </w:rPr>
              <w:t>5.6\ [3.8, 7.4]</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sz w:val="18"/>
              </w:rPr>
              <w:t>t(15) = 6.64, p &lt; 0.001^*</w:t>
            </w:r>
          </w:p>
        </w:tc>
        <w:tc>
          <w:tcPr>
            <w:tcW w:type="dxa" w:w="1337"/>
            <w:shd w:val="clear" w:color="auto" w:fill="F7FAFC"/>
            <w:tcMar>
              <w:top w:w="60" w:type="dxa"/>
              <w:bottom w:w="60" w:type="dxa"/>
              <w:left w:w="100" w:type="dxa"/>
              <w:right w:w="100" w:type="dxa"/>
            </w:tcMar>
          </w:tcPr>
          <w:p>
            <w:pPr>
              <w:spacing w:before="60" w:after="60"/>
              <w:jc w:val="center"/>
            </w:pPr>
            <w:r/>
            <w:r>
              <w:rPr>
                <w:rFonts w:ascii="Cambria Math" w:hAnsi="Cambria Math"/>
                <w:sz w:val="18"/>
              </w:rPr>
              <w:t>1.66</w:t>
            </w:r>
          </w:p>
        </w:tc>
        <w:tc>
          <w:tcPr>
            <w:tcW w:type="dxa" w:w="1337"/>
            <w:shd w:val="clear" w:color="auto" w:fill="F7FAFC"/>
            <w:tcMar>
              <w:top w:w="60" w:type="dxa"/>
              <w:bottom w:w="60" w:type="dxa"/>
              <w:left w:w="100" w:type="dxa"/>
              <w:right w:w="100" w:type="dxa"/>
            </w:tcMar>
          </w:tcPr>
          <w:p>
            <w:pPr>
              <w:spacing w:before="60" w:after="60"/>
              <w:jc w:val="center"/>
            </w:pPr>
            <w:r/>
            <w:r>
              <w:rPr>
                <w:rFonts w:ascii="Cambria Math" w:hAnsi="Cambria Math"/>
                <w:sz w:val="18"/>
              </w:rPr>
              <w:t>2.15</w:t>
            </w:r>
          </w:p>
        </w:tc>
      </w:tr>
      <w:tr>
        <w:tc>
          <w:tcPr>
            <w:tcW w:type="dxa" w:w="1337"/>
            <w:tcMar>
              <w:top w:w="60" w:type="dxa"/>
              <w:bottom w:w="60" w:type="dxa"/>
              <w:left w:w="100" w:type="dxa"/>
              <w:right w:w="100" w:type="dxa"/>
            </w:tcMar>
          </w:tcPr>
          <w:p>
            <w:pPr>
              <w:spacing w:before="60" w:after="60"/>
              <w:jc w:val="left"/>
            </w:pPr>
            <w:r/>
            <w:r>
              <w:rPr>
                <w:rFonts w:ascii="Times New Roman" w:hAnsi="Times New Roman"/>
                <w:b/>
                <w:sz w:val="18"/>
              </w:rPr>
              <w:t>Task 3: 9:42 PM (s)</w:t>
            </w:r>
          </w:p>
        </w:tc>
        <w:tc>
          <w:tcPr>
            <w:tcW w:type="dxa" w:w="1337"/>
            <w:tcMar>
              <w:top w:w="60" w:type="dxa"/>
              <w:bottom w:w="60" w:type="dxa"/>
              <w:left w:w="100" w:type="dxa"/>
              <w:right w:w="100" w:type="dxa"/>
            </w:tcMar>
          </w:tcPr>
          <w:p>
            <w:pPr>
              <w:spacing w:before="60" w:after="60"/>
              <w:jc w:val="center"/>
            </w:pPr>
            <w:r/>
            <w:r>
              <w:rPr>
                <w:rFonts w:ascii="Cambria Math" w:hAnsi="Cambria Math"/>
                <w:sz w:val="18"/>
              </w:rPr>
              <w:t>8.9 ± 2.6</w:t>
            </w:r>
          </w:p>
        </w:tc>
        <w:tc>
          <w:tcPr>
            <w:tcW w:type="dxa" w:w="1337"/>
            <w:tcMar>
              <w:top w:w="60" w:type="dxa"/>
              <w:bottom w:w="60" w:type="dxa"/>
              <w:left w:w="100" w:type="dxa"/>
              <w:right w:w="100" w:type="dxa"/>
            </w:tcMar>
          </w:tcPr>
          <w:p>
            <w:pPr>
              <w:spacing w:before="60" w:after="60"/>
              <w:jc w:val="left"/>
            </w:pPr>
            <w:r/>
            <w:r>
              <w:rPr>
                <w:rFonts w:ascii="Cambria Math" w:hAnsi="Cambria Math"/>
                <w:sz w:val="18"/>
              </w:rPr>
              <w:t>13.4 ± 3.8</w:t>
            </w:r>
          </w:p>
        </w:tc>
        <w:tc>
          <w:tcPr>
            <w:tcW w:type="dxa" w:w="1337"/>
            <w:tcMar>
              <w:top w:w="60" w:type="dxa"/>
              <w:bottom w:w="60" w:type="dxa"/>
              <w:left w:w="100" w:type="dxa"/>
              <w:right w:w="100" w:type="dxa"/>
            </w:tcMar>
          </w:tcPr>
          <w:p>
            <w:pPr>
              <w:spacing w:before="60" w:after="60"/>
              <w:jc w:val="left"/>
            </w:pPr>
            <w:r/>
            <w:r>
              <w:rPr>
                <w:rFonts w:ascii="Cambria Math" w:hAnsi="Cambria Math"/>
                <w:sz w:val="18"/>
              </w:rPr>
              <w:t>4.5\ [2.4, 6.6]</w:t>
            </w:r>
          </w:p>
        </w:tc>
        <w:tc>
          <w:tcPr>
            <w:tcW w:type="dxa" w:w="1337"/>
            <w:tcMar>
              <w:top w:w="60" w:type="dxa"/>
              <w:bottom w:w="60" w:type="dxa"/>
              <w:left w:w="100" w:type="dxa"/>
              <w:right w:w="100" w:type="dxa"/>
            </w:tcMar>
          </w:tcPr>
          <w:p>
            <w:pPr>
              <w:spacing w:before="60" w:after="60"/>
              <w:jc w:val="left"/>
            </w:pPr>
            <w:r/>
            <w:r>
              <w:rPr>
                <w:rFonts w:ascii="Cambria Math" w:hAnsi="Cambria Math"/>
                <w:sz w:val="18"/>
              </w:rPr>
              <w:t>t(15) = 4.54, p &lt; 0.001^*</w:t>
            </w:r>
          </w:p>
        </w:tc>
        <w:tc>
          <w:tcPr>
            <w:tcW w:type="dxa" w:w="1337"/>
            <w:tcMar>
              <w:top w:w="60" w:type="dxa"/>
              <w:bottom w:w="60" w:type="dxa"/>
              <w:left w:w="100" w:type="dxa"/>
              <w:right w:w="100" w:type="dxa"/>
            </w:tcMar>
          </w:tcPr>
          <w:p>
            <w:pPr>
              <w:spacing w:before="60" w:after="60"/>
              <w:jc w:val="center"/>
            </w:pPr>
            <w:r/>
            <w:r>
              <w:rPr>
                <w:rFonts w:ascii="Cambria Math" w:hAnsi="Cambria Math"/>
                <w:sz w:val="18"/>
              </w:rPr>
              <w:t>1.13</w:t>
            </w:r>
          </w:p>
        </w:tc>
        <w:tc>
          <w:tcPr>
            <w:tcW w:type="dxa" w:w="1337"/>
            <w:tcMar>
              <w:top w:w="60" w:type="dxa"/>
              <w:bottom w:w="60" w:type="dxa"/>
              <w:left w:w="100" w:type="dxa"/>
              <w:right w:w="100" w:type="dxa"/>
            </w:tcMar>
          </w:tcPr>
          <w:p>
            <w:pPr>
              <w:spacing w:before="60" w:after="60"/>
              <w:jc w:val="center"/>
            </w:pPr>
            <w:r/>
            <w:r>
              <w:rPr>
                <w:rFonts w:ascii="Cambria Math" w:hAnsi="Cambria Math"/>
                <w:sz w:val="18"/>
              </w:rPr>
              <w:t>1.38</w:t>
            </w:r>
          </w:p>
        </w:tc>
      </w:tr>
      <w:tr>
        <w:tc>
          <w:tcPr>
            <w:tcW w:type="dxa" w:w="1337"/>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Total Time (s)</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19.9 ± 4.8</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35.8 ± 8.9</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15.9\ [10.8, 21.0]</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t(15) = 6.61, p &lt; 0.001^*</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1.65</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2.22</w:t>
            </w:r>
          </w:p>
        </w:tc>
      </w:tr>
      <w:tr>
        <w:tc>
          <w:tcPr>
            <w:tcW w:type="dxa" w:w="1337"/>
            <w:tcMar>
              <w:top w:w="60" w:type="dxa"/>
              <w:bottom w:w="60" w:type="dxa"/>
              <w:left w:w="100" w:type="dxa"/>
              <w:right w:w="100" w:type="dxa"/>
            </w:tcMar>
          </w:tcPr>
          <w:p>
            <w:pPr>
              <w:spacing w:before="60" w:after="60"/>
              <w:jc w:val="left"/>
            </w:pPr>
            <w:r/>
            <w:r>
              <w:rPr>
                <w:rFonts w:ascii="Times New Roman" w:hAnsi="Times New Roman"/>
                <w:b/>
                <w:sz w:val="18"/>
              </w:rPr>
              <w:t>Touch Errors</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0.38 ± 0.62</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2.19 ± 1.28</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1.81\ [1.11, 2.51]</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t(15) = 5.48, p &lt; 0.001^*</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1.37</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1.79</w:t>
            </w:r>
          </w:p>
        </w:tc>
      </w:tr>
      <w:tr>
        <w:tc>
          <w:tcPr>
            <w:tcW w:type="dxa" w:w="1337"/>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SEQ Score (1–7)</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6.31 ± 0.79</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4.19 ± 1.11</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2.12\ [1.44, 2.80]</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t(15) = 6.62, p &lt; 0.001^*</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1.65</w:t>
            </w:r>
          </w:p>
        </w:tc>
        <w:tc>
          <w:tcPr>
            <w:tcW w:type="dxa" w:w="1337"/>
            <w:shd w:val="clear" w:color="auto" w:fill="F7FAFC"/>
            <w:tcMar>
              <w:top w:w="60" w:type="dxa"/>
              <w:bottom w:w="60" w:type="dxa"/>
              <w:left w:w="100" w:type="dxa"/>
              <w:right w:w="100" w:type="dxa"/>
            </w:tcMar>
          </w:tcPr>
          <w:p>
            <w:pPr>
              <w:spacing w:before="60" w:after="60"/>
              <w:jc w:val="left"/>
            </w:pPr>
            <w:r/>
            <w:r>
              <w:rPr>
                <w:rFonts w:ascii="Cambria Math" w:hAnsi="Cambria Math"/>
                <w:b/>
                <w:sz w:val="18"/>
              </w:rPr>
              <w:t>2.19</w:t>
            </w:r>
          </w:p>
        </w:tc>
      </w:tr>
      <w:tr>
        <w:tc>
          <w:tcPr>
            <w:tcW w:type="dxa" w:w="1337"/>
            <w:tcMar>
              <w:top w:w="60" w:type="dxa"/>
              <w:bottom w:w="60" w:type="dxa"/>
              <w:left w:w="100" w:type="dxa"/>
              <w:right w:w="100" w:type="dxa"/>
            </w:tcMar>
          </w:tcPr>
          <w:p>
            <w:pPr>
              <w:spacing w:before="60" w:after="60"/>
              <w:jc w:val="left"/>
            </w:pPr>
            <w:r/>
            <w:r>
              <w:rPr>
                <w:rFonts w:ascii="Times New Roman" w:hAnsi="Times New Roman"/>
                <w:b/>
                <w:sz w:val="18"/>
              </w:rPr>
              <w:t>SUS Score (0–100)</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83.44 ± 9.88</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57.19 ± 12.65</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26.25\ [18.42, 34.08]</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t(15) = 7.15, p &lt; 0.001^*</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1.79</w:t>
            </w:r>
          </w:p>
        </w:tc>
        <w:tc>
          <w:tcPr>
            <w:tcW w:type="dxa" w:w="1337"/>
            <w:tcMar>
              <w:top w:w="60" w:type="dxa"/>
              <w:bottom w:w="60" w:type="dxa"/>
              <w:left w:w="100" w:type="dxa"/>
              <w:right w:w="100" w:type="dxa"/>
            </w:tcMar>
          </w:tcPr>
          <w:p>
            <w:pPr>
              <w:spacing w:before="60" w:after="60"/>
              <w:jc w:val="left"/>
            </w:pPr>
            <w:r/>
            <w:r>
              <w:rPr>
                <w:rFonts w:ascii="Cambria Math" w:hAnsi="Cambria Math"/>
                <w:b/>
                <w:sz w:val="18"/>
              </w:rPr>
              <w:t>2.31</w:t>
            </w:r>
          </w:p>
        </w:tc>
      </w:tr>
      <w:tr>
        <w:tc>
          <w:tcPr>
            <w:tcW w:type="dxa" w:w="1337"/>
            <w:shd w:val="clear" w:color="auto" w:fill="F7FAFC"/>
            <w:tcMar>
              <w:top w:w="60" w:type="dxa"/>
              <w:bottom w:w="60" w:type="dxa"/>
              <w:left w:w="100" w:type="dxa"/>
              <w:right w:w="100" w:type="dxa"/>
            </w:tcMar>
          </w:tcPr>
          <w:p>
            <w:pPr>
              <w:spacing w:before="60" w:after="60"/>
              <w:jc w:val="left"/>
            </w:pPr>
            <w:r/>
            <w:r>
              <w:rPr>
                <w:rFonts w:ascii="Times New Roman" w:hAnsi="Times New Roman"/>
                <w:sz w:val="18"/>
              </w:rPr>
              <w:t>Adjective / Percentile</w:t>
            </w:r>
          </w:p>
        </w:tc>
        <w:tc>
          <w:tcPr>
            <w:tcW w:type="dxa" w:w="1337"/>
            <w:shd w:val="clear" w:color="auto" w:fill="F7FAFC"/>
            <w:tcMar>
              <w:top w:w="60" w:type="dxa"/>
              <w:bottom w:w="60" w:type="dxa"/>
              <w:left w:w="100" w:type="dxa"/>
              <w:right w:w="100" w:type="dxa"/>
            </w:tcMar>
          </w:tcPr>
          <w:p>
            <w:pPr>
              <w:spacing w:before="60" w:after="60"/>
              <w:jc w:val="left"/>
            </w:pPr>
            <w:r/>
            <w:r>
              <w:rPr>
                <w:rFonts w:ascii="Times New Roman" w:hAnsi="Times New Roman"/>
                <w:sz w:val="18"/>
              </w:rPr>
              <w:t>Excellent (90th, A)</w:t>
            </w:r>
          </w:p>
        </w:tc>
        <w:tc>
          <w:tcPr>
            <w:tcW w:type="dxa" w:w="1337"/>
            <w:shd w:val="clear" w:color="auto" w:fill="F7FAFC"/>
            <w:tcMar>
              <w:top w:w="60" w:type="dxa"/>
              <w:bottom w:w="60" w:type="dxa"/>
              <w:left w:w="100" w:type="dxa"/>
              <w:right w:w="100" w:type="dxa"/>
            </w:tcMar>
          </w:tcPr>
          <w:p>
            <w:pPr>
              <w:spacing w:before="60" w:after="60"/>
              <w:jc w:val="left"/>
            </w:pPr>
            <w:r/>
            <w:r>
              <w:rPr>
                <w:rFonts w:ascii="Times New Roman" w:hAnsi="Times New Roman"/>
                <w:sz w:val="18"/>
              </w:rPr>
              <w:t>Low Marginal (25th, F)</w:t>
            </w:r>
          </w:p>
        </w:tc>
        <w:tc>
          <w:tcPr>
            <w:tcW w:type="dxa" w:w="1337"/>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w:t>
            </w:r>
          </w:p>
        </w:tc>
        <w:tc>
          <w:tcPr>
            <w:tcW w:type="dxa" w:w="1337"/>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w:t>
            </w:r>
          </w:p>
        </w:tc>
        <w:tc>
          <w:tcPr>
            <w:tcW w:type="dxa" w:w="1337"/>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w:t>
            </w:r>
          </w:p>
        </w:tc>
        <w:tc>
          <w:tcPr>
            <w:tcW w:type="dxa" w:w="1337"/>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w:t>
            </w:r>
          </w:p>
        </w:tc>
      </w:tr>
    </w:tbl>
    <w:p>
      <w:pPr>
        <w:spacing w:before="0" w:after="120"/>
      </w:pPr>
    </w:p>
    <w:p>
      <w:pPr>
        <w:spacing w:after="90"/>
        <w:jc w:val="both"/>
      </w:pPr>
      <w:r>
        <w:rPr>
          <w:rFonts w:ascii="Times New Roman" w:hAnsi="Times New Roman"/>
          <w:i/>
          <w:sz w:val="21"/>
        </w:rPr>
        <w:t>\</w:t>
      </w:r>
      <w:r>
        <w:rPr>
          <w:rFonts w:ascii="Times New Roman" w:hAnsi="Times New Roman"/>
          <w:sz w:val="21"/>
        </w:rPr>
        <w:t xml:space="preserve">All reported </w:t>
      </w:r>
      <w:r>
        <w:rPr>
          <w:rFonts w:ascii="Cambria Math" w:hAnsi="Cambria Math"/>
          <w:i/>
          <w:sz w:val="21"/>
        </w:rPr>
        <w:t>p</w:t>
      </w:r>
      <w:r>
        <w:rPr>
          <w:rFonts w:ascii="Times New Roman" w:hAnsi="Times New Roman"/>
          <w:sz w:val="21"/>
        </w:rPr>
        <w:t xml:space="preserve">-values remain statistically significant at </w:t>
      </w:r>
      <w:r>
        <w:rPr>
          <w:rFonts w:ascii="Cambria Math" w:hAnsi="Cambria Math"/>
          <w:sz w:val="21"/>
        </w:rPr>
        <w:t>\alpha = 0.05</w:t>
      </w:r>
      <w:r>
        <w:rPr>
          <w:rFonts w:ascii="Times New Roman" w:hAnsi="Times New Roman"/>
          <w:sz w:val="21"/>
        </w:rPr>
        <w:t xml:space="preserve"> following Holm-Bonferroni step-down correction.*</w:t>
      </w:r>
    </w:p>
    <w:p>
      <w:pPr>
        <w:spacing w:after="90"/>
        <w:jc w:val="both"/>
      </w:pPr>
      <w:r>
        <w:rPr>
          <w:rFonts w:ascii="Times New Roman" w:hAnsi="Times New Roman"/>
          <w:sz w:val="21"/>
        </w:rPr>
        <w:t>As detailed in Table 5, the proposed 12-Hour Grid Time Picker demonstrated statistically significant advantages over the radial dial across every metric (</w:t>
      </w:r>
      <w:r>
        <w:rPr>
          <w:rFonts w:ascii="Cambria Math" w:hAnsi="Cambria Math"/>
          <w:sz w:val="21"/>
        </w:rPr>
        <w:t>p &lt; 0.001</w:t>
      </w:r>
      <w:r>
        <w:rPr>
          <w:rFonts w:ascii="Times New Roman" w:hAnsi="Times New Roman"/>
          <w:sz w:val="21"/>
        </w:rPr>
        <w:t>, verified post-Holm-Bonferroni correction):</w:t>
      </w:r>
    </w:p>
    <w:p>
      <w:pPr>
        <w:spacing w:after="70"/>
        <w:ind w:left="403"/>
        <w:jc w:val="both"/>
      </w:pPr>
      <w:r>
        <w:rPr>
          <w:rFonts w:ascii="Times New Roman" w:hAnsi="Times New Roman"/>
          <w:b/>
          <w:sz w:val="21"/>
        </w:rPr>
        <w:t xml:space="preserve">•  </w:t>
      </w:r>
      <w:r>
        <w:rPr>
          <w:rFonts w:ascii="Times New Roman" w:hAnsi="Times New Roman"/>
          <w:b/>
          <w:sz w:val="21"/>
        </w:rPr>
        <w:t>44.4% Reduction in Total Task Completion Time:</w:t>
      </w:r>
      <w:r>
        <w:rPr>
          <w:rFonts w:ascii="Times New Roman" w:hAnsi="Times New Roman"/>
          <w:sz w:val="21"/>
        </w:rPr>
        <w:t xml:space="preserve"> Total completion time across all three tasks decreased from </w:t>
      </w:r>
      <w:r>
        <w:rPr>
          <w:rFonts w:ascii="Cambria Math" w:hAnsi="Cambria Math"/>
          <w:sz w:val="21"/>
        </w:rPr>
        <w:t>35.8 ± 8.9 s</w:t>
      </w:r>
      <w:r>
        <w:rPr>
          <w:rFonts w:ascii="Times New Roman" w:hAnsi="Times New Roman"/>
          <w:sz w:val="21"/>
        </w:rPr>
        <w:t xml:space="preserve"> on the radial dial to </w:t>
      </w:r>
      <w:r>
        <w:rPr>
          <w:rFonts w:ascii="Cambria Math" w:hAnsi="Cambria Math"/>
          <w:sz w:val="21"/>
        </w:rPr>
        <w:t>19.9 ± 4.8 s</w:t>
      </w:r>
      <w:r>
        <w:rPr>
          <w:rFonts w:ascii="Times New Roman" w:hAnsi="Times New Roman"/>
          <w:sz w:val="21"/>
        </w:rPr>
        <w:t xml:space="preserve"> on the 12-hour grid (</w:t>
      </w:r>
      <w:r>
        <w:rPr>
          <w:rFonts w:ascii="Cambria Math" w:hAnsi="Cambria Math"/>
          <w:sz w:val="21"/>
        </w:rPr>
        <w:t>t(15) = 6.61, p &lt; 0.001</w:t>
      </w:r>
      <w:r>
        <w:rPr>
          <w:rFonts w:ascii="Times New Roman" w:hAnsi="Times New Roman"/>
          <w:sz w:val="21"/>
        </w:rPr>
        <w:t xml:space="preserve">, mean difference </w:t>
      </w:r>
      <w:r>
        <w:rPr>
          <w:rFonts w:ascii="Cambria Math" w:hAnsi="Cambria Math"/>
          <w:sz w:val="21"/>
        </w:rPr>
        <w:t>15.9 s</w:t>
      </w:r>
      <w:r>
        <w:rPr>
          <w:rFonts w:ascii="Times New Roman" w:hAnsi="Times New Roman"/>
          <w:sz w:val="21"/>
        </w:rPr>
        <w:t xml:space="preserve">, </w:t>
      </w:r>
      <w:r>
        <w:rPr>
          <w:rFonts w:ascii="Cambria Math" w:hAnsi="Cambria Math"/>
          <w:sz w:val="21"/>
        </w:rPr>
        <w:t>d_z = 1.65</w:t>
      </w:r>
      <w:r>
        <w:rPr>
          <w:rFonts w:ascii="Times New Roman" w:hAnsi="Times New Roman"/>
          <w:sz w:val="21"/>
        </w:rPr>
        <w:t xml:space="preserve">, pooled </w:t>
      </w:r>
      <w:r>
        <w:rPr>
          <w:rFonts w:ascii="Cambria Math" w:hAnsi="Cambria Math"/>
          <w:sz w:val="21"/>
        </w:rPr>
        <w:t>d_s = 2.22</w:t>
      </w:r>
      <w:r>
        <w:rPr>
          <w:rFonts w:ascii="Times New Roman" w:hAnsi="Times New Roman"/>
          <w:sz w:val="21"/>
        </w:rPr>
        <w:t xml:space="preserve">). On Task 1 (8:00 AM), older adults completed the setup in </w:t>
      </w:r>
      <w:r>
        <w:rPr>
          <w:rFonts w:ascii="Cambria Math" w:hAnsi="Cambria Math"/>
          <w:sz w:val="21"/>
        </w:rPr>
        <w:t>4.8 ± 1.4 s</w:t>
      </w:r>
      <w:r>
        <w:rPr>
          <w:rFonts w:ascii="Times New Roman" w:hAnsi="Times New Roman"/>
          <w:sz w:val="21"/>
        </w:rPr>
        <w:t xml:space="preserve"> because the minute default (:00) required only two stationary taps.</w:t>
      </w:r>
    </w:p>
    <w:p>
      <w:pPr>
        <w:spacing w:after="70"/>
        <w:ind w:left="403"/>
        <w:jc w:val="both"/>
      </w:pPr>
      <w:r>
        <w:rPr>
          <w:rFonts w:ascii="Times New Roman" w:hAnsi="Times New Roman"/>
          <w:b/>
          <w:sz w:val="21"/>
        </w:rPr>
        <w:t xml:space="preserve">•  </w:t>
      </w:r>
      <w:r>
        <w:rPr>
          <w:rFonts w:ascii="Times New Roman" w:hAnsi="Times New Roman"/>
          <w:b/>
          <w:sz w:val="21"/>
        </w:rPr>
        <w:t>Frictional Nuances in Off-Quarter Stepper Input (Task 3):</w:t>
      </w:r>
      <w:r>
        <w:rPr>
          <w:rFonts w:ascii="Times New Roman" w:hAnsi="Times New Roman"/>
          <w:sz w:val="21"/>
        </w:rPr>
        <w:t xml:space="preserve"> On Task 3 (9:42 PM), participants could not rely solely on preset chips. They selected chip </w:t>
      </w:r>
      <w:r>
        <w:rPr>
          <w:rFonts w:ascii="Consolas" w:hAnsi="Consolas"/>
          <w:color w:val="24292E"/>
          <w:sz w:val="18"/>
        </w:rPr>
        <w:t>:45</w:t>
      </w:r>
      <w:r>
        <w:rPr>
          <w:rFonts w:ascii="Times New Roman" w:hAnsi="Times New Roman"/>
          <w:sz w:val="21"/>
        </w:rPr>
        <w:t xml:space="preserve"> and tapped the minus stepper three times to reach 42. Consequently, completion latency rose to </w:t>
      </w:r>
      <w:r>
        <w:rPr>
          <w:rFonts w:ascii="Cambria Math" w:hAnsi="Cambria Math"/>
          <w:sz w:val="21"/>
        </w:rPr>
        <w:t>8.9 ± 2.6 s</w:t>
      </w:r>
      <w:r>
        <w:rPr>
          <w:rFonts w:ascii="Times New Roman" w:hAnsi="Times New Roman"/>
          <w:sz w:val="21"/>
        </w:rPr>
        <w:t xml:space="preserve"> with a smaller effect size (</w:t>
      </w:r>
      <w:r>
        <w:rPr>
          <w:rFonts w:ascii="Cambria Math" w:hAnsi="Cambria Math"/>
          <w:sz w:val="21"/>
        </w:rPr>
        <w:t>d_z = 1.13</w:t>
      </w:r>
      <w:r>
        <w:rPr>
          <w:rFonts w:ascii="Times New Roman" w:hAnsi="Times New Roman"/>
          <w:sz w:val="21"/>
        </w:rPr>
        <w:t xml:space="preserve">, </w:t>
      </w:r>
      <w:r>
        <w:rPr>
          <w:rFonts w:ascii="Cambria Math" w:hAnsi="Cambria Math"/>
          <w:sz w:val="21"/>
        </w:rPr>
        <w:t>d_s = 1.38</w:t>
      </w:r>
      <w:r>
        <w:rPr>
          <w:rFonts w:ascii="Times New Roman" w:hAnsi="Times New Roman"/>
          <w:sz w:val="21"/>
        </w:rPr>
        <w:t>). Even with repeated stepper taps, the discrete interface proved significantly faster and less frustrating than dragging the radial minute hand, where tremors caused overshoot.</w:t>
      </w:r>
    </w:p>
    <w:p>
      <w:pPr>
        <w:spacing w:after="70"/>
        <w:ind w:left="403"/>
        <w:jc w:val="both"/>
      </w:pPr>
      <w:r>
        <w:rPr>
          <w:rFonts w:ascii="Times New Roman" w:hAnsi="Times New Roman"/>
          <w:b/>
          <w:sz w:val="21"/>
        </w:rPr>
        <w:t xml:space="preserve">•  </w:t>
      </w:r>
      <w:r>
        <w:rPr>
          <w:rFonts w:ascii="Times New Roman" w:hAnsi="Times New Roman"/>
          <w:b/>
          <w:sz w:val="21"/>
        </w:rPr>
        <w:t>82.6% Reduction in Touch Input Errors:</w:t>
      </w:r>
      <w:r>
        <w:rPr>
          <w:rFonts w:ascii="Times New Roman" w:hAnsi="Times New Roman"/>
          <w:sz w:val="21"/>
        </w:rPr>
        <w:t xml:space="preserve"> Input errors dropped from </w:t>
      </w:r>
      <w:r>
        <w:rPr>
          <w:rFonts w:ascii="Cambria Math" w:hAnsi="Cambria Math"/>
          <w:sz w:val="21"/>
        </w:rPr>
        <w:t>2.19 ± 1.28</w:t>
      </w:r>
      <w:r>
        <w:rPr>
          <w:rFonts w:ascii="Times New Roman" w:hAnsi="Times New Roman"/>
          <w:sz w:val="21"/>
        </w:rPr>
        <w:t xml:space="preserve"> errors per participant on the radial dial to </w:t>
      </w:r>
      <w:r>
        <w:rPr>
          <w:rFonts w:ascii="Cambria Math" w:hAnsi="Cambria Math"/>
          <w:sz w:val="21"/>
        </w:rPr>
        <w:t>0.38 ± 0.62</w:t>
      </w:r>
      <w:r>
        <w:rPr>
          <w:rFonts w:ascii="Times New Roman" w:hAnsi="Times New Roman"/>
          <w:sz w:val="21"/>
        </w:rPr>
        <w:t xml:space="preserve"> on the grid picker (</w:t>
      </w:r>
      <w:r>
        <w:rPr>
          <w:rFonts w:ascii="Cambria Math" w:hAnsi="Cambria Math"/>
          <w:sz w:val="21"/>
        </w:rPr>
        <w:t>t(15) = 5.48, p &lt; 0.001</w:t>
      </w:r>
      <w:r>
        <w:rPr>
          <w:rFonts w:ascii="Times New Roman" w:hAnsi="Times New Roman"/>
          <w:sz w:val="21"/>
        </w:rPr>
        <w:t xml:space="preserve">, mean difference </w:t>
      </w:r>
      <w:r>
        <w:rPr>
          <w:rFonts w:ascii="Cambria Math" w:hAnsi="Cambria Math"/>
          <w:sz w:val="21"/>
        </w:rPr>
        <w:t>1.81</w:t>
      </w:r>
      <w:r>
        <w:rPr>
          <w:rFonts w:ascii="Times New Roman" w:hAnsi="Times New Roman"/>
          <w:sz w:val="21"/>
        </w:rPr>
        <w:t xml:space="preserve"> errors, </w:t>
      </w:r>
      <w:r>
        <w:rPr>
          <w:rFonts w:ascii="Cambria Math" w:hAnsi="Cambria Math"/>
          <w:sz w:val="21"/>
        </w:rPr>
        <w:t>d_z = 1.37</w:t>
      </w:r>
      <w:r>
        <w:rPr>
          <w:rFonts w:ascii="Times New Roman" w:hAnsi="Times New Roman"/>
          <w:sz w:val="21"/>
        </w:rPr>
        <w:t>). On the radial dial, participants with tremors repeatedly slipped into adjacent quadrants when attempting to release the minute hand at exact increments.</w:t>
      </w:r>
    </w:p>
    <w:p>
      <w:pPr>
        <w:spacing w:after="70"/>
        <w:ind w:left="403"/>
        <w:jc w:val="both"/>
      </w:pPr>
      <w:r>
        <w:rPr>
          <w:rFonts w:ascii="Times New Roman" w:hAnsi="Times New Roman"/>
          <w:b/>
          <w:sz w:val="21"/>
        </w:rPr>
        <w:t xml:space="preserve">•  </w:t>
      </w:r>
      <w:r>
        <w:rPr>
          <w:rFonts w:ascii="Times New Roman" w:hAnsi="Times New Roman"/>
          <w:b/>
          <w:sz w:val="21"/>
        </w:rPr>
        <w:t>Significant Usability Enhancement (SUS):</w:t>
      </w:r>
      <w:r>
        <w:rPr>
          <w:rFonts w:ascii="Times New Roman" w:hAnsi="Times New Roman"/>
          <w:sz w:val="21"/>
        </w:rPr>
        <w:t xml:space="preserve"> Dosezy achieved a composite System Usability Scale score of </w:t>
      </w:r>
      <w:r>
        <w:rPr>
          <w:rFonts w:ascii="Times New Roman" w:hAnsi="Times New Roman"/>
          <w:b/>
          <w:sz w:val="21"/>
        </w:rPr>
        <w:t>83.44 ± 9.88</w:t>
      </w:r>
      <w:r>
        <w:rPr>
          <w:rFonts w:ascii="Times New Roman" w:hAnsi="Times New Roman"/>
          <w:sz w:val="21"/>
        </w:rPr>
        <w:t xml:space="preserve"> (95% CI: </w:t>
      </w:r>
      <w:r>
        <w:rPr>
          <w:rFonts w:ascii="Cambria Math" w:hAnsi="Cambria Math"/>
          <w:sz w:val="21"/>
        </w:rPr>
        <w:t>[78.17, 88.71]</w:t>
      </w:r>
      <w:r>
        <w:rPr>
          <w:rFonts w:ascii="Times New Roman" w:hAnsi="Times New Roman"/>
          <w:sz w:val="21"/>
        </w:rPr>
        <w:t xml:space="preserve">), placing it in the 90th percentile of tested software systems (Grade A, "Excellent") [14, 15]. By contrast, the radial clock interface scored </w:t>
      </w:r>
      <w:r>
        <w:rPr>
          <w:rFonts w:ascii="Cambria Math" w:hAnsi="Cambria Math"/>
          <w:sz w:val="21"/>
        </w:rPr>
        <w:t>57.19 ± 12.65</w:t>
      </w:r>
      <w:r>
        <w:rPr>
          <w:rFonts w:ascii="Times New Roman" w:hAnsi="Times New Roman"/>
          <w:sz w:val="21"/>
        </w:rPr>
        <w:t xml:space="preserve"> (95% CI: </w:t>
      </w:r>
      <w:r>
        <w:rPr>
          <w:rFonts w:ascii="Cambria Math" w:hAnsi="Cambria Math"/>
          <w:sz w:val="21"/>
        </w:rPr>
        <w:t>[50.45, 63.93]</w:t>
      </w:r>
      <w:r>
        <w:rPr>
          <w:rFonts w:ascii="Times New Roman" w:hAnsi="Times New Roman"/>
          <w:sz w:val="21"/>
        </w:rPr>
        <w:t>), representing marginal/failing usability (Grade F).</w:t>
      </w:r>
    </w:p>
    <w:p>
      <w:pPr>
        <w:keepNext/>
        <w:spacing w:before="220" w:after="60"/>
      </w:pPr>
      <w:r>
        <w:rPr>
          <w:rFonts w:ascii="Times New Roman" w:hAnsi="Times New Roman"/>
          <w:b/>
          <w:color w:val="1A365D"/>
          <w:sz w:val="23"/>
        </w:rPr>
        <w:t>6.4 Commercial Software Complexity and Telemetry Case Study (Addressing RQ4)</w:t>
      </w:r>
    </w:p>
    <w:p>
      <w:pPr>
        <w:spacing w:after="90"/>
        <w:jc w:val="both"/>
      </w:pPr>
      <w:r>
        <w:rPr>
          <w:rFonts w:ascii="Times New Roman" w:hAnsi="Times New Roman"/>
          <w:sz w:val="21"/>
        </w:rPr>
        <w:t>To evaluate configuration overhead and data minimization in comparison with commercial software, we conducted an exploratory walkthrough case study comparing Dosezy against Medisafe (v9.12), the leading commercial medication reminder application on Google Play.</w:t>
      </w:r>
    </w:p>
    <w:p>
      <w:pPr>
        <w:spacing w:after="90"/>
        <w:jc w:val="both"/>
      </w:pPr>
      <w:r>
        <w:rPr>
          <w:rFonts w:ascii="Times New Roman" w:hAnsi="Times New Roman"/>
          <w:b/>
          <w:sz w:val="21"/>
        </w:rPr>
        <w:t>Walkthrough Benchmark Protocol:</w:t>
      </w:r>
    </w:p>
    <w:p>
      <w:pPr>
        <w:spacing w:after="90"/>
        <w:jc w:val="both"/>
      </w:pPr>
      <w:r>
        <w:rPr>
          <w:rFonts w:ascii="Times New Roman" w:hAnsi="Times New Roman"/>
          <w:sz w:val="21"/>
        </w:rPr>
        <w:t xml:space="preserve">A standardized single-medication configuration trial (scheduling a single daily tablet at 8:00 AM) was executed on the Samsung Galaxy A13 benchmark device. We logged: (1) the number of mandatory onboarding screens traversed prior to reaching the home dashboard; (2) the total discrete interactive decisions/taps required; (3) elapsed configuration duration; and (4) declared Android system permissions inspected via </w:t>
      </w:r>
      <w:r>
        <w:rPr>
          <w:rFonts w:ascii="Consolas" w:hAnsi="Consolas"/>
          <w:color w:val="24292E"/>
          <w:sz w:val="18"/>
        </w:rPr>
        <w:t>aapt dump permissions</w:t>
      </w:r>
      <w:r>
        <w:rPr>
          <w:rFonts w:ascii="Times New Roman" w:hAnsi="Times New Roman"/>
          <w:sz w:val="21"/>
        </w:rPr>
        <w:t>.</w:t>
      </w:r>
    </w:p>
    <w:p>
      <w:pPr>
        <w:keepNext/>
        <w:spacing w:before="160" w:after="60"/>
      </w:pPr>
      <w:r>
        <w:rPr>
          <w:rFonts w:ascii="Times New Roman" w:hAnsi="Times New Roman"/>
          <w:b/>
          <w:color w:val="2D3748"/>
          <w:sz w:val="21"/>
        </w:rPr>
        <w:t>Table 6: End-to-End Configuration Complexity: Medisafe v9.12 vs. Dosezy</w:t>
      </w:r>
    </w:p>
    <w:tbl>
      <w:tblPr>
        <w:tblW w:type="auto" w:w="0"/>
        <w:jc w:val="center"/>
        <w:tblLayout w:type="autofit"/>
        <w:tblLook w:firstColumn="1" w:firstRow="1" w:lastColumn="0" w:lastRow="0" w:noHBand="0" w:noVBand="1" w:val="04A0"/>
        <w:tblBorders>
          <w:top w:val="single" w:sz="12" w:space="0" w:color="102C57"/>
          <w:bottom w:val="single" w:sz="12" w:space="0" w:color="102C57"/>
          <w:left w:val="none"/>
          <w:right w:val="none"/>
          <w:insideH w:val="single" w:sz="4" w:space="0" w:color="E2E8F0"/>
          <w:insideV w:val="none"/>
        </w:tblBorders>
      </w:tblPr>
      <w:tblGrid>
        <w:gridCol w:w="3120"/>
        <w:gridCol w:w="3120"/>
        <w:gridCol w:w="3120"/>
      </w:tblGrid>
      <w:tr>
        <w:tc>
          <w:tcPr>
            <w:tcW w:type="dxa" w:w="312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Configuration Attribute</w:t>
            </w:r>
          </w:p>
        </w:tc>
        <w:tc>
          <w:tcPr>
            <w:tcW w:type="dxa" w:w="312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Medisafe (v9.12)</w:t>
            </w:r>
          </w:p>
        </w:tc>
        <w:tc>
          <w:tcPr>
            <w:tcW w:type="dxa" w:w="3120"/>
            <w:shd w:val="clear" w:color="auto" w:fill="102C57"/>
            <w:tcMar>
              <w:top w:w="80" w:type="dxa"/>
              <w:bottom w:w="80" w:type="dxa"/>
              <w:left w:w="100" w:type="dxa"/>
              <w:right w:w="100" w:type="dxa"/>
            </w:tcMar>
          </w:tcPr>
          <w:p>
            <w:pPr>
              <w:spacing w:before="80" w:after="80"/>
              <w:jc w:val="center"/>
            </w:pPr>
            <w:r>
              <w:rPr>
                <w:b/>
                <w:color w:val="FFFFFF"/>
                <w:sz w:val="19"/>
              </w:rPr>
            </w:r>
            <w:r>
              <w:rPr>
                <w:rFonts w:ascii="Times New Roman" w:hAnsi="Times New Roman"/>
                <w:b/>
                <w:color w:val="FFFFFF"/>
                <w:sz w:val="19"/>
              </w:rPr>
              <w:t>Dosezy (Proposed)</w:t>
            </w:r>
          </w:p>
        </w:tc>
      </w:tr>
      <w:tr>
        <w:tc>
          <w:tcPr>
            <w:tcW w:type="dxa" w:w="3120"/>
            <w:tcMar>
              <w:top w:w="60" w:type="dxa"/>
              <w:bottom w:w="60" w:type="dxa"/>
              <w:left w:w="100" w:type="dxa"/>
              <w:right w:w="100" w:type="dxa"/>
            </w:tcMar>
          </w:tcPr>
          <w:p>
            <w:pPr>
              <w:spacing w:before="60" w:after="60"/>
              <w:jc w:val="left"/>
            </w:pPr>
            <w:r/>
            <w:r>
              <w:rPr>
                <w:rFonts w:ascii="Times New Roman" w:hAnsi="Times New Roman"/>
                <w:b/>
                <w:sz w:val="18"/>
              </w:rPr>
              <w:t>Mandatory Account / Cloud Sign-in</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Yes (Email / Google / Facebook)</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None (100% Offline)</w:t>
            </w:r>
          </w:p>
        </w:tc>
      </w:tr>
      <w:tr>
        <w:tc>
          <w:tcPr>
            <w:tcW w:type="dxa" w:w="3120"/>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Onboarding Screens to First Medicine</w:t>
            </w:r>
          </w:p>
        </w:tc>
        <w:tc>
          <w:tcPr>
            <w:tcW w:type="dxa" w:w="3120"/>
            <w:shd w:val="clear" w:color="auto" w:fill="F7FAFC"/>
            <w:tcMar>
              <w:top w:w="60" w:type="dxa"/>
              <w:bottom w:w="60" w:type="dxa"/>
              <w:left w:w="100" w:type="dxa"/>
              <w:right w:w="100" w:type="dxa"/>
            </w:tcMar>
          </w:tcPr>
          <w:p>
            <w:pPr>
              <w:spacing w:before="60" w:after="60"/>
              <w:jc w:val="center"/>
            </w:pPr>
            <w:r/>
            <w:r>
              <w:rPr>
                <w:rFonts w:ascii="Times New Roman" w:hAnsi="Times New Roman"/>
                <w:sz w:val="18"/>
              </w:rPr>
              <w:t>9 screens</w:t>
            </w:r>
          </w:p>
        </w:tc>
        <w:tc>
          <w:tcPr>
            <w:tcW w:type="dxa" w:w="3120"/>
            <w:shd w:val="clear" w:color="auto" w:fill="F7FAFC"/>
            <w:tcMar>
              <w:top w:w="60" w:type="dxa"/>
              <w:bottom w:w="60" w:type="dxa"/>
              <w:left w:w="100" w:type="dxa"/>
              <w:right w:w="100" w:type="dxa"/>
            </w:tcMar>
          </w:tcPr>
          <w:p>
            <w:pPr>
              <w:spacing w:before="60" w:after="60"/>
              <w:jc w:val="left"/>
            </w:pPr>
            <w:r/>
            <w:r>
              <w:rPr>
                <w:rFonts w:ascii="Times New Roman" w:hAnsi="Times New Roman"/>
                <w:sz w:val="18"/>
              </w:rPr>
              <w:t>1 unified screen</w:t>
            </w:r>
          </w:p>
        </w:tc>
      </w:tr>
      <w:tr>
        <w:tc>
          <w:tcPr>
            <w:tcW w:type="dxa" w:w="3120"/>
            <w:tcMar>
              <w:top w:w="60" w:type="dxa"/>
              <w:bottom w:w="60" w:type="dxa"/>
              <w:left w:w="100" w:type="dxa"/>
              <w:right w:w="100" w:type="dxa"/>
            </w:tcMar>
          </w:tcPr>
          <w:p>
            <w:pPr>
              <w:spacing w:before="60" w:after="60"/>
              <w:jc w:val="left"/>
            </w:pPr>
            <w:r/>
            <w:r>
              <w:rPr>
                <w:rFonts w:ascii="Times New Roman" w:hAnsi="Times New Roman"/>
                <w:b/>
                <w:sz w:val="18"/>
              </w:rPr>
              <w:t>Required User Decisions / Prompts</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14 distinct steps</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3 inputs (Name, Time, Save)</w:t>
            </w:r>
          </w:p>
        </w:tc>
      </w:tr>
      <w:tr>
        <w:tc>
          <w:tcPr>
            <w:tcW w:type="dxa" w:w="3120"/>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Time to Configure First Dose (Older Adults)</w:t>
            </w:r>
          </w:p>
        </w:tc>
        <w:tc>
          <w:tcPr>
            <w:tcW w:type="dxa" w:w="3120"/>
            <w:shd w:val="clear" w:color="auto" w:fill="F7FAFC"/>
            <w:tcMar>
              <w:top w:w="60" w:type="dxa"/>
              <w:bottom w:w="60" w:type="dxa"/>
              <w:left w:w="100" w:type="dxa"/>
              <w:right w:w="100" w:type="dxa"/>
            </w:tcMar>
          </w:tcPr>
          <w:p>
            <w:pPr>
              <w:spacing w:before="60" w:after="60"/>
              <w:jc w:val="left"/>
            </w:pPr>
            <w:r/>
            <w:r>
              <w:rPr>
                <w:rFonts w:ascii="Cambria Math" w:hAnsi="Cambria Math"/>
                <w:sz w:val="18"/>
              </w:rPr>
              <w:t>102 ± 18 seconds</w:t>
            </w:r>
          </w:p>
        </w:tc>
        <w:tc>
          <w:tcPr>
            <w:tcW w:type="dxa" w:w="3120"/>
            <w:shd w:val="clear" w:color="auto" w:fill="F7FAFC"/>
            <w:tcMar>
              <w:top w:w="60" w:type="dxa"/>
              <w:bottom w:w="60" w:type="dxa"/>
              <w:left w:w="100" w:type="dxa"/>
              <w:right w:w="100" w:type="dxa"/>
            </w:tcMar>
          </w:tcPr>
          <w:p>
            <w:pPr>
              <w:spacing w:before="60" w:after="60"/>
              <w:jc w:val="left"/>
            </w:pPr>
            <w:r/>
            <w:r>
              <w:rPr>
                <w:rFonts w:ascii="Cambria Math" w:hAnsi="Cambria Math"/>
                <w:sz w:val="18"/>
              </w:rPr>
              <w:t>28 ± 6 seconds</w:t>
            </w:r>
          </w:p>
        </w:tc>
      </w:tr>
      <w:tr>
        <w:tc>
          <w:tcPr>
            <w:tcW w:type="dxa" w:w="3120"/>
            <w:tcMar>
              <w:top w:w="60" w:type="dxa"/>
              <w:bottom w:w="60" w:type="dxa"/>
              <w:left w:w="100" w:type="dxa"/>
              <w:right w:w="100" w:type="dxa"/>
            </w:tcMar>
          </w:tcPr>
          <w:p>
            <w:pPr>
              <w:spacing w:before="60" w:after="60"/>
              <w:jc w:val="left"/>
            </w:pPr>
            <w:r/>
            <w:r>
              <w:rPr>
                <w:rFonts w:ascii="Times New Roman" w:hAnsi="Times New Roman"/>
                <w:b/>
                <w:sz w:val="18"/>
              </w:rPr>
              <w:t>Requested System Permissions</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Internet, Contacts, Storage, Alarms</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Exact Alarm, Full Screen</w:t>
            </w:r>
          </w:p>
        </w:tc>
      </w:tr>
      <w:tr>
        <w:tc>
          <w:tcPr>
            <w:tcW w:type="dxa" w:w="3120"/>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Internet Permission (`android.permission.INTERNET`)</w:t>
            </w:r>
          </w:p>
        </w:tc>
        <w:tc>
          <w:tcPr>
            <w:tcW w:type="dxa" w:w="3120"/>
            <w:shd w:val="clear" w:color="auto" w:fill="F7FAFC"/>
            <w:tcMar>
              <w:top w:w="60" w:type="dxa"/>
              <w:bottom w:w="60" w:type="dxa"/>
              <w:left w:w="100" w:type="dxa"/>
              <w:right w:w="100" w:type="dxa"/>
            </w:tcMar>
          </w:tcPr>
          <w:p>
            <w:pPr>
              <w:spacing w:before="60" w:after="60"/>
              <w:jc w:val="left"/>
            </w:pPr>
            <w:r/>
            <w:r>
              <w:rPr>
                <w:rFonts w:ascii="Times New Roman" w:hAnsi="Times New Roman"/>
                <w:sz w:val="18"/>
              </w:rPr>
              <w:t>Declared (Transmits telemetry)</w:t>
            </w:r>
          </w:p>
        </w:tc>
        <w:tc>
          <w:tcPr>
            <w:tcW w:type="dxa" w:w="3120"/>
            <w:shd w:val="clear" w:color="auto" w:fill="F7FAFC"/>
            <w:tcMar>
              <w:top w:w="60" w:type="dxa"/>
              <w:bottom w:w="60" w:type="dxa"/>
              <w:left w:w="100" w:type="dxa"/>
              <w:right w:w="100" w:type="dxa"/>
            </w:tcMar>
          </w:tcPr>
          <w:p>
            <w:pPr>
              <w:spacing w:before="60" w:after="60"/>
              <w:jc w:val="left"/>
            </w:pPr>
            <w:r/>
            <w:r>
              <w:rPr>
                <w:rFonts w:ascii="Times New Roman" w:hAnsi="Times New Roman"/>
                <w:b/>
                <w:sz w:val="18"/>
              </w:rPr>
              <w:t>Omitted</w:t>
            </w:r>
            <w:r>
              <w:rPr>
                <w:rFonts w:ascii="Times New Roman" w:hAnsi="Times New Roman"/>
                <w:sz w:val="18"/>
              </w:rPr>
              <w:t xml:space="preserve"> (Network socket denial)</w:t>
            </w:r>
          </w:p>
        </w:tc>
      </w:tr>
      <w:tr>
        <w:tc>
          <w:tcPr>
            <w:tcW w:type="dxa" w:w="3120"/>
            <w:tcMar>
              <w:top w:w="60" w:type="dxa"/>
              <w:bottom w:w="60" w:type="dxa"/>
              <w:left w:w="100" w:type="dxa"/>
              <w:right w:w="100" w:type="dxa"/>
            </w:tcMar>
          </w:tcPr>
          <w:p>
            <w:pPr>
              <w:spacing w:before="60" w:after="60"/>
              <w:jc w:val="left"/>
            </w:pPr>
            <w:r/>
            <w:r>
              <w:rPr>
                <w:rFonts w:ascii="Times New Roman" w:hAnsi="Times New Roman"/>
                <w:b/>
                <w:sz w:val="18"/>
              </w:rPr>
              <w:t>Commercial In-App Advertisements</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Yes (Discount coupons, banners)</w:t>
            </w:r>
          </w:p>
        </w:tc>
        <w:tc>
          <w:tcPr>
            <w:tcW w:type="dxa" w:w="3120"/>
            <w:tcMar>
              <w:top w:w="60" w:type="dxa"/>
              <w:bottom w:w="60" w:type="dxa"/>
              <w:left w:w="100" w:type="dxa"/>
              <w:right w:w="100" w:type="dxa"/>
            </w:tcMar>
          </w:tcPr>
          <w:p>
            <w:pPr>
              <w:spacing w:before="60" w:after="60"/>
              <w:jc w:val="left"/>
            </w:pPr>
            <w:r/>
            <w:r>
              <w:rPr>
                <w:rFonts w:ascii="Times New Roman" w:hAnsi="Times New Roman"/>
                <w:sz w:val="18"/>
              </w:rPr>
              <w:t>None (Clean, Open-Source)</w:t>
            </w:r>
          </w:p>
        </w:tc>
      </w:tr>
    </w:tbl>
    <w:p>
      <w:pPr>
        <w:spacing w:before="0" w:after="120"/>
      </w:pPr>
    </w:p>
    <w:p>
      <w:pPr>
        <w:spacing w:after="90"/>
        <w:jc w:val="both"/>
      </w:pPr>
      <w:r>
        <w:rPr>
          <w:rFonts w:ascii="Times New Roman" w:hAnsi="Times New Roman"/>
          <w:sz w:val="21"/>
        </w:rPr>
        <w:t xml:space="preserve">As summarized in Table 6, Medisafe requires older adults to navigate a 9-screen wizard involving cloud sign-in prompts, promotional offers, shape/color customization pickers, and multi-step scrolling selectors, averaging </w:t>
      </w:r>
      <w:r>
        <w:rPr>
          <w:rFonts w:ascii="Cambria Math" w:hAnsi="Cambria Math"/>
          <w:sz w:val="21"/>
        </w:rPr>
        <w:t>102 seconds</w:t>
      </w:r>
      <w:r>
        <w:rPr>
          <w:rFonts w:ascii="Times New Roman" w:hAnsi="Times New Roman"/>
          <w:sz w:val="21"/>
        </w:rPr>
        <w:t xml:space="preserve"> for initial configuration. In contrast, Dosezy's single-screen configuration dialog allows older adults to enter the drug name, select the time via the 12-hour grid, and save the schedule in </w:t>
      </w:r>
      <w:r>
        <w:rPr>
          <w:rFonts w:ascii="Cambria Math" w:hAnsi="Cambria Math"/>
          <w:sz w:val="21"/>
        </w:rPr>
        <w:t>28 ± 6 seconds</w:t>
      </w:r>
      <w:r>
        <w:rPr>
          <w:rFonts w:ascii="Times New Roman" w:hAnsi="Times New Roman"/>
          <w:sz w:val="21"/>
        </w:rPr>
        <w:t xml:space="preserve"> (</w:t>
      </w:r>
      <w:r>
        <w:rPr>
          <w:rFonts w:ascii="Cambria Math" w:hAnsi="Cambria Math"/>
          <w:sz w:val="21"/>
        </w:rPr>
        <w:t>72.5%</w:t>
      </w:r>
      <w:r>
        <w:rPr>
          <w:rFonts w:ascii="Times New Roman" w:hAnsi="Times New Roman"/>
          <w:sz w:val="21"/>
        </w:rPr>
        <w:t xml:space="preserve"> faster), free of advertisements and background telemetry. We emphasize that this walkthrough represents an exploratory systems case study rather than a psychometric participant trial.</w:t>
      </w:r>
    </w:p>
    <w:p>
      <w:pPr>
        <w:keepNext/>
        <w:spacing w:before="280" w:after="80"/>
      </w:pPr>
      <w:r>
        <w:rPr>
          <w:rFonts w:ascii="Times New Roman" w:hAnsi="Times New Roman"/>
          <w:b/>
          <w:color w:val="102C57"/>
          <w:sz w:val="27"/>
        </w:rPr>
        <w:t>7. Threats to Validity</w:t>
      </w:r>
    </w:p>
    <w:p>
      <w:pPr>
        <w:keepNext/>
        <w:spacing w:before="220" w:after="60"/>
      </w:pPr>
      <w:r>
        <w:rPr>
          <w:rFonts w:ascii="Times New Roman" w:hAnsi="Times New Roman"/>
          <w:b/>
          <w:color w:val="1A365D"/>
          <w:sz w:val="23"/>
        </w:rPr>
        <w:t>7.1 Internal Validity</w:t>
      </w:r>
    </w:p>
    <w:p>
      <w:pPr>
        <w:spacing w:after="90"/>
        <w:jc w:val="both"/>
      </w:pPr>
      <w:r>
        <w:rPr>
          <w:rFonts w:ascii="Times New Roman" w:hAnsi="Times New Roman"/>
          <w:sz w:val="21"/>
        </w:rPr>
        <w:t>Internal validity concerns whether the observed usability improvements can be definitively attributed to the 12-Hour Grid design rather than confounding artifacts. A primary risk in within-subjects studies is task ordering and practice effects. We mitigated this by counterbalancing condition order (</w:t>
      </w:r>
      <w:r>
        <w:rPr>
          <w:rFonts w:ascii="Cambria Math" w:hAnsi="Cambria Math"/>
          <w:sz w:val="21"/>
        </w:rPr>
        <w:t>n=8</w:t>
      </w:r>
      <w:r>
        <w:rPr>
          <w:rFonts w:ascii="Times New Roman" w:hAnsi="Times New Roman"/>
          <w:sz w:val="21"/>
        </w:rPr>
        <w:t xml:space="preserve"> starting with Grid, </w:t>
      </w:r>
      <w:r>
        <w:rPr>
          <w:rFonts w:ascii="Cambria Math" w:hAnsi="Cambria Math"/>
          <w:sz w:val="21"/>
        </w:rPr>
        <w:t>n=8</w:t>
      </w:r>
      <w:r>
        <w:rPr>
          <w:rFonts w:ascii="Times New Roman" w:hAnsi="Times New Roman"/>
          <w:sz w:val="21"/>
        </w:rPr>
        <w:t xml:space="preserve"> starting with Radial) and confirming the absence of order and sequence carryover effects via independent-samples </w:t>
      </w:r>
      <w:r>
        <w:rPr>
          <w:rFonts w:ascii="Cambria Math" w:hAnsi="Cambria Math"/>
          <w:i/>
          <w:sz w:val="21"/>
        </w:rPr>
        <w:t>t</w:t>
      </w:r>
      <w:r>
        <w:rPr>
          <w:rFonts w:ascii="Times New Roman" w:hAnsi="Times New Roman"/>
          <w:sz w:val="21"/>
        </w:rPr>
        <w:t>-tests (</w:t>
      </w:r>
      <w:r>
        <w:rPr>
          <w:rFonts w:ascii="Cambria Math" w:hAnsi="Cambria Math"/>
          <w:sz w:val="21"/>
        </w:rPr>
        <w:t>t(14) = 0.38, p = 0.71</w:t>
      </w:r>
      <w:r>
        <w:rPr>
          <w:rFonts w:ascii="Times New Roman" w:hAnsi="Times New Roman"/>
          <w:sz w:val="21"/>
        </w:rPr>
        <w:t>). Another consideration is baseline default handling: on Task 1 (8:00 AM), Dosezy's :00 minute pre-selection required only 2 taps, whereas the radial clock required continuous minute hand dragging; this accurately reflects natural clinical tool affordances rather than experimental bias. Potential Hawthorne effects under researcher observation were controlled by applying identical automated instrumentation across both conditions, preserving relative comparative validity (</w:t>
      </w:r>
      <w:r>
        <w:rPr>
          <w:rFonts w:ascii="Cambria Math" w:hAnsi="Cambria Math"/>
          <w:sz w:val="21"/>
        </w:rPr>
        <w:t>d_z &gt; 1.1</w:t>
      </w:r>
      <w:r>
        <w:rPr>
          <w:rFonts w:ascii="Times New Roman" w:hAnsi="Times New Roman"/>
          <w:sz w:val="21"/>
        </w:rPr>
        <w:t>).</w:t>
      </w:r>
    </w:p>
    <w:p>
      <w:pPr>
        <w:keepNext/>
        <w:spacing w:before="220" w:after="60"/>
      </w:pPr>
      <w:r>
        <w:rPr>
          <w:rFonts w:ascii="Times New Roman" w:hAnsi="Times New Roman"/>
          <w:b/>
          <w:color w:val="1A365D"/>
          <w:sz w:val="23"/>
        </w:rPr>
        <w:t>7.2 External Validity</w:t>
      </w:r>
    </w:p>
    <w:p>
      <w:pPr>
        <w:spacing w:after="90"/>
        <w:jc w:val="both"/>
      </w:pPr>
      <w:r>
        <w:rPr>
          <w:rFonts w:ascii="Times New Roman" w:hAnsi="Times New Roman"/>
          <w:sz w:val="21"/>
        </w:rPr>
        <w:t xml:space="preserve">External validity concerns the generalizability of our findings beyond the evaluated sample. Our usability study evaluated 16 older adults recruited from urban community senior centers in Hyderabad, India. While all participants met our inclusion criteria (aged 60+, active medication users, MMSE </w:t>
      </w:r>
      <w:r>
        <w:rPr>
          <w:rFonts w:ascii="Cambria Math" w:hAnsi="Cambria Math"/>
          <w:sz w:val="21"/>
        </w:rPr>
        <w:t>≥ 27/30</w:t>
      </w:r>
      <w:r>
        <w:rPr>
          <w:rFonts w:ascii="Times New Roman" w:hAnsi="Times New Roman"/>
          <w:sz w:val="21"/>
        </w:rPr>
        <w:t>), our sample may underrepresent older adults with advanced neurodegenerative diseases (e.g., late-stage Alzheimer's, severe Parkinsonian tremors) or populations in rural environments with zero previous smartphone literacy. Furthermore, all usability tasks were evaluated on a single physical smartphone model (Samsung Galaxy A13); validating performance across varying screen sizes (e.g., small 5.5-inch vs. large 7-inch displays) represents important future work.</w:t>
      </w:r>
    </w:p>
    <w:p>
      <w:pPr>
        <w:keepNext/>
        <w:spacing w:before="220" w:after="60"/>
      </w:pPr>
      <w:r>
        <w:rPr>
          <w:rFonts w:ascii="Times New Roman" w:hAnsi="Times New Roman"/>
          <w:b/>
          <w:color w:val="1A365D"/>
          <w:sz w:val="23"/>
        </w:rPr>
        <w:t>7.3 Construct Validity and Clinical Scope</w:t>
      </w:r>
    </w:p>
    <w:p>
      <w:pPr>
        <w:spacing w:after="90"/>
        <w:jc w:val="both"/>
      </w:pPr>
      <w:r>
        <w:rPr>
          <w:rFonts w:ascii="Times New Roman" w:hAnsi="Times New Roman"/>
          <w:sz w:val="21"/>
        </w:rPr>
        <w:t xml:space="preserve">A fundamental construct validity boundary must be underscored: </w:t>
      </w:r>
      <w:r>
        <w:rPr>
          <w:rFonts w:ascii="Times New Roman" w:hAnsi="Times New Roman"/>
          <w:i/>
          <w:sz w:val="21"/>
        </w:rPr>
        <w:t>this investigation evaluates software systems engineering and human-computer interaction prerequisites, not pharmacological efficacy or patient clinical outcomes</w:t>
      </w:r>
      <w:r>
        <w:rPr>
          <w:rFonts w:ascii="Times New Roman" w:hAnsi="Times New Roman"/>
          <w:sz w:val="21"/>
        </w:rPr>
        <w:t xml:space="preserve">. Logging a dose as </w:t>
      </w:r>
      <w:r>
        <w:rPr>
          <w:rFonts w:ascii="Consolas" w:hAnsi="Consolas"/>
          <w:color w:val="24292E"/>
          <w:sz w:val="18"/>
        </w:rPr>
        <w:t>TAKEN</w:t>
      </w:r>
      <w:r>
        <w:rPr>
          <w:rFonts w:ascii="Times New Roman" w:hAnsi="Times New Roman"/>
          <w:sz w:val="21"/>
        </w:rPr>
        <w:t xml:space="preserve"> in Dosezy records an on-screen confirmation; it cannot physically verify chemical ingestion. While high usability (RQ1), reliable alarm delivery (RQ2), runtime responsiveness (RQ3), and minimal setup friction (RQ4) are indispensable technical prerequisites for mobile adherence interventions, actual clinical adherence remains governed by complex physiological, behavioral, and socio-economic factors that cannot be assessed through software benchmarks or laboratory usability trials alone [1, 2].</w:t>
      </w:r>
    </w:p>
    <w:p>
      <w:pPr>
        <w:spacing w:after="90"/>
        <w:jc w:val="both"/>
      </w:pPr>
      <w:r>
        <w:rPr>
          <w:rFonts w:ascii="Times New Roman" w:hAnsi="Times New Roman"/>
          <w:sz w:val="21"/>
        </w:rPr>
        <w:t>Furthermore, local-only storage involves an inherent trade-off. While the complete omission of network permissions protects patient privacy, it eliminates automatic remote cloud backups. If a user damages, misplaces, or resets their smartphone, local medication schedules and historical compliance logs cannot be remotely recovered unless the user has manually exported periodic JSON archives or PDF summaries.</w:t>
      </w:r>
    </w:p>
    <w:p>
      <w:pPr>
        <w:keepNext/>
        <w:spacing w:before="280" w:after="80"/>
      </w:pPr>
      <w:r>
        <w:rPr>
          <w:rFonts w:ascii="Times New Roman" w:hAnsi="Times New Roman"/>
          <w:b/>
          <w:color w:val="102C57"/>
          <w:sz w:val="27"/>
        </w:rPr>
        <w:t>8. Conclusion and Future Work</w:t>
      </w:r>
    </w:p>
    <w:p>
      <w:pPr>
        <w:spacing w:after="90"/>
        <w:jc w:val="both"/>
      </w:pPr>
      <w:r>
        <w:rPr>
          <w:rFonts w:ascii="Times New Roman" w:hAnsi="Times New Roman"/>
          <w:sz w:val="21"/>
        </w:rPr>
        <w:t xml:space="preserve">In this paper, we presented </w:t>
      </w:r>
      <w:r>
        <w:rPr>
          <w:rFonts w:ascii="Times New Roman" w:hAnsi="Times New Roman"/>
          <w:b/>
          <w:sz w:val="21"/>
        </w:rPr>
        <w:t>Dosezy</w:t>
      </w:r>
      <w:r>
        <w:rPr>
          <w:rFonts w:ascii="Times New Roman" w:hAnsi="Times New Roman"/>
          <w:sz w:val="21"/>
        </w:rPr>
        <w:t>, an open-source, local-first Android medication reminder system engineered specifically to resolve the physical, cognitive, and operating system barriers that impede geriatric mobile health adoption. Addressing four core research questions, our findings establish:</w:t>
      </w:r>
    </w:p>
    <w:p>
      <w:pPr>
        <w:spacing w:after="70"/>
        <w:ind w:left="403"/>
        <w:jc w:val="both"/>
      </w:pPr>
      <w:r>
        <w:rPr>
          <w:rFonts w:ascii="Times New Roman" w:hAnsi="Times New Roman"/>
          <w:b/>
          <w:sz w:val="21"/>
        </w:rPr>
        <w:t xml:space="preserve">1. </w:t>
      </w:r>
      <w:r>
        <w:rPr>
          <w:rFonts w:ascii="Times New Roman" w:hAnsi="Times New Roman"/>
          <w:b/>
          <w:sz w:val="21"/>
        </w:rPr>
        <w:t>RQ1 (Interaction Accessibility):</w:t>
      </w:r>
      <w:r>
        <w:rPr>
          <w:rFonts w:ascii="Times New Roman" w:hAnsi="Times New Roman"/>
          <w:sz w:val="21"/>
        </w:rPr>
        <w:t xml:space="preserve"> Replacing continuous radial clock dragging with a stationary 12-Hour Grid Time Picker reduced total task completion time by </w:t>
      </w:r>
      <w:r>
        <w:rPr>
          <w:rFonts w:ascii="Cambria Math" w:hAnsi="Cambria Math"/>
          <w:sz w:val="21"/>
        </w:rPr>
        <w:t>44.4%</w:t>
      </w:r>
      <w:r>
        <w:rPr>
          <w:rFonts w:ascii="Times New Roman" w:hAnsi="Times New Roman"/>
          <w:sz w:val="21"/>
        </w:rPr>
        <w:t xml:space="preserve"> and touch input errors by </w:t>
      </w:r>
      <w:r>
        <w:rPr>
          <w:rFonts w:ascii="Cambria Math" w:hAnsi="Cambria Math"/>
          <w:sz w:val="21"/>
        </w:rPr>
        <w:t>82.6%</w:t>
      </w:r>
      <w:r>
        <w:rPr>
          <w:rFonts w:ascii="Times New Roman" w:hAnsi="Times New Roman"/>
          <w:sz w:val="21"/>
        </w:rPr>
        <w:t xml:space="preserve"> among older adults (</w:t>
      </w:r>
      <w:r>
        <w:rPr>
          <w:rFonts w:ascii="Cambria Math" w:hAnsi="Cambria Math"/>
          <w:sz w:val="21"/>
        </w:rPr>
        <w:t>N=16</w:t>
      </w:r>
      <w:r>
        <w:rPr>
          <w:rFonts w:ascii="Times New Roman" w:hAnsi="Times New Roman"/>
          <w:sz w:val="21"/>
        </w:rPr>
        <w:t xml:space="preserve">), yielding a System Usability Scale score of </w:t>
      </w:r>
      <w:r>
        <w:rPr>
          <w:rFonts w:ascii="Cambria Math" w:hAnsi="Cambria Math"/>
          <w:sz w:val="21"/>
        </w:rPr>
        <w:t>83.44 ± 9.88</w:t>
      </w:r>
      <w:r>
        <w:rPr>
          <w:rFonts w:ascii="Times New Roman" w:hAnsi="Times New Roman"/>
          <w:sz w:val="21"/>
        </w:rPr>
        <w:t xml:space="preserve"> (90th percentile, Grade A).</w:t>
      </w:r>
    </w:p>
    <w:p>
      <w:pPr>
        <w:spacing w:after="70"/>
        <w:ind w:left="403"/>
        <w:jc w:val="both"/>
      </w:pPr>
      <w:r>
        <w:rPr>
          <w:rFonts w:ascii="Times New Roman" w:hAnsi="Times New Roman"/>
          <w:b/>
          <w:sz w:val="21"/>
        </w:rPr>
        <w:t xml:space="preserve">2. </w:t>
      </w:r>
      <w:r>
        <w:rPr>
          <w:rFonts w:ascii="Times New Roman" w:hAnsi="Times New Roman"/>
          <w:b/>
          <w:sz w:val="21"/>
        </w:rPr>
        <w:t>RQ2 (Alarm Reliability under Doze):</w:t>
      </w:r>
      <w:r>
        <w:rPr>
          <w:rFonts w:ascii="Times New Roman" w:hAnsi="Times New Roman"/>
          <w:sz w:val="21"/>
        </w:rPr>
        <w:t xml:space="preserve"> Elevating reminder alerts to </w:t>
      </w:r>
      <w:r>
        <w:rPr>
          <w:rFonts w:ascii="Consolas" w:hAnsi="Consolas"/>
          <w:color w:val="24292E"/>
          <w:sz w:val="18"/>
        </w:rPr>
        <w:t>setAlarmClock</w:t>
      </w:r>
      <w:r>
        <w:rPr>
          <w:rFonts w:ascii="Times New Roman" w:hAnsi="Times New Roman"/>
          <w:sz w:val="21"/>
        </w:rPr>
        <w:t xml:space="preserve"> paired with exact alarm permissions and compliant lock screen full-screen intents achieved a </w:t>
      </w:r>
      <w:r>
        <w:rPr>
          <w:rFonts w:ascii="Cambria Math" w:hAnsi="Cambria Math"/>
          <w:sz w:val="21"/>
        </w:rPr>
        <w:t>99.0%</w:t>
      </w:r>
      <w:r>
        <w:rPr>
          <w:rFonts w:ascii="Times New Roman" w:hAnsi="Times New Roman"/>
          <w:sz w:val="21"/>
        </w:rPr>
        <w:t xml:space="preserve"> on-time delivery rate across five physical OEM distributions during deep Doze mode, while empirically illustrating that application-space design cannot completely eliminate vendor-level battery killer interference without manual user whitelisting.</w:t>
      </w:r>
    </w:p>
    <w:p>
      <w:pPr>
        <w:spacing w:after="70"/>
        <w:ind w:left="403"/>
        <w:jc w:val="both"/>
      </w:pPr>
      <w:r>
        <w:rPr>
          <w:rFonts w:ascii="Times New Roman" w:hAnsi="Times New Roman"/>
          <w:b/>
          <w:sz w:val="21"/>
        </w:rPr>
        <w:t xml:space="preserve">3. </w:t>
      </w:r>
      <w:r>
        <w:rPr>
          <w:rFonts w:ascii="Times New Roman" w:hAnsi="Times New Roman"/>
          <w:b/>
          <w:sz w:val="21"/>
        </w:rPr>
        <w:t>RQ3 (Runtime Efficiency):</w:t>
      </w:r>
      <w:r>
        <w:rPr>
          <w:rFonts w:ascii="Times New Roman" w:hAnsi="Times New Roman"/>
          <w:sz w:val="21"/>
        </w:rPr>
        <w:t xml:space="preserve"> Local-first embedded Room SQLite persistence maintained sub-second cold starts (</w:t>
      </w:r>
      <w:r>
        <w:rPr>
          <w:rFonts w:ascii="Cambria Math" w:hAnsi="Cambria Math"/>
          <w:sz w:val="21"/>
        </w:rPr>
        <w:t>&lt; 780 ms</w:t>
      </w:r>
      <w:r>
        <w:rPr>
          <w:rFonts w:ascii="Times New Roman" w:hAnsi="Times New Roman"/>
          <w:sz w:val="21"/>
        </w:rPr>
        <w:t xml:space="preserve">) and query latencies under </w:t>
      </w:r>
      <w:r>
        <w:rPr>
          <w:rFonts w:ascii="Cambria Math" w:hAnsi="Cambria Math"/>
          <w:sz w:val="21"/>
        </w:rPr>
        <w:t>12 ms</w:t>
      </w:r>
      <w:r>
        <w:rPr>
          <w:rFonts w:ascii="Times New Roman" w:hAnsi="Times New Roman"/>
          <w:sz w:val="21"/>
        </w:rPr>
        <w:t xml:space="preserve"> on budget hardware (Samsung Galaxy A13), while generating patient vector A4 summaries locally in </w:t>
      </w:r>
      <w:r>
        <w:rPr>
          <w:rFonts w:ascii="Cambria Math" w:hAnsi="Cambria Math"/>
          <w:sz w:val="21"/>
        </w:rPr>
        <w:t>142 ± 18 ms</w:t>
      </w:r>
      <w:r>
        <w:rPr>
          <w:rFonts w:ascii="Times New Roman" w:hAnsi="Times New Roman"/>
          <w:sz w:val="21"/>
        </w:rPr>
        <w:t>.</w:t>
      </w:r>
    </w:p>
    <w:p>
      <w:pPr>
        <w:spacing w:after="70"/>
        <w:ind w:left="403"/>
        <w:jc w:val="both"/>
      </w:pPr>
      <w:r>
        <w:rPr>
          <w:rFonts w:ascii="Times New Roman" w:hAnsi="Times New Roman"/>
          <w:b/>
          <w:sz w:val="21"/>
        </w:rPr>
        <w:t xml:space="preserve">4. </w:t>
      </w:r>
      <w:r>
        <w:rPr>
          <w:rFonts w:ascii="Times New Roman" w:hAnsi="Times New Roman"/>
          <w:b/>
          <w:sz w:val="21"/>
        </w:rPr>
        <w:t>RQ4 (Configuration Overhead):</w:t>
      </w:r>
      <w:r>
        <w:rPr>
          <w:rFonts w:ascii="Times New Roman" w:hAnsi="Times New Roman"/>
          <w:sz w:val="21"/>
        </w:rPr>
        <w:t xml:space="preserve"> Eliminating mandatory cloud registration and multi-screen onboarding wizards enabled initial dose configuration in </w:t>
      </w:r>
      <w:r>
        <w:rPr>
          <w:rFonts w:ascii="Cambria Math" w:hAnsi="Cambria Math"/>
          <w:sz w:val="21"/>
        </w:rPr>
        <w:t>28 ± 6 seconds</w:t>
      </w:r>
      <w:r>
        <w:rPr>
          <w:rFonts w:ascii="Times New Roman" w:hAnsi="Times New Roman"/>
          <w:sz w:val="21"/>
        </w:rPr>
        <w:t xml:space="preserve"> (</w:t>
      </w:r>
      <w:r>
        <w:rPr>
          <w:rFonts w:ascii="Cambria Math" w:hAnsi="Cambria Math"/>
          <w:sz w:val="21"/>
        </w:rPr>
        <w:t>72.5%</w:t>
      </w:r>
      <w:r>
        <w:rPr>
          <w:rFonts w:ascii="Times New Roman" w:hAnsi="Times New Roman"/>
          <w:sz w:val="21"/>
        </w:rPr>
        <w:t xml:space="preserve"> faster than commercial baselines) while maintaining an architectural network isolation boundary through the total omission of </w:t>
      </w:r>
      <w:r>
        <w:rPr>
          <w:rFonts w:ascii="Consolas" w:hAnsi="Consolas"/>
          <w:color w:val="24292E"/>
          <w:sz w:val="18"/>
        </w:rPr>
        <w:t>android.permission.INTERNET</w:t>
      </w:r>
      <w:r>
        <w:rPr>
          <w:rFonts w:ascii="Times New Roman" w:hAnsi="Times New Roman"/>
          <w:sz w:val="21"/>
        </w:rPr>
        <w:t>.</w:t>
      </w:r>
    </w:p>
    <w:p>
      <w:pPr>
        <w:spacing w:after="90"/>
        <w:jc w:val="both"/>
      </w:pPr>
      <w:r>
        <w:rPr>
          <w:rFonts w:ascii="Times New Roman" w:hAnsi="Times New Roman"/>
          <w:sz w:val="21"/>
        </w:rPr>
        <w:t>Future work will expand Dosezy along two technical vectors: (1) integrating optional, zero-knowledge end-to-end encrypted synchronization over peer-to-peer protocols (e.g., local Wi-Fi or Bluetooth LE) to allow family caregivers to monitor adherence without multitenant cloud servers, and (2) interfacing with open-hardware 3D-printed smart pillboxes equipped with magnetic reed switches to provide physical dosage ingestion verification. Dosezy is published as an open-source research artifact to foster accessible, privacy-preserving mobile health systems engineering.</w:t>
      </w:r>
    </w:p>
    <w:p>
      <w:pPr>
        <w:keepNext/>
        <w:spacing w:before="280" w:after="80"/>
      </w:pPr>
      <w:r>
        <w:rPr>
          <w:rFonts w:ascii="Times New Roman" w:hAnsi="Times New Roman"/>
          <w:b/>
          <w:color w:val="102C57"/>
          <w:sz w:val="27"/>
        </w:rPr>
        <w:t>References</w:t>
      </w:r>
    </w:p>
    <w:p>
      <w:pPr>
        <w:spacing w:after="70"/>
        <w:ind w:left="403"/>
        <w:jc w:val="both"/>
      </w:pPr>
      <w:r>
        <w:rPr>
          <w:rFonts w:ascii="Times New Roman" w:hAnsi="Times New Roman"/>
          <w:b/>
          <w:sz w:val="21"/>
        </w:rPr>
        <w:t xml:space="preserve">1. </w:t>
      </w:r>
      <w:r>
        <w:rPr>
          <w:rFonts w:ascii="Times New Roman" w:hAnsi="Times New Roman"/>
          <w:sz w:val="21"/>
        </w:rPr>
        <w:t xml:space="preserve">World Health Organization, </w:t>
      </w:r>
      <w:r>
        <w:rPr>
          <w:rFonts w:ascii="Times New Roman" w:hAnsi="Times New Roman"/>
          <w:i/>
          <w:sz w:val="21"/>
        </w:rPr>
        <w:t>Adherence to Long-Term Therapies: Evidence for Action</w:t>
      </w:r>
      <w:r>
        <w:rPr>
          <w:rFonts w:ascii="Times New Roman" w:hAnsi="Times New Roman"/>
          <w:sz w:val="21"/>
        </w:rPr>
        <w:t>. Geneva, Switzerland: World Health Organization, 2003, ISBN: 9241545992.</w:t>
      </w:r>
    </w:p>
    <w:p>
      <w:pPr>
        <w:spacing w:after="70"/>
        <w:ind w:left="403"/>
        <w:jc w:val="both"/>
      </w:pPr>
      <w:r>
        <w:rPr>
          <w:rFonts w:ascii="Times New Roman" w:hAnsi="Times New Roman"/>
          <w:b/>
          <w:sz w:val="21"/>
        </w:rPr>
        <w:t xml:space="preserve">2. </w:t>
      </w:r>
      <w:r>
        <w:rPr>
          <w:rFonts w:ascii="Times New Roman" w:hAnsi="Times New Roman"/>
          <w:sz w:val="21"/>
        </w:rPr>
        <w:t xml:space="preserve">R. B. Haynes, H. P. McDonald, and A. X. Garg, "Helping patients follow prescribed treatment: Clinical applications," </w:t>
      </w:r>
      <w:r>
        <w:rPr>
          <w:rFonts w:ascii="Times New Roman" w:hAnsi="Times New Roman"/>
          <w:i/>
          <w:sz w:val="21"/>
        </w:rPr>
        <w:t>JAMA</w:t>
      </w:r>
      <w:r>
        <w:rPr>
          <w:rFonts w:ascii="Times New Roman" w:hAnsi="Times New Roman"/>
          <w:sz w:val="21"/>
        </w:rPr>
        <w:t xml:space="preserve">, vol. 288, no. 22, pp. 2880–2883, 2002. DOI: </w:t>
      </w:r>
      <w:hyperlink r:id="rId13">
        <w:r>
          <w:rPr>
            <w:rFonts w:ascii="Times New Roman" w:hAnsi="Times New Roman"/>
            <w:sz w:val="21"/>
            <w:color w:val="004B87"/>
            <w:u w:val="single"/>
          </w:rPr>
          <w:t>10.1001/jama.288.22.2880</w:t>
        </w:r>
      </w:hyperlink>
      <w:r>
        <w:rPr>
          <w:rFonts w:ascii="Times New Roman" w:hAnsi="Times New Roman"/>
          <w:sz w:val="21"/>
        </w:rPr>
        <w:t>.</w:t>
      </w:r>
    </w:p>
    <w:p>
      <w:pPr>
        <w:spacing w:after="70"/>
        <w:ind w:left="403"/>
        <w:jc w:val="both"/>
      </w:pPr>
      <w:r>
        <w:rPr>
          <w:rFonts w:ascii="Times New Roman" w:hAnsi="Times New Roman"/>
          <w:b/>
          <w:sz w:val="21"/>
        </w:rPr>
        <w:t xml:space="preserve">3. </w:t>
      </w:r>
      <w:r>
        <w:rPr>
          <w:rFonts w:ascii="Times New Roman" w:hAnsi="Times New Roman"/>
          <w:sz w:val="21"/>
        </w:rPr>
        <w:t xml:space="preserve">L. Osterberg and T. Blaschke, "Adherence to medication," </w:t>
      </w:r>
      <w:r>
        <w:rPr>
          <w:rFonts w:ascii="Times New Roman" w:hAnsi="Times New Roman"/>
          <w:i/>
          <w:sz w:val="21"/>
        </w:rPr>
        <w:t>New England Journal of Medicine</w:t>
      </w:r>
      <w:r>
        <w:rPr>
          <w:rFonts w:ascii="Times New Roman" w:hAnsi="Times New Roman"/>
          <w:sz w:val="21"/>
        </w:rPr>
        <w:t xml:space="preserve">, vol. 353, no. 5, pp. 487–497, 2005. DOI: </w:t>
      </w:r>
      <w:hyperlink r:id="rId14">
        <w:r>
          <w:rPr>
            <w:rFonts w:ascii="Times New Roman" w:hAnsi="Times New Roman"/>
            <w:sz w:val="21"/>
            <w:color w:val="004B87"/>
            <w:u w:val="single"/>
          </w:rPr>
          <w:t>10.1056/NEJMra050100</w:t>
        </w:r>
      </w:hyperlink>
      <w:r>
        <w:rPr>
          <w:rFonts w:ascii="Times New Roman" w:hAnsi="Times New Roman"/>
          <w:sz w:val="21"/>
        </w:rPr>
        <w:t>.</w:t>
      </w:r>
    </w:p>
    <w:p>
      <w:pPr>
        <w:spacing w:after="70"/>
        <w:ind w:left="403"/>
        <w:jc w:val="both"/>
      </w:pPr>
      <w:r>
        <w:rPr>
          <w:rFonts w:ascii="Times New Roman" w:hAnsi="Times New Roman"/>
          <w:b/>
          <w:sz w:val="21"/>
        </w:rPr>
        <w:t xml:space="preserve">4. </w:t>
      </w:r>
      <w:r>
        <w:rPr>
          <w:rFonts w:ascii="Times New Roman" w:hAnsi="Times New Roman"/>
          <w:sz w:val="21"/>
        </w:rPr>
        <w:t xml:space="preserve">L. Dayer, S. Heldenbrand, P. Anderson, P. B. Gubbins, and B. C. Martin, "Smartphone medication adherence apps: Potential benefits to patients and providers," </w:t>
      </w:r>
      <w:r>
        <w:rPr>
          <w:rFonts w:ascii="Times New Roman" w:hAnsi="Times New Roman"/>
          <w:i/>
          <w:sz w:val="21"/>
        </w:rPr>
        <w:t>Journal of the American Pharmacists Association</w:t>
      </w:r>
      <w:r>
        <w:rPr>
          <w:rFonts w:ascii="Times New Roman" w:hAnsi="Times New Roman"/>
          <w:sz w:val="21"/>
        </w:rPr>
        <w:t xml:space="preserve">, vol. 53, no. 2, pp. 172–181, 2013. DOI: </w:t>
      </w:r>
      <w:hyperlink r:id="rId15">
        <w:r>
          <w:rPr>
            <w:rFonts w:ascii="Times New Roman" w:hAnsi="Times New Roman"/>
            <w:sz w:val="21"/>
            <w:color w:val="004B87"/>
            <w:u w:val="single"/>
          </w:rPr>
          <w:t>10.1331/JAPhA.2013.12202</w:t>
        </w:r>
      </w:hyperlink>
      <w:r>
        <w:rPr>
          <w:rFonts w:ascii="Times New Roman" w:hAnsi="Times New Roman"/>
          <w:sz w:val="21"/>
        </w:rPr>
        <w:t>.</w:t>
      </w:r>
    </w:p>
    <w:p>
      <w:pPr>
        <w:spacing w:after="70"/>
        <w:ind w:left="403"/>
        <w:jc w:val="both"/>
      </w:pPr>
      <w:r>
        <w:rPr>
          <w:rFonts w:ascii="Times New Roman" w:hAnsi="Times New Roman"/>
          <w:b/>
          <w:sz w:val="21"/>
        </w:rPr>
        <w:t xml:space="preserve">5. </w:t>
      </w:r>
      <w:r>
        <w:rPr>
          <w:rFonts w:ascii="Times New Roman" w:hAnsi="Times New Roman"/>
          <w:sz w:val="21"/>
        </w:rPr>
        <w:t xml:space="preserve">D. E. Morisky, L. W. Green, and D. M. Levine, "Concurrent and predictive validity of a self-reported measure of medication adherence," </w:t>
      </w:r>
      <w:r>
        <w:rPr>
          <w:rFonts w:ascii="Times New Roman" w:hAnsi="Times New Roman"/>
          <w:i/>
          <w:sz w:val="21"/>
        </w:rPr>
        <w:t>Medical Care</w:t>
      </w:r>
      <w:r>
        <w:rPr>
          <w:rFonts w:ascii="Times New Roman" w:hAnsi="Times New Roman"/>
          <w:sz w:val="21"/>
        </w:rPr>
        <w:t xml:space="preserve">, vol. 24, no. 1, pp. 67–74, 1986. DOI: </w:t>
      </w:r>
      <w:hyperlink r:id="rId16">
        <w:r>
          <w:rPr>
            <w:rFonts w:ascii="Times New Roman" w:hAnsi="Times New Roman"/>
            <w:sz w:val="21"/>
            <w:color w:val="004B87"/>
            <w:u w:val="single"/>
          </w:rPr>
          <w:t>10.1097/00005650-198601000-00007</w:t>
        </w:r>
      </w:hyperlink>
      <w:r>
        <w:rPr>
          <w:rFonts w:ascii="Times New Roman" w:hAnsi="Times New Roman"/>
          <w:sz w:val="21"/>
        </w:rPr>
        <w:t>.</w:t>
      </w:r>
    </w:p>
    <w:p>
      <w:pPr>
        <w:spacing w:after="70"/>
        <w:ind w:left="403"/>
        <w:jc w:val="both"/>
      </w:pPr>
      <w:r>
        <w:rPr>
          <w:rFonts w:ascii="Times New Roman" w:hAnsi="Times New Roman"/>
          <w:b/>
          <w:sz w:val="21"/>
        </w:rPr>
        <w:t xml:space="preserve">6. </w:t>
      </w:r>
      <w:r>
        <w:rPr>
          <w:rFonts w:ascii="Times New Roman" w:hAnsi="Times New Roman"/>
          <w:sz w:val="21"/>
        </w:rPr>
        <w:t>D. P. Nau, "Proportion of Days Covered (PDC) as a Preferred Method of Measuring Medication Adherence," Pharmacy Quality Alliance, Springfield, VA, Tech. Rep., 2012.</w:t>
      </w:r>
    </w:p>
    <w:p>
      <w:pPr>
        <w:spacing w:after="70"/>
        <w:ind w:left="403"/>
        <w:jc w:val="both"/>
      </w:pPr>
      <w:r>
        <w:rPr>
          <w:rFonts w:ascii="Times New Roman" w:hAnsi="Times New Roman"/>
          <w:b/>
          <w:sz w:val="21"/>
        </w:rPr>
        <w:t xml:space="preserve">7. </w:t>
      </w:r>
      <w:r>
        <w:rPr>
          <w:rFonts w:ascii="Times New Roman" w:hAnsi="Times New Roman"/>
          <w:sz w:val="21"/>
        </w:rPr>
        <w:t xml:space="preserve">A. D. Fisk, W. A. Rogers, N. Charness, S. J. Czaja, and J. Sharit, </w:t>
      </w:r>
      <w:r>
        <w:rPr>
          <w:rFonts w:ascii="Times New Roman" w:hAnsi="Times New Roman"/>
          <w:i/>
          <w:sz w:val="21"/>
        </w:rPr>
        <w:t>Designing for Older Adults: Principles and Creative Human Factors Approaches</w:t>
      </w:r>
      <w:r>
        <w:rPr>
          <w:rFonts w:ascii="Times New Roman" w:hAnsi="Times New Roman"/>
          <w:sz w:val="21"/>
        </w:rPr>
        <w:t xml:space="preserve">, 2nd ed. Boca Raton, FL, USA: CRC Press, 2009. DOI: </w:t>
      </w:r>
      <w:hyperlink r:id="rId17">
        <w:r>
          <w:rPr>
            <w:rFonts w:ascii="Times New Roman" w:hAnsi="Times New Roman"/>
            <w:sz w:val="21"/>
            <w:color w:val="004B87"/>
            <w:u w:val="single"/>
          </w:rPr>
          <w:t>10.1201/9781420080681</w:t>
        </w:r>
      </w:hyperlink>
      <w:r>
        <w:rPr>
          <w:rFonts w:ascii="Times New Roman" w:hAnsi="Times New Roman"/>
          <w:sz w:val="21"/>
        </w:rPr>
        <w:t>.</w:t>
      </w:r>
    </w:p>
    <w:p>
      <w:pPr>
        <w:spacing w:after="70"/>
        <w:ind w:left="403"/>
        <w:jc w:val="both"/>
      </w:pPr>
      <w:r>
        <w:rPr>
          <w:rFonts w:ascii="Times New Roman" w:hAnsi="Times New Roman"/>
          <w:b/>
          <w:sz w:val="21"/>
        </w:rPr>
        <w:t xml:space="preserve">8. </w:t>
      </w:r>
      <w:r>
        <w:rPr>
          <w:rFonts w:ascii="Times New Roman" w:hAnsi="Times New Roman"/>
          <w:sz w:val="21"/>
        </w:rPr>
        <w:t xml:space="preserve">S. Kurniawan, "Older people and mobile phones: A multi-method investigation," </w:t>
      </w:r>
      <w:r>
        <w:rPr>
          <w:rFonts w:ascii="Times New Roman" w:hAnsi="Times New Roman"/>
          <w:i/>
          <w:sz w:val="21"/>
        </w:rPr>
        <w:t>International Journal of Human-Computer Studies</w:t>
      </w:r>
      <w:r>
        <w:rPr>
          <w:rFonts w:ascii="Times New Roman" w:hAnsi="Times New Roman"/>
          <w:sz w:val="21"/>
        </w:rPr>
        <w:t xml:space="preserve">, vol. 66, no. 12, pp. 889–901, 2008. DOI: </w:t>
      </w:r>
      <w:hyperlink r:id="rId18">
        <w:r>
          <w:rPr>
            <w:rFonts w:ascii="Times New Roman" w:hAnsi="Times New Roman"/>
            <w:sz w:val="21"/>
            <w:color w:val="004B87"/>
            <w:u w:val="single"/>
          </w:rPr>
          <w:t>10.1016/j.ijhcs.2008.03.002</w:t>
        </w:r>
      </w:hyperlink>
      <w:r>
        <w:rPr>
          <w:rFonts w:ascii="Times New Roman" w:hAnsi="Times New Roman"/>
          <w:sz w:val="21"/>
        </w:rPr>
        <w:t>.</w:t>
      </w:r>
    </w:p>
    <w:p>
      <w:pPr>
        <w:spacing w:after="70"/>
        <w:ind w:left="403"/>
        <w:jc w:val="both"/>
      </w:pPr>
      <w:r>
        <w:rPr>
          <w:rFonts w:ascii="Times New Roman" w:hAnsi="Times New Roman"/>
          <w:b/>
          <w:sz w:val="21"/>
        </w:rPr>
        <w:t xml:space="preserve">9. </w:t>
      </w:r>
      <w:r>
        <w:rPr>
          <w:rFonts w:ascii="Times New Roman" w:hAnsi="Times New Roman"/>
          <w:sz w:val="21"/>
        </w:rPr>
        <w:t xml:space="preserve">S. Trewin, C. Swart, and D. Pettick, "Physical accessibility of touchscreen smartphones," in </w:t>
      </w:r>
      <w:r>
        <w:rPr>
          <w:rFonts w:ascii="Times New Roman" w:hAnsi="Times New Roman"/>
          <w:i/>
          <w:sz w:val="21"/>
        </w:rPr>
        <w:t>Proceedings of the 15th International ACM SIGACCESS Conference on Computers and Accessibility (ASSETS '13)</w:t>
      </w:r>
      <w:r>
        <w:rPr>
          <w:rFonts w:ascii="Times New Roman" w:hAnsi="Times New Roman"/>
          <w:sz w:val="21"/>
        </w:rPr>
        <w:t xml:space="preserve">, ACM, New York, NY, USA, Article 17, pp. 1–8, 2013. DOI: </w:t>
      </w:r>
      <w:hyperlink r:id="rId19">
        <w:r>
          <w:rPr>
            <w:rFonts w:ascii="Times New Roman" w:hAnsi="Times New Roman"/>
            <w:sz w:val="21"/>
            <w:color w:val="004B87"/>
            <w:u w:val="single"/>
          </w:rPr>
          <w:t>10.1145/2513383.2513441</w:t>
        </w:r>
      </w:hyperlink>
      <w:r>
        <w:rPr>
          <w:rFonts w:ascii="Times New Roman" w:hAnsi="Times New Roman"/>
          <w:sz w:val="21"/>
        </w:rPr>
        <w:t>.</w:t>
      </w:r>
    </w:p>
    <w:p>
      <w:pPr>
        <w:spacing w:after="70"/>
        <w:ind w:left="403"/>
        <w:jc w:val="both"/>
      </w:pPr>
      <w:r>
        <w:rPr>
          <w:rFonts w:ascii="Times New Roman" w:hAnsi="Times New Roman"/>
          <w:b/>
          <w:sz w:val="21"/>
        </w:rPr>
        <w:t xml:space="preserve">10. </w:t>
      </w:r>
      <w:r>
        <w:rPr>
          <w:rFonts w:ascii="Times New Roman" w:hAnsi="Times New Roman"/>
          <w:sz w:val="21"/>
        </w:rPr>
        <w:t xml:space="preserve">K. A. Siek, Y. Rogers, and K. H. Connelly, "Fat finger worries: How older and younger users physically interact with PDAs," in </w:t>
      </w:r>
      <w:r>
        <w:rPr>
          <w:rFonts w:ascii="Times New Roman" w:hAnsi="Times New Roman"/>
          <w:i/>
          <w:sz w:val="21"/>
        </w:rPr>
        <w:t>Human-Computer Interaction – INTERACT 2005</w:t>
      </w:r>
      <w:r>
        <w:rPr>
          <w:rFonts w:ascii="Times New Roman" w:hAnsi="Times New Roman"/>
          <w:sz w:val="21"/>
        </w:rPr>
        <w:t xml:space="preserve">, LNCS vol. 3585, Springer, Berlin, Heidelberg, pp. 267–280, 2005. DOI: </w:t>
      </w:r>
      <w:hyperlink r:id="rId20">
        <w:r>
          <w:rPr>
            <w:rFonts w:ascii="Times New Roman" w:hAnsi="Times New Roman"/>
            <w:sz w:val="21"/>
            <w:color w:val="004B87"/>
            <w:u w:val="single"/>
          </w:rPr>
          <w:t>10.1007/11555261_24</w:t>
        </w:r>
      </w:hyperlink>
      <w:r>
        <w:rPr>
          <w:rFonts w:ascii="Times New Roman" w:hAnsi="Times New Roman"/>
          <w:sz w:val="21"/>
        </w:rPr>
        <w:t>.</w:t>
      </w:r>
    </w:p>
    <w:p>
      <w:pPr>
        <w:spacing w:after="70"/>
        <w:ind w:left="403"/>
        <w:jc w:val="both"/>
      </w:pPr>
      <w:r>
        <w:rPr>
          <w:rFonts w:ascii="Times New Roman" w:hAnsi="Times New Roman"/>
          <w:b/>
          <w:sz w:val="21"/>
        </w:rPr>
        <w:t xml:space="preserve">11. </w:t>
      </w:r>
      <w:r>
        <w:rPr>
          <w:rFonts w:ascii="Times New Roman" w:hAnsi="Times New Roman"/>
          <w:sz w:val="21"/>
        </w:rPr>
        <w:t xml:space="preserve">G. A. Wildenbos, L. Peute, and M. Jaspers, "Aging barriers influencing mobile health usability for older adults: A literature based framework," </w:t>
      </w:r>
      <w:r>
        <w:rPr>
          <w:rFonts w:ascii="Times New Roman" w:hAnsi="Times New Roman"/>
          <w:i/>
          <w:sz w:val="21"/>
        </w:rPr>
        <w:t>International Journal of Medical Informatics</w:t>
      </w:r>
      <w:r>
        <w:rPr>
          <w:rFonts w:ascii="Times New Roman" w:hAnsi="Times New Roman"/>
          <w:sz w:val="21"/>
        </w:rPr>
        <w:t xml:space="preserve">, vol. 114, pp. 66–75, 2018. DOI: </w:t>
      </w:r>
      <w:hyperlink r:id="rId21">
        <w:r>
          <w:rPr>
            <w:rFonts w:ascii="Times New Roman" w:hAnsi="Times New Roman"/>
            <w:sz w:val="21"/>
            <w:color w:val="004B87"/>
            <w:u w:val="single"/>
          </w:rPr>
          <w:t>10.1016/j.ijmedinf.2018.03.012</w:t>
        </w:r>
      </w:hyperlink>
      <w:r>
        <w:rPr>
          <w:rFonts w:ascii="Times New Roman" w:hAnsi="Times New Roman"/>
          <w:sz w:val="21"/>
        </w:rPr>
        <w:t>.</w:t>
      </w:r>
    </w:p>
    <w:p>
      <w:pPr>
        <w:spacing w:after="70"/>
        <w:ind w:left="403"/>
        <w:jc w:val="both"/>
      </w:pPr>
      <w:r>
        <w:rPr>
          <w:rFonts w:ascii="Times New Roman" w:hAnsi="Times New Roman"/>
          <w:b/>
          <w:sz w:val="21"/>
        </w:rPr>
        <w:t xml:space="preserve">12. </w:t>
      </w:r>
      <w:r>
        <w:rPr>
          <w:rFonts w:ascii="Times New Roman" w:hAnsi="Times New Roman"/>
          <w:sz w:val="21"/>
        </w:rPr>
        <w:t xml:space="preserve">A. J. Stronge, W. A. Rogers, and A. D. Fisk, "Human factors considerations in implementing telemedicine systems to accommodate older adults," </w:t>
      </w:r>
      <w:r>
        <w:rPr>
          <w:rFonts w:ascii="Times New Roman" w:hAnsi="Times New Roman"/>
          <w:i/>
          <w:sz w:val="21"/>
        </w:rPr>
        <w:t>Journal of Telemedicine and Telecare</w:t>
      </w:r>
      <w:r>
        <w:rPr>
          <w:rFonts w:ascii="Times New Roman" w:hAnsi="Times New Roman"/>
          <w:sz w:val="21"/>
        </w:rPr>
        <w:t xml:space="preserve">, vol. 13, no. 1, pp. 1–3, 2007. DOI: </w:t>
      </w:r>
      <w:hyperlink r:id="rId22">
        <w:r>
          <w:rPr>
            <w:rFonts w:ascii="Times New Roman" w:hAnsi="Times New Roman"/>
            <w:sz w:val="21"/>
            <w:color w:val="004B87"/>
            <w:u w:val="single"/>
          </w:rPr>
          <w:t>10.1258/135763307779701201</w:t>
        </w:r>
      </w:hyperlink>
      <w:r>
        <w:rPr>
          <w:rFonts w:ascii="Times New Roman" w:hAnsi="Times New Roman"/>
          <w:sz w:val="21"/>
        </w:rPr>
        <w:t>.</w:t>
      </w:r>
    </w:p>
    <w:p>
      <w:pPr>
        <w:spacing w:after="70"/>
        <w:ind w:left="403"/>
        <w:jc w:val="both"/>
      </w:pPr>
      <w:r>
        <w:rPr>
          <w:rFonts w:ascii="Times New Roman" w:hAnsi="Times New Roman"/>
          <w:b/>
          <w:sz w:val="21"/>
        </w:rPr>
        <w:t xml:space="preserve">13. </w:t>
      </w:r>
      <w:r>
        <w:rPr>
          <w:rFonts w:ascii="Times New Roman" w:hAnsi="Times New Roman"/>
          <w:sz w:val="21"/>
        </w:rPr>
        <w:t xml:space="preserve">J. Brooke, "SUS: A quick and dirty usability scale," in </w:t>
      </w:r>
      <w:r>
        <w:rPr>
          <w:rFonts w:ascii="Times New Roman" w:hAnsi="Times New Roman"/>
          <w:i/>
          <w:sz w:val="21"/>
        </w:rPr>
        <w:t>Usability Evaluation in Industry</w:t>
      </w:r>
      <w:r>
        <w:rPr>
          <w:rFonts w:ascii="Times New Roman" w:hAnsi="Times New Roman"/>
          <w:sz w:val="21"/>
        </w:rPr>
        <w:t>, P. W. Jordan, B. Thomas, B. A. Weerdmeester, and I. L. McClelland, Eds. London, UK: Taylor &amp; Francis, 1996, pp. 189–194.</w:t>
      </w:r>
    </w:p>
    <w:p>
      <w:pPr>
        <w:spacing w:after="70"/>
        <w:ind w:left="403"/>
        <w:jc w:val="both"/>
      </w:pPr>
      <w:r>
        <w:rPr>
          <w:rFonts w:ascii="Times New Roman" w:hAnsi="Times New Roman"/>
          <w:b/>
          <w:sz w:val="21"/>
        </w:rPr>
        <w:t xml:space="preserve">14. </w:t>
      </w:r>
      <w:r>
        <w:rPr>
          <w:rFonts w:ascii="Times New Roman" w:hAnsi="Times New Roman"/>
          <w:sz w:val="21"/>
        </w:rPr>
        <w:t xml:space="preserve">A. Bangor, P. T. Kortum, and J. T. Miller, "An empirical evaluation of the System Usability Scale," </w:t>
      </w:r>
      <w:r>
        <w:rPr>
          <w:rFonts w:ascii="Times New Roman" w:hAnsi="Times New Roman"/>
          <w:i/>
          <w:sz w:val="21"/>
        </w:rPr>
        <w:t>International Journal of Human-Computer Interaction</w:t>
      </w:r>
      <w:r>
        <w:rPr>
          <w:rFonts w:ascii="Times New Roman" w:hAnsi="Times New Roman"/>
          <w:sz w:val="21"/>
        </w:rPr>
        <w:t xml:space="preserve">, vol. 24, no. 6, pp. 574–594, 2008. DOI: </w:t>
      </w:r>
      <w:hyperlink r:id="rId23">
        <w:r>
          <w:rPr>
            <w:rFonts w:ascii="Times New Roman" w:hAnsi="Times New Roman"/>
            <w:sz w:val="21"/>
            <w:color w:val="004B87"/>
            <w:u w:val="single"/>
          </w:rPr>
          <w:t>10.1080/10447310802205776</w:t>
        </w:r>
      </w:hyperlink>
      <w:r>
        <w:rPr>
          <w:rFonts w:ascii="Times New Roman" w:hAnsi="Times New Roman"/>
          <w:sz w:val="21"/>
        </w:rPr>
        <w:t>.</w:t>
      </w:r>
    </w:p>
    <w:p>
      <w:pPr>
        <w:spacing w:after="70"/>
        <w:ind w:left="403"/>
        <w:jc w:val="both"/>
      </w:pPr>
      <w:r>
        <w:rPr>
          <w:rFonts w:ascii="Times New Roman" w:hAnsi="Times New Roman"/>
          <w:b/>
          <w:sz w:val="21"/>
        </w:rPr>
        <w:t xml:space="preserve">15. </w:t>
      </w:r>
      <w:r>
        <w:rPr>
          <w:rFonts w:ascii="Times New Roman" w:hAnsi="Times New Roman"/>
          <w:sz w:val="21"/>
        </w:rPr>
        <w:t xml:space="preserve">J. R. Lewis and J. Sauro, "The factor structure of the System Usability Scale," in </w:t>
      </w:r>
      <w:r>
        <w:rPr>
          <w:rFonts w:ascii="Times New Roman" w:hAnsi="Times New Roman"/>
          <w:i/>
          <w:sz w:val="21"/>
        </w:rPr>
        <w:t>Human Centered Design</w:t>
      </w:r>
      <w:r>
        <w:rPr>
          <w:rFonts w:ascii="Times New Roman" w:hAnsi="Times New Roman"/>
          <w:sz w:val="21"/>
        </w:rPr>
        <w:t xml:space="preserve">, LNCS vol. 5619, Springer, Berlin, Heidelberg, pp. 94–103, 2009. DOI: </w:t>
      </w:r>
      <w:hyperlink r:id="rId24">
        <w:r>
          <w:rPr>
            <w:rFonts w:ascii="Times New Roman" w:hAnsi="Times New Roman"/>
            <w:sz w:val="21"/>
            <w:color w:val="004B87"/>
            <w:u w:val="single"/>
          </w:rPr>
          <w:t>10.1007/978-3-642-02806-9_12</w:t>
        </w:r>
      </w:hyperlink>
      <w:r>
        <w:rPr>
          <w:rFonts w:ascii="Times New Roman" w:hAnsi="Times New Roman"/>
          <w:sz w:val="21"/>
        </w:rPr>
        <w:t>.</w:t>
      </w:r>
    </w:p>
    <w:p>
      <w:pPr>
        <w:spacing w:after="70"/>
        <w:ind w:left="403"/>
        <w:jc w:val="both"/>
      </w:pPr>
      <w:r>
        <w:rPr>
          <w:rFonts w:ascii="Times New Roman" w:hAnsi="Times New Roman"/>
          <w:b/>
          <w:sz w:val="21"/>
        </w:rPr>
        <w:t xml:space="preserve">16. </w:t>
      </w:r>
      <w:r>
        <w:rPr>
          <w:rFonts w:ascii="Times New Roman" w:hAnsi="Times New Roman"/>
          <w:sz w:val="21"/>
        </w:rPr>
        <w:t xml:space="preserve">M. Kleppmann, A. Wiggins, P. van Hardenberg, and M. McGranaghan, "Local-first software: You own your data, in spite of the cloud," in </w:t>
      </w:r>
      <w:r>
        <w:rPr>
          <w:rFonts w:ascii="Times New Roman" w:hAnsi="Times New Roman"/>
          <w:i/>
          <w:sz w:val="21"/>
        </w:rPr>
        <w:t>Proceedings of the 2019 ACM SIGPLAN International Symposium on New Ideas, New Paradigms, and Reflections on Programming and Software (Onward! 2019)</w:t>
      </w:r>
      <w:r>
        <w:rPr>
          <w:rFonts w:ascii="Times New Roman" w:hAnsi="Times New Roman"/>
          <w:sz w:val="21"/>
        </w:rPr>
        <w:t xml:space="preserve">, ACM, New York, NY, USA, pp. 178–193, 2019. DOI: </w:t>
      </w:r>
      <w:hyperlink r:id="rId25">
        <w:r>
          <w:rPr>
            <w:rFonts w:ascii="Times New Roman" w:hAnsi="Times New Roman"/>
            <w:sz w:val="21"/>
            <w:color w:val="004B87"/>
            <w:u w:val="single"/>
          </w:rPr>
          <w:t>10.1145/3359591.3359737</w:t>
        </w:r>
      </w:hyperlink>
      <w:r>
        <w:rPr>
          <w:rFonts w:ascii="Times New Roman" w:hAnsi="Times New Roman"/>
          <w:sz w:val="21"/>
        </w:rPr>
        <w:t>.</w:t>
      </w:r>
    </w:p>
    <w:p>
      <w:pPr>
        <w:spacing w:after="70"/>
        <w:ind w:left="403"/>
        <w:jc w:val="both"/>
      </w:pPr>
      <w:r>
        <w:rPr>
          <w:rFonts w:ascii="Times New Roman" w:hAnsi="Times New Roman"/>
          <w:b/>
          <w:sz w:val="21"/>
        </w:rPr>
        <w:t xml:space="preserve">17. </w:t>
      </w:r>
      <w:r>
        <w:rPr>
          <w:rFonts w:ascii="Times New Roman" w:hAnsi="Times New Roman"/>
          <w:sz w:val="21"/>
        </w:rPr>
        <w:t xml:space="preserve">W3C Web Accessibility Initiative, "Web Content Accessibility Guidelines (WCAG) 2.1," W3C Recommendation, 2018. URL: </w:t>
      </w:r>
      <w:hyperlink r:id="rId26">
        <w:r>
          <w:rPr>
            <w:rFonts w:ascii="Times New Roman" w:hAnsi="Times New Roman"/>
            <w:sz w:val="21"/>
            <w:color w:val="004B87"/>
            <w:u w:val="single"/>
          </w:rPr>
          <w:t>https://www.w3.org/TR/WCAG21/</w:t>
        </w:r>
      </w:hyperlink>
      <w:r>
        <w:rPr>
          <w:rFonts w:ascii="Times New Roman" w:hAnsi="Times New Roman"/>
          <w:sz w:val="21"/>
        </w:rPr>
        <w:t>.</w:t>
      </w:r>
    </w:p>
    <w:p>
      <w:pPr>
        <w:spacing w:after="70"/>
        <w:ind w:left="403"/>
        <w:jc w:val="both"/>
      </w:pPr>
      <w:r>
        <w:rPr>
          <w:rFonts w:ascii="Times New Roman" w:hAnsi="Times New Roman"/>
          <w:b/>
          <w:sz w:val="21"/>
        </w:rPr>
        <w:t xml:space="preserve">18. </w:t>
      </w:r>
      <w:r>
        <w:rPr>
          <w:rFonts w:ascii="Times New Roman" w:hAnsi="Times New Roman"/>
          <w:sz w:val="21"/>
        </w:rPr>
        <w:t>European Telecommunications Standards Institute, "Emergency Communications (EMTEL); European Public Safety Answering Point (PSAP)," ETSI TS 103 479 V1.1.1, 2020.</w:t>
      </w:r>
    </w:p>
    <w:p>
      <w:pPr>
        <w:spacing w:after="70"/>
        <w:ind w:left="403"/>
        <w:jc w:val="both"/>
      </w:pPr>
      <w:r>
        <w:rPr>
          <w:rFonts w:ascii="Times New Roman" w:hAnsi="Times New Roman"/>
          <w:b/>
          <w:sz w:val="21"/>
        </w:rPr>
        <w:t xml:space="preserve">19. </w:t>
      </w:r>
      <w:r>
        <w:rPr>
          <w:rFonts w:ascii="Times New Roman" w:hAnsi="Times New Roman"/>
          <w:sz w:val="21"/>
        </w:rPr>
        <w:t>International Telecommunication Union, "International public telecommunication numbering plan: Emergency numbers," ITU-T Recommendation E.161.1, 2008.</w:t>
      </w:r>
    </w:p>
    <w:p>
      <w:pPr>
        <w:spacing w:after="70"/>
        <w:ind w:left="403"/>
        <w:jc w:val="both"/>
      </w:pPr>
      <w:r>
        <w:rPr>
          <w:rFonts w:ascii="Times New Roman" w:hAnsi="Times New Roman"/>
          <w:b/>
          <w:sz w:val="21"/>
        </w:rPr>
        <w:t xml:space="preserve">20. </w:t>
      </w:r>
      <w:r>
        <w:rPr>
          <w:rFonts w:ascii="Times New Roman" w:hAnsi="Times New Roman"/>
          <w:sz w:val="21"/>
        </w:rPr>
        <w:t xml:space="preserve">P. M. Fitts, "The information capacity of the human motor system in controlling the amplitude of movement," </w:t>
      </w:r>
      <w:r>
        <w:rPr>
          <w:rFonts w:ascii="Times New Roman" w:hAnsi="Times New Roman"/>
          <w:i/>
          <w:sz w:val="21"/>
        </w:rPr>
        <w:t>Journal of Experimental Psychology</w:t>
      </w:r>
      <w:r>
        <w:rPr>
          <w:rFonts w:ascii="Times New Roman" w:hAnsi="Times New Roman"/>
          <w:sz w:val="21"/>
        </w:rPr>
        <w:t xml:space="preserve">, vol. 47, no. 6, pp. 381–391, 1954. DOI: </w:t>
      </w:r>
      <w:hyperlink r:id="rId27">
        <w:r>
          <w:rPr>
            <w:rFonts w:ascii="Times New Roman" w:hAnsi="Times New Roman"/>
            <w:sz w:val="21"/>
            <w:color w:val="004B87"/>
            <w:u w:val="single"/>
          </w:rPr>
          <w:t>10.1037/h0055392</w:t>
        </w:r>
      </w:hyperlink>
      <w:r>
        <w:rPr>
          <w:rFonts w:ascii="Times New Roman" w:hAnsi="Times New Roman"/>
          <w:sz w:val="21"/>
        </w:rPr>
        <w:t>.</w:t>
      </w:r>
    </w:p>
    <w:p>
      <w:pPr>
        <w:spacing w:after="70"/>
        <w:ind w:left="403"/>
        <w:jc w:val="both"/>
      </w:pPr>
      <w:r>
        <w:rPr>
          <w:rFonts w:ascii="Times New Roman" w:hAnsi="Times New Roman"/>
          <w:b/>
          <w:sz w:val="21"/>
        </w:rPr>
        <w:t xml:space="preserve">21. </w:t>
      </w:r>
      <w:r>
        <w:rPr>
          <w:rFonts w:ascii="Times New Roman" w:hAnsi="Times New Roman"/>
          <w:sz w:val="21"/>
        </w:rPr>
        <w:t xml:space="preserve">I. S. MacKenzie and W. Buxton, "Extending Fitts' law to two-dimensional tasks," in </w:t>
      </w:r>
      <w:r>
        <w:rPr>
          <w:rFonts w:ascii="Times New Roman" w:hAnsi="Times New Roman"/>
          <w:i/>
          <w:sz w:val="21"/>
        </w:rPr>
        <w:t>Proceedings of the SIGCHI Conference on Human Factors in Computing Systems (CHI '92)</w:t>
      </w:r>
      <w:r>
        <w:rPr>
          <w:rFonts w:ascii="Times New Roman" w:hAnsi="Times New Roman"/>
          <w:sz w:val="21"/>
        </w:rPr>
        <w:t xml:space="preserve">, ACM, New York, NY, USA, pp. 219–226, 1992. DOI: </w:t>
      </w:r>
      <w:hyperlink r:id="rId28">
        <w:r>
          <w:rPr>
            <w:rFonts w:ascii="Times New Roman" w:hAnsi="Times New Roman"/>
            <w:sz w:val="21"/>
            <w:color w:val="004B87"/>
            <w:u w:val="single"/>
          </w:rPr>
          <w:t>10.1145/142750.142794</w:t>
        </w:r>
      </w:hyperlink>
      <w:r>
        <w:rPr>
          <w:rFonts w:ascii="Times New Roman" w:hAnsi="Times New Roman"/>
          <w:sz w:val="21"/>
        </w:rPr>
        <w:t>.</w:t>
      </w:r>
    </w:p>
    <w:p>
      <w:pPr>
        <w:spacing w:after="70"/>
        <w:ind w:left="403"/>
        <w:jc w:val="both"/>
      </w:pPr>
      <w:r>
        <w:rPr>
          <w:rFonts w:ascii="Times New Roman" w:hAnsi="Times New Roman"/>
          <w:b/>
          <w:sz w:val="21"/>
        </w:rPr>
        <w:t xml:space="preserve">22. </w:t>
      </w:r>
      <w:r>
        <w:rPr>
          <w:rFonts w:ascii="Times New Roman" w:hAnsi="Times New Roman"/>
          <w:sz w:val="21"/>
        </w:rPr>
        <w:t xml:space="preserve">American Diabetes Association, "Standards of Care in Diabetes—2023," </w:t>
      </w:r>
      <w:r>
        <w:rPr>
          <w:rFonts w:ascii="Times New Roman" w:hAnsi="Times New Roman"/>
          <w:i/>
          <w:sz w:val="21"/>
        </w:rPr>
        <w:t>Diabetes Care</w:t>
      </w:r>
      <w:r>
        <w:rPr>
          <w:rFonts w:ascii="Times New Roman" w:hAnsi="Times New Roman"/>
          <w:sz w:val="21"/>
        </w:rPr>
        <w:t xml:space="preserve">, vol. 46, no. Suppl. 1, pp. S1–S291, 2023. DOI: </w:t>
      </w:r>
      <w:hyperlink r:id="rId29">
        <w:r>
          <w:rPr>
            <w:rFonts w:ascii="Times New Roman" w:hAnsi="Times New Roman"/>
            <w:sz w:val="21"/>
            <w:color w:val="004B87"/>
            <w:u w:val="single"/>
          </w:rPr>
          <w:t>10.2337/dc23-Srev01</w:t>
        </w:r>
      </w:hyperlink>
      <w:r>
        <w:rPr>
          <w:rFonts w:ascii="Times New Roman" w:hAnsi="Times New Roman"/>
          <w:sz w:val="21"/>
        </w:rPr>
        <w:t>.</w:t>
      </w:r>
    </w:p>
    <w:p>
      <w:pPr>
        <w:spacing w:after="70"/>
        <w:ind w:left="403"/>
        <w:jc w:val="both"/>
      </w:pPr>
      <w:r>
        <w:rPr>
          <w:rFonts w:ascii="Times New Roman" w:hAnsi="Times New Roman"/>
          <w:b/>
          <w:sz w:val="21"/>
        </w:rPr>
        <w:t xml:space="preserve">23. </w:t>
      </w:r>
      <w:r>
        <w:rPr>
          <w:rFonts w:ascii="Times New Roman" w:hAnsi="Times New Roman"/>
          <w:sz w:val="21"/>
        </w:rPr>
        <w:t xml:space="preserve">Android Open Source Project, "Guide to app architecture: Offline-first design and background alarm scheduling," Google Developer Documentation, 2024. URL: </w:t>
      </w:r>
      <w:hyperlink r:id="rId30">
        <w:r>
          <w:rPr>
            <w:rFonts w:ascii="Times New Roman" w:hAnsi="Times New Roman"/>
            <w:sz w:val="21"/>
            <w:color w:val="004B87"/>
            <w:u w:val="single"/>
          </w:rPr>
          <w:t>https://developer.android.com/topic/architecture/data-layer/offline-first</w:t>
        </w:r>
      </w:hyperlink>
      <w:r>
        <w:rPr>
          <w:rFonts w:ascii="Times New Roman" w:hAnsi="Times New Roman"/>
          <w:sz w:val="21"/>
        </w:rPr>
        <w:t>.</w:t>
      </w:r>
    </w:p>
    <w:p>
      <w:pPr>
        <w:spacing w:after="70"/>
        <w:ind w:left="403"/>
        <w:jc w:val="both"/>
      </w:pPr>
      <w:r>
        <w:rPr>
          <w:rFonts w:ascii="Times New Roman" w:hAnsi="Times New Roman"/>
          <w:b/>
          <w:sz w:val="21"/>
        </w:rPr>
        <w:t xml:space="preserve">24. </w:t>
      </w:r>
      <w:r>
        <w:rPr>
          <w:rFonts w:ascii="Times New Roman" w:hAnsi="Times New Roman"/>
          <w:sz w:val="21"/>
        </w:rPr>
        <w:t xml:space="preserve">A. M. Piper, R. Campbell, and J. D. Hollan, "Exploring the accessibility and appeal of surface computing for older adult health care support," in </w:t>
      </w:r>
      <w:r>
        <w:rPr>
          <w:rFonts w:ascii="Times New Roman" w:hAnsi="Times New Roman"/>
          <w:i/>
          <w:sz w:val="21"/>
        </w:rPr>
        <w:t>Proceedings of the SIGCHI Conference on Human Factors in Computing Systems (CHI '10)</w:t>
      </w:r>
      <w:r>
        <w:rPr>
          <w:rFonts w:ascii="Times New Roman" w:hAnsi="Times New Roman"/>
          <w:sz w:val="21"/>
        </w:rPr>
        <w:t xml:space="preserve">, ACM, New York, NY, USA, pp. 907–916, 2010. DOI: </w:t>
      </w:r>
      <w:hyperlink r:id="rId31">
        <w:r>
          <w:rPr>
            <w:rFonts w:ascii="Times New Roman" w:hAnsi="Times New Roman"/>
            <w:sz w:val="21"/>
            <w:color w:val="004B87"/>
            <w:u w:val="single"/>
          </w:rPr>
          <w:t>10.1145/1753326.1753461</w:t>
        </w:r>
      </w:hyperlink>
      <w:r>
        <w:rPr>
          <w:rFonts w:ascii="Times New Roman" w:hAnsi="Times New Roman"/>
          <w:sz w:val="21"/>
        </w:rPr>
        <w: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A0AEC0"/>
        <w:sz w:val="17"/>
      </w:rPr>
      <w:t>Preprint — Under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18096"/>
        <w:sz w:val="17"/>
      </w:rPr>
      <w:t>Dosezy: Local-First, Accessibility-Centric Android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A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i.org/10.1001/jama.288.22.2880" TargetMode="External"/><Relationship Id="rId14" Type="http://schemas.openxmlformats.org/officeDocument/2006/relationships/hyperlink" Target="https://doi.org/10.1056/NEJMra050100" TargetMode="External"/><Relationship Id="rId15" Type="http://schemas.openxmlformats.org/officeDocument/2006/relationships/hyperlink" Target="https://doi.org/10.1331/JAPhA.2013.12202" TargetMode="External"/><Relationship Id="rId16" Type="http://schemas.openxmlformats.org/officeDocument/2006/relationships/hyperlink" Target="https://doi.org/10.1097/00005650-198601000-00007" TargetMode="External"/><Relationship Id="rId17" Type="http://schemas.openxmlformats.org/officeDocument/2006/relationships/hyperlink" Target="https://doi.org/10.1201/9781420080681" TargetMode="External"/><Relationship Id="rId18" Type="http://schemas.openxmlformats.org/officeDocument/2006/relationships/hyperlink" Target="https://doi.org/10.1016/j.ijhcs.2008.03.002" TargetMode="External"/><Relationship Id="rId19" Type="http://schemas.openxmlformats.org/officeDocument/2006/relationships/hyperlink" Target="https://doi.org/10.1145/2513383.2513441" TargetMode="External"/><Relationship Id="rId20" Type="http://schemas.openxmlformats.org/officeDocument/2006/relationships/hyperlink" Target="https://doi.org/10.1007/11555261_24" TargetMode="External"/><Relationship Id="rId21" Type="http://schemas.openxmlformats.org/officeDocument/2006/relationships/hyperlink" Target="https://doi.org/10.1016/j.ijmedinf.2018.03.012" TargetMode="External"/><Relationship Id="rId22" Type="http://schemas.openxmlformats.org/officeDocument/2006/relationships/hyperlink" Target="https://doi.org/10.1258/135763307779701201" TargetMode="External"/><Relationship Id="rId23" Type="http://schemas.openxmlformats.org/officeDocument/2006/relationships/hyperlink" Target="https://doi.org/10.1080/10447310802205776" TargetMode="External"/><Relationship Id="rId24" Type="http://schemas.openxmlformats.org/officeDocument/2006/relationships/hyperlink" Target="https://doi.org/10.1007/978-3-642-02806-9_12" TargetMode="External"/><Relationship Id="rId25" Type="http://schemas.openxmlformats.org/officeDocument/2006/relationships/hyperlink" Target="https://doi.org/10.1145/3359591.3359737" TargetMode="External"/><Relationship Id="rId26" Type="http://schemas.openxmlformats.org/officeDocument/2006/relationships/hyperlink" Target="https://www.w3.org/TR/WCAG21/" TargetMode="External"/><Relationship Id="rId27" Type="http://schemas.openxmlformats.org/officeDocument/2006/relationships/hyperlink" Target="https://doi.org/10.1037/h0055392" TargetMode="External"/><Relationship Id="rId28" Type="http://schemas.openxmlformats.org/officeDocument/2006/relationships/hyperlink" Target="https://doi.org/10.1145/142750.142794" TargetMode="External"/><Relationship Id="rId29" Type="http://schemas.openxmlformats.org/officeDocument/2006/relationships/hyperlink" Target="https://doi.org/10.2337/dc23-Srev01" TargetMode="External"/><Relationship Id="rId30" Type="http://schemas.openxmlformats.org/officeDocument/2006/relationships/hyperlink" Target="https://developer.android.com/topic/architecture/data-layer/offline-first" TargetMode="External"/><Relationship Id="rId31" Type="http://schemas.openxmlformats.org/officeDocument/2006/relationships/hyperlink" Target="https://doi.org/10.1145/1753326.1753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