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b/>
          <w:color w:val="1E3A8A"/>
          <w:sz w:val="32"/>
        </w:rPr>
        <w:t>Declarations of Interest and Data Availability Statement</w:t>
      </w:r>
    </w:p>
    <w:p>
      <w:pPr>
        <w:spacing w:after="280"/>
        <w:jc w:val="center"/>
      </w:pPr>
      <w:r>
        <w:rPr>
          <w:rFonts w:ascii="Georgia" w:hAnsi="Georgia"/>
          <w:i/>
          <w:color w:val="4B5563"/>
          <w:sz w:val="20"/>
        </w:rPr>
        <w:t>Manuscript Title: An Accessibility-First Mobile Platform for Medication Adherence and Tracking Among Elderly Users</w:t>
      </w:r>
    </w:p>
    <w:p>
      <w:pPr>
        <w:spacing w:before="200" w:after="80"/>
      </w:pPr>
      <w:r>
        <w:rPr>
          <w:rFonts w:ascii="Calibri" w:hAnsi="Calibri"/>
          <w:b/>
          <w:color w:val="1E3A8A"/>
          <w:sz w:val="24"/>
        </w:rPr>
        <w:t>1. Declaration of Conflict of Interest</w:t>
      </w:r>
    </w:p>
    <w:p>
      <w:pPr>
        <w:spacing w:after="200"/>
        <w:jc w:val="both"/>
      </w:pPr>
      <w:r>
        <w:rPr>
          <w:rFonts w:ascii="Georgia" w:hAnsi="Georgia"/>
          <w:sz w:val="20"/>
        </w:rPr>
        <w:t>The authors declare that they have no known competing financial interests or personal relationships that could have appeared to influence the work reported in this paper. This research received no external grant or commercial funding.</w:t>
      </w:r>
    </w:p>
    <w:p>
      <w:pPr>
        <w:spacing w:before="200" w:after="80"/>
      </w:pPr>
      <w:r>
        <w:rPr>
          <w:rFonts w:ascii="Calibri" w:hAnsi="Calibri"/>
          <w:b/>
          <w:color w:val="1E3A8A"/>
          <w:sz w:val="24"/>
        </w:rPr>
        <w:t>2. Data and Code Availability Statement</w:t>
      </w:r>
    </w:p>
    <w:p>
      <w:pPr>
        <w:spacing w:after="200"/>
        <w:jc w:val="both"/>
      </w:pPr>
      <w:r>
        <w:rPr>
          <w:rFonts w:ascii="Georgia" w:hAnsi="Georgia"/>
          <w:sz w:val="20"/>
        </w:rPr>
        <w:t>The software source code, specifications, and supplementary evaluation datasets referenced in this manuscript are open-source and publicly accessible under the MIT License. The raw evaluation metrics are provided in the attached CSV supplementary dataset.</w:t>
      </w:r>
    </w:p>
    <w:p>
      <w:pPr>
        <w:spacing w:before="200" w:after="80"/>
      </w:pPr>
      <w:r>
        <w:rPr>
          <w:rFonts w:ascii="Calibri" w:hAnsi="Calibri"/>
          <w:b/>
          <w:color w:val="1E3A8A"/>
          <w:sz w:val="24"/>
        </w:rPr>
        <w:t>3. Ethical Compliance Statement</w:t>
      </w:r>
    </w:p>
    <w:p>
      <w:pPr>
        <w:spacing w:after="200"/>
        <w:jc w:val="both"/>
      </w:pPr>
      <w:r>
        <w:rPr>
          <w:rFonts w:ascii="Georgia" w:hAnsi="Georgia"/>
          <w:sz w:val="20"/>
        </w:rPr>
        <w:t>All senior usability evaluation procedures were conducted in accordance with ethical human-computer interaction standards. Informed consent was obtained from all 20 study participants prior to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