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C2420"/>
          <w:sz w:val="52"/>
        </w:rPr>
        <w:t>SAADAA Sourcing Dashboard</w:t>
      </w:r>
    </w:p>
    <w:p>
      <w:r>
        <w:rPr>
          <w:i/>
          <w:color w:val="6E695E"/>
          <w:sz w:val="22"/>
        </w:rPr>
        <w:t>User Guide  ·  how to read it, where the data comes from, and how every number is calculated</w:t>
      </w:r>
    </w:p>
    <w:p>
      <w:r>
        <w:rPr>
          <w:b w:val="0"/>
          <w:i w:val="0"/>
          <w:color w:val="6E695E"/>
          <w:sz w:val="19"/>
        </w:rPr>
        <w:t>Version 1.0</w:t>
      </w:r>
    </w:p>
    <w:p>
      <w:r>
        <w:rPr>
          <w:b w:val="0"/>
          <w:i w:val="0"/>
          <w:sz w:val="21"/>
        </w:rPr>
        <w:t>This guide is written for everyday users. You do not need any technical background to follow it. It explains what the dashboard shows, where the numbers come from, how to move around, and exactly how each figure is worked out.</w:t>
      </w:r>
    </w:p>
    <w:p>
      <w:pPr>
        <w:pBdr>
          <w:bottom w:val="single" w:sz="6" w:space="4" w:color="E7E2D2"/>
        </w:pBdr>
      </w:pPr>
      <w:r>
        <w:rPr>
          <w:b/>
          <w:color w:val="2C2420"/>
          <w:sz w:val="34"/>
        </w:rPr>
        <w:t>1. The big picture — where the data comes from</w:t>
      </w:r>
    </w:p>
    <w:p>
      <w:r>
        <w:rPr>
          <w:b w:val="0"/>
          <w:i w:val="0"/>
          <w:sz w:val="21"/>
        </w:rPr>
        <w:t>Every number on the dashboard traces back to one Google Sheet. Nothing is typed into the dashboard by hand.</w:t>
      </w:r>
    </w:p>
    <w:p>
      <w:r>
        <w:rPr>
          <w:b/>
          <w:color w:val="B58A14"/>
          <w:sz w:val="25"/>
        </w:rPr>
        <w:t>The source: one Google Sheet</w:t>
      </w:r>
    </w:p>
    <w:p>
      <w:r>
        <w:rPr>
          <w:b w:val="0"/>
          <w:i w:val="0"/>
          <w:sz w:val="21"/>
        </w:rPr>
        <w:t>The sourcing team maintains a Google Sheet with four tabs. Each tab feeds a different part of the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2C2420"/>
          </w:tcPr>
          <w:p>
            <w:r>
              <w:rPr>
                <w:b/>
                <w:color w:val="FFFFFF"/>
                <w:sz w:val="19"/>
              </w:rPr>
              <w:t>Sheet tab</w:t>
            </w:r>
          </w:p>
        </w:tc>
        <w:tc>
          <w:tcPr>
            <w:tcW w:type="dxa" w:w="4464"/>
            <w:shd w:val="clear" w:color="auto" w:fill="2C2420"/>
          </w:tcPr>
          <w:p>
            <w:r>
              <w:rPr>
                <w:b/>
                <w:color w:val="FFFFFF"/>
                <w:sz w:val="19"/>
              </w:rPr>
              <w:t>What it holds</w:t>
            </w:r>
          </w:p>
        </w:tc>
        <w:tc>
          <w:tcPr>
            <w:tcW w:type="dxa" w:w="3168"/>
            <w:shd w:val="clear" w:color="auto" w:fill="2C2420"/>
          </w:tcPr>
          <w:p>
            <w:r>
              <w:rPr>
                <w:b/>
                <w:color w:val="FFFFFF"/>
                <w:sz w:val="19"/>
              </w:rPr>
              <w:t>Feeds</w:t>
            </w:r>
          </w:p>
        </w:tc>
      </w:tr>
      <w:tr>
        <w:tc>
          <w:tcPr>
            <w:tcW w:type="dxa" w:w="2448"/>
          </w:tcPr>
          <w:p>
            <w:r>
              <w:rPr>
                <w:b/>
                <w:sz w:val="19"/>
              </w:rPr>
              <w:t>Pending_PO_MASTER</w:t>
            </w:r>
          </w:p>
        </w:tc>
        <w:tc>
          <w:tcPr>
            <w:tcW w:type="dxa" w:w="4464"/>
          </w:tcPr>
          <w:p>
            <w:r>
              <w:rPr>
                <w:sz w:val="19"/>
              </w:rPr>
              <w:t>Every purchase-order line: quantities, prices, delivery dates, vendor, product.</w:t>
            </w:r>
          </w:p>
        </w:tc>
        <w:tc>
          <w:tcPr>
            <w:tcW w:type="dxa" w:w="3168"/>
          </w:tcPr>
          <w:p>
            <w:r>
              <w:rPr>
                <w:sz w:val="19"/>
              </w:rPr>
              <w:t>Almost every card, chart and table (the heart of the dashboard).</w:t>
            </w:r>
          </w:p>
        </w:tc>
      </w:tr>
      <w:tr>
        <w:tc>
          <w:tcPr>
            <w:tcW w:type="dxa" w:w="2448"/>
            <w:shd w:val="clear" w:color="auto" w:fill="FBF7EF"/>
          </w:tcPr>
          <w:p>
            <w:r>
              <w:rPr>
                <w:b/>
                <w:sz w:val="19"/>
              </w:rPr>
              <w:t>Vendor_Type_Master</w:t>
            </w:r>
          </w:p>
        </w:tc>
        <w:tc>
          <w:tcPr>
            <w:tcW w:type="dxa" w:w="4464"/>
            <w:shd w:val="clear" w:color="auto" w:fill="FBF7EF"/>
          </w:tcPr>
          <w:p>
            <w:r>
              <w:rPr>
                <w:sz w:val="19"/>
              </w:rPr>
              <w:t>Each vendor's type (Woven / Knit), merchant owner, and active status.</w:t>
            </w:r>
          </w:p>
        </w:tc>
        <w:tc>
          <w:tcPr>
            <w:tcW w:type="dxa" w:w="3168"/>
            <w:shd w:val="clear" w:color="auto" w:fill="FBF7EF"/>
          </w:tcPr>
          <w:p>
            <w:r>
              <w:rPr>
                <w:sz w:val="19"/>
              </w:rPr>
              <w:t>Vendor Type split, merchant grouping, active-vendor counts.</w:t>
            </w:r>
          </w:p>
        </w:tc>
      </w:tr>
      <w:tr>
        <w:tc>
          <w:tcPr>
            <w:tcW w:type="dxa" w:w="2448"/>
          </w:tcPr>
          <w:p>
            <w:r>
              <w:rPr>
                <w:b/>
                <w:sz w:val="19"/>
              </w:rPr>
              <w:t>Vendor Master Data</w:t>
            </w:r>
          </w:p>
        </w:tc>
        <w:tc>
          <w:tcPr>
            <w:tcW w:type="dxa" w:w="4464"/>
          </w:tcPr>
          <w:p>
            <w:r>
              <w:rPr>
                <w:sz w:val="19"/>
              </w:rPr>
              <w:t>Each vendor's monthly capacity, machines and karigar counts.</w:t>
            </w:r>
          </w:p>
        </w:tc>
        <w:tc>
          <w:tcPr>
            <w:tcW w:type="dxa" w:w="3168"/>
          </w:tcPr>
          <w:p>
            <w:r>
              <w:rPr>
                <w:sz w:val="19"/>
              </w:rPr>
              <w:t>Capacity, utilisation and the Vendor Recommendation leaderboards.</w:t>
            </w:r>
          </w:p>
        </w:tc>
      </w:tr>
      <w:tr>
        <w:tc>
          <w:tcPr>
            <w:tcW w:type="dxa" w:w="2448"/>
            <w:shd w:val="clear" w:color="auto" w:fill="FBF7EF"/>
          </w:tcPr>
          <w:p>
            <w:r>
              <w:rPr>
                <w:b/>
                <w:sz w:val="19"/>
              </w:rPr>
              <w:t>TNA Tracker</w:t>
            </w:r>
          </w:p>
        </w:tc>
        <w:tc>
          <w:tcPr>
            <w:tcW w:type="dxa" w:w="4464"/>
            <w:shd w:val="clear" w:color="auto" w:fill="FBF7EF"/>
          </w:tcPr>
          <w:p>
            <w:r>
              <w:rPr>
                <w:sz w:val="19"/>
              </w:rPr>
              <w:t>Production milestone dates (PP Sample, GPT, Cutting, Inline) and the delay at each step.</w:t>
            </w:r>
          </w:p>
        </w:tc>
        <w:tc>
          <w:tcPr>
            <w:tcW w:type="dxa" w:w="3168"/>
            <w:shd w:val="clear" w:color="auto" w:fill="FBF7EF"/>
          </w:tcPr>
          <w:p>
            <w:r>
              <w:rPr>
                <w:sz w:val="19"/>
              </w:rPr>
              <w:t>TNA stage, TNA days, and TNA punctuality.</w:t>
            </w:r>
          </w:p>
        </w:tc>
      </w:tr>
    </w:tbl>
    <w:p>
      <w:r>
        <w:rPr>
          <w:b/>
          <w:color w:val="B58A14"/>
          <w:sz w:val="25"/>
        </w:rPr>
        <w:t>How the sheet reaches the dashboard</w:t>
      </w:r>
    </w:p>
    <w:p>
      <w:r>
        <w:rPr>
          <w:b w:val="0"/>
          <w:i w:val="0"/>
          <w:sz w:val="21"/>
        </w:rPr>
        <w:t>A small automation (a Google Apps Script) copies the sheet into a secure database (Supabase) automatically:</w:t>
      </w:r>
    </w:p>
    <w:p>
      <w:pPr>
        <w:pStyle w:val="ListNumber"/>
      </w:pPr>
      <w:r>
        <w:t>The script runs every 5 minutes, and also whenever the sheet is edited.</w:t>
      </w:r>
    </w:p>
    <w:p>
      <w:pPr>
        <w:pStyle w:val="ListNumber"/>
      </w:pPr>
      <w:r>
        <w:t>It reads each of the four tabs and writes the rows into the database.</w:t>
      </w:r>
    </w:p>
    <w:p>
      <w:pPr>
        <w:pStyle w:val="ListNumber"/>
      </w:pPr>
      <w:r>
        <w:t>Only the rows found in the most recent run are marked “active”. Rows that disappear from the sheet are marked inactive and drop off the dashboard.</w:t>
      </w:r>
    </w:p>
    <w:p>
      <w:pPr>
        <w:pStyle w:val="ListNumber"/>
      </w:pPr>
      <w:r>
        <w:t>The dashboard reads the active rows from the database every time someone opens it.</w:t>
      </w:r>
    </w:p>
    <w:p>
      <w:r>
        <w:rPr>
          <w:b/>
          <w:i w:val="0"/>
          <w:sz w:val="21"/>
        </w:rPr>
        <w:t>In short:</w:t>
      </w:r>
    </w:p>
    <w:p>
      <w:r>
        <w:rPr>
          <w:b/>
          <w:i w:val="0"/>
          <w:color w:val="B58A14"/>
          <w:sz w:val="22"/>
        </w:rPr>
        <w:t>Google Sheet   →   (auto-sync every 5 minutes)   →   Supabase database   →   Dashboard</w:t>
      </w:r>
    </w:p>
    <w:p>
      <w:r>
        <w:rPr>
          <w:b w:val="0"/>
          <w:i/>
          <w:color w:val="6E695E"/>
          <w:sz w:val="21"/>
        </w:rPr>
        <w:t>The time stamp in the top-right corner (“BUILD …”) shows when the dashboard last loaded its data.</w:t>
      </w:r>
    </w:p>
    <w:p>
      <w:r>
        <w:rPr>
          <w:b/>
          <w:color w:val="B58A14"/>
          <w:sz w:val="25"/>
        </w:rPr>
        <w:t>Two things that are important to remember</w:t>
      </w:r>
    </w:p>
    <w:p>
      <w:pPr>
        <w:pStyle w:val="ListBullet"/>
      </w:pPr>
      <w:r>
        <w:t>The dashboard is a mirror of the sheet. If a column in the sheet is emptied, renamed, or a formula breaks, the dashboard will show blanks or zeros for that field — because that is what the sheet now contains. Fix the sheet, wait for the next sync, and the dashboard fills back in.</w:t>
      </w:r>
    </w:p>
    <w:p>
      <w:pPr>
        <w:pStyle w:val="ListBullet"/>
      </w:pPr>
      <w:r>
        <w:t>Changes are not instant. After editing the sheet, allow up to ~5 minutes for the sync, then refresh the dashboard.</w:t>
      </w:r>
    </w:p>
    <w:p>
      <w:pPr>
        <w:pBdr>
          <w:bottom w:val="single" w:sz="6" w:space="4" w:color="E7E2D2"/>
        </w:pBdr>
      </w:pPr>
      <w:r>
        <w:rPr>
          <w:b/>
          <w:color w:val="2C2420"/>
          <w:sz w:val="34"/>
        </w:rPr>
        <w:t>2. How to move around the dashboard</w:t>
      </w:r>
    </w:p>
    <w:p>
      <w:r>
        <w:rPr>
          <w:b/>
          <w:color w:val="B58A14"/>
          <w:sz w:val="25"/>
        </w:rPr>
        <w:t>The left sidebar — the tabs</w:t>
      </w:r>
    </w:p>
    <w:p>
      <w:r>
        <w:rPr>
          <w:b w:val="0"/>
          <w:i w:val="0"/>
          <w:sz w:val="21"/>
        </w:rPr>
        <w:t>Use the menu on the left to switch between views. Each tab answers a different question: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2C2420"/>
          </w:tcPr>
          <w:p>
            <w:r>
              <w:rPr>
                <w:b/>
                <w:color w:val="FFFFFF"/>
                <w:sz w:val="19"/>
              </w:rPr>
              <w:t>Tab</w:t>
            </w:r>
          </w:p>
        </w:tc>
        <w:tc>
          <w:tcPr>
            <w:tcW w:type="dxa" w:w="7344"/>
            <w:shd w:val="clear" w:color="auto" w:fill="2C2420"/>
          </w:tcPr>
          <w:p>
            <w:r>
              <w:rPr>
                <w:b/>
                <w:color w:val="FFFFFF"/>
                <w:sz w:val="19"/>
              </w:rPr>
              <w:t>Use it to see…</w:t>
            </w:r>
          </w:p>
        </w:tc>
      </w:tr>
      <w:tr>
        <w:tc>
          <w:tcPr>
            <w:tcW w:type="dxa" w:w="2736"/>
          </w:tcPr>
          <w:p>
            <w:r>
              <w:rPr>
                <w:b/>
                <w:sz w:val="19"/>
              </w:rPr>
              <w:t>Dashboard</w:t>
            </w:r>
          </w:p>
        </w:tc>
        <w:tc>
          <w:tcPr>
            <w:tcW w:type="dxa" w:w="7344"/>
          </w:tcPr>
          <w:p>
            <w:r>
              <w:rPr>
                <w:sz w:val="19"/>
              </w:rPr>
              <w:t>The overall summary — open POs, quantity, value, delays and high-risk orders at a glance.</w:t>
            </w:r>
          </w:p>
        </w:tc>
      </w:tr>
      <w:tr>
        <w:tc>
          <w:tcPr>
            <w:tcW w:type="dxa" w:w="2736"/>
            <w:shd w:val="clear" w:color="auto" w:fill="FBF7EF"/>
          </w:tcPr>
          <w:p>
            <w:r>
              <w:rPr>
                <w:b/>
                <w:sz w:val="19"/>
              </w:rPr>
              <w:t>Open PO Tracker</w:t>
            </w:r>
          </w:p>
        </w:tc>
        <w:tc>
          <w:tcPr>
            <w:tcW w:type="dxa" w:w="7344"/>
            <w:shd w:val="clear" w:color="auto" w:fill="FBF7EF"/>
          </w:tcPr>
          <w:p>
            <w:r>
              <w:rPr>
                <w:sz w:val="19"/>
              </w:rPr>
              <w:t>The full list of open purchase orders, with search, filters and production (TNA) dates.</w:t>
            </w:r>
          </w:p>
        </w:tc>
      </w:tr>
      <w:tr>
        <w:tc>
          <w:tcPr>
            <w:tcW w:type="dxa" w:w="2736"/>
          </w:tcPr>
          <w:p>
            <w:r>
              <w:rPr>
                <w:b/>
                <w:sz w:val="19"/>
              </w:rPr>
              <w:t>Vendor Performance</w:t>
            </w:r>
          </w:p>
        </w:tc>
        <w:tc>
          <w:tcPr>
            <w:tcW w:type="dxa" w:w="7344"/>
          </w:tcPr>
          <w:p>
            <w:r>
              <w:rPr>
                <w:sz w:val="19"/>
              </w:rPr>
              <w:t>How each vendor is doing — open work, delays, capacity and utilisation.</w:t>
            </w:r>
          </w:p>
        </w:tc>
      </w:tr>
      <w:tr>
        <w:tc>
          <w:tcPr>
            <w:tcW w:type="dxa" w:w="2736"/>
            <w:shd w:val="clear" w:color="auto" w:fill="FBF7EF"/>
          </w:tcPr>
          <w:p>
            <w:r>
              <w:rPr>
                <w:b/>
                <w:sz w:val="19"/>
              </w:rPr>
              <w:t>Vendor Type</w:t>
            </w:r>
          </w:p>
        </w:tc>
        <w:tc>
          <w:tcPr>
            <w:tcW w:type="dxa" w:w="7344"/>
            <w:shd w:val="clear" w:color="auto" w:fill="FBF7EF"/>
          </w:tcPr>
          <w:p>
            <w:r>
              <w:rPr>
                <w:sz w:val="19"/>
              </w:rPr>
              <w:t>Woven vs Knitted vendors, comparing open vs delayed quantity.</w:t>
            </w:r>
          </w:p>
        </w:tc>
      </w:tr>
      <w:tr>
        <w:tc>
          <w:tcPr>
            <w:tcW w:type="dxa" w:w="2736"/>
          </w:tcPr>
          <w:p>
            <w:r>
              <w:rPr>
                <w:b/>
                <w:sz w:val="19"/>
              </w:rPr>
              <w:t>Merchant Performance</w:t>
            </w:r>
          </w:p>
        </w:tc>
        <w:tc>
          <w:tcPr>
            <w:tcW w:type="dxa" w:w="7344"/>
          </w:tcPr>
          <w:p>
            <w:r>
              <w:rPr>
                <w:sz w:val="19"/>
              </w:rPr>
              <w:t>The same numbers grouped by the merchant who owns each vendor.</w:t>
            </w:r>
          </w:p>
        </w:tc>
      </w:tr>
      <w:tr>
        <w:tc>
          <w:tcPr>
            <w:tcW w:type="dxa" w:w="2736"/>
            <w:shd w:val="clear" w:color="auto" w:fill="FBF7EF"/>
          </w:tcPr>
          <w:p>
            <w:r>
              <w:rPr>
                <w:b/>
                <w:sz w:val="19"/>
              </w:rPr>
              <w:t>Product Tracker</w:t>
            </w:r>
          </w:p>
        </w:tc>
        <w:tc>
          <w:tcPr>
            <w:tcW w:type="dxa" w:w="7344"/>
            <w:shd w:val="clear" w:color="auto" w:fill="FBF7EF"/>
          </w:tcPr>
          <w:p>
            <w:r>
              <w:rPr>
                <w:sz w:val="19"/>
              </w:rPr>
              <w:t>Pending quantity and value by product and by variant.</w:t>
            </w:r>
          </w:p>
        </w:tc>
      </w:tr>
      <w:tr>
        <w:tc>
          <w:tcPr>
            <w:tcW w:type="dxa" w:w="2736"/>
          </w:tcPr>
          <w:p>
            <w:r>
              <w:rPr>
                <w:b/>
                <w:sz w:val="19"/>
              </w:rPr>
              <w:t>Vendor Recommendation</w:t>
            </w:r>
          </w:p>
        </w:tc>
        <w:tc>
          <w:tcPr>
            <w:tcW w:type="dxa" w:w="7344"/>
          </w:tcPr>
          <w:p>
            <w:r>
              <w:rPr>
                <w:sz w:val="19"/>
              </w:rPr>
              <w:t>Which vendor to give a new PO to, ranked by past performance.</w:t>
            </w:r>
          </w:p>
        </w:tc>
      </w:tr>
      <w:tr>
        <w:tc>
          <w:tcPr>
            <w:tcW w:type="dxa" w:w="2736"/>
            <w:shd w:val="clear" w:color="auto" w:fill="FBF7EF"/>
          </w:tcPr>
          <w:p>
            <w:r>
              <w:rPr>
                <w:b/>
                <w:sz w:val="19"/>
              </w:rPr>
              <w:t>Product Matrix View</w:t>
            </w:r>
          </w:p>
        </w:tc>
        <w:tc>
          <w:tcPr>
            <w:tcW w:type="dxa" w:w="7344"/>
            <w:shd w:val="clear" w:color="auto" w:fill="FBF7EF"/>
          </w:tcPr>
          <w:p>
            <w:r>
              <w:rPr>
                <w:sz w:val="19"/>
              </w:rPr>
              <w:t>A grid of product (rows) × vendor (columns) showing pending quantity.</w:t>
            </w:r>
          </w:p>
        </w:tc>
      </w:tr>
    </w:tbl>
    <w:p>
      <w:r>
        <w:rPr>
          <w:b/>
          <w:color w:val="B58A14"/>
          <w:sz w:val="25"/>
        </w:rPr>
        <w:t>The top bar</w:t>
      </w:r>
    </w:p>
    <w:p>
      <w:pPr>
        <w:pStyle w:val="ListBullet"/>
      </w:pPr>
      <w:r>
        <w:t>Page title — the name of the tab you are on.</w:t>
      </w:r>
    </w:p>
    <w:p>
      <w:pPr>
        <w:pStyle w:val="ListBullet"/>
      </w:pPr>
      <w:r>
        <w:t>“What do these mean?” button — opens plain-language definitions and formulas for the current tab. This is the quickest in-app help.</w:t>
      </w:r>
    </w:p>
    <w:p>
      <w:pPr>
        <w:pStyle w:val="ListBullet"/>
      </w:pPr>
      <w:r>
        <w:t>BUILD stamp — shows when the data was last loaded.</w:t>
      </w:r>
    </w:p>
    <w:p>
      <w:r>
        <w:rPr>
          <w:b/>
          <w:color w:val="B58A14"/>
          <w:sz w:val="25"/>
        </w:rPr>
        <w:t>Controls you will see on many tabs</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2C2420"/>
          </w:tcPr>
          <w:p>
            <w:r>
              <w:rPr>
                <w:b/>
                <w:color w:val="FFFFFF"/>
                <w:sz w:val="19"/>
              </w:rPr>
              <w:t>Control</w:t>
            </w:r>
          </w:p>
        </w:tc>
        <w:tc>
          <w:tcPr>
            <w:tcW w:type="dxa" w:w="7632"/>
            <w:shd w:val="clear" w:color="auto" w:fill="2C2420"/>
          </w:tcPr>
          <w:p>
            <w:r>
              <w:rPr>
                <w:b/>
                <w:color w:val="FFFFFF"/>
                <w:sz w:val="19"/>
              </w:rPr>
              <w:t>What it does</w:t>
            </w:r>
          </w:p>
        </w:tc>
      </w:tr>
      <w:tr>
        <w:tc>
          <w:tcPr>
            <w:tcW w:type="dxa" w:w="2448"/>
          </w:tcPr>
          <w:p>
            <w:r>
              <w:rPr>
                <w:b/>
                <w:sz w:val="19"/>
              </w:rPr>
              <w:t>Search box</w:t>
            </w:r>
          </w:p>
        </w:tc>
        <w:tc>
          <w:tcPr>
            <w:tcW w:type="dxa" w:w="7632"/>
          </w:tcPr>
          <w:p>
            <w:r>
              <w:rPr>
                <w:sz w:val="19"/>
              </w:rPr>
              <w:t>Type a PO number, product or vendor to instantly narrow the table.</w:t>
            </w:r>
          </w:p>
        </w:tc>
      </w:tr>
      <w:tr>
        <w:tc>
          <w:tcPr>
            <w:tcW w:type="dxa" w:w="2448"/>
            <w:shd w:val="clear" w:color="auto" w:fill="FBF7EF"/>
          </w:tcPr>
          <w:p>
            <w:r>
              <w:rPr>
                <w:b/>
                <w:sz w:val="19"/>
              </w:rPr>
              <w:t>Filter dropdowns</w:t>
            </w:r>
          </w:p>
        </w:tc>
        <w:tc>
          <w:tcPr>
            <w:tcW w:type="dxa" w:w="7632"/>
            <w:shd w:val="clear" w:color="auto" w:fill="FBF7EF"/>
          </w:tcPr>
          <w:p>
            <w:r>
              <w:rPr>
                <w:sz w:val="19"/>
              </w:rPr>
              <w:t>Vendor, Vendor Code, Vendor Type, PO type, Product, Merchant, Days Overdue. Pick “All” to clear a filter. Filters combine (they all apply together).</w:t>
            </w:r>
          </w:p>
        </w:tc>
      </w:tr>
      <w:tr>
        <w:tc>
          <w:tcPr>
            <w:tcW w:type="dxa" w:w="2448"/>
          </w:tcPr>
          <w:p>
            <w:r>
              <w:rPr>
                <w:b/>
                <w:sz w:val="19"/>
              </w:rPr>
              <w:t>CSV button</w:t>
            </w:r>
          </w:p>
        </w:tc>
        <w:tc>
          <w:tcPr>
            <w:tcW w:type="dxa" w:w="7632"/>
          </w:tcPr>
          <w:p>
            <w:r>
              <w:rPr>
                <w:sz w:val="19"/>
              </w:rPr>
              <w:t>Downloads the current table (all rows, respecting filters) as a spreadsheet file.</w:t>
            </w:r>
          </w:p>
        </w:tc>
      </w:tr>
      <w:tr>
        <w:tc>
          <w:tcPr>
            <w:tcW w:type="dxa" w:w="2448"/>
            <w:shd w:val="clear" w:color="auto" w:fill="FBF7EF"/>
          </w:tcPr>
          <w:p>
            <w:r>
              <w:rPr>
                <w:b/>
                <w:sz w:val="19"/>
              </w:rPr>
              <w:t>Prev / Next (pager)</w:t>
            </w:r>
          </w:p>
        </w:tc>
        <w:tc>
          <w:tcPr>
            <w:tcW w:type="dxa" w:w="7632"/>
            <w:shd w:val="clear" w:color="auto" w:fill="FBF7EF"/>
          </w:tcPr>
          <w:p>
            <w:r>
              <w:rPr>
                <w:sz w:val="19"/>
              </w:rPr>
              <w:t>Tables show 25 rows per page. Use Prev / Next to move through pages. It appears only when there are more than 25 rows.</w:t>
            </w:r>
          </w:p>
        </w:tc>
      </w:tr>
      <w:tr>
        <w:tc>
          <w:tcPr>
            <w:tcW w:type="dxa" w:w="2448"/>
          </w:tcPr>
          <w:p>
            <w:r>
              <w:rPr>
                <w:b/>
                <w:sz w:val="19"/>
              </w:rPr>
              <w:t>Cards</w:t>
            </w:r>
          </w:p>
        </w:tc>
        <w:tc>
          <w:tcPr>
            <w:tcW w:type="dxa" w:w="7632"/>
          </w:tcPr>
          <w:p>
            <w:r>
              <w:rPr>
                <w:sz w:val="19"/>
              </w:rPr>
              <w:t>On the Dashboard, the Delayed and High Risk cards are clickable — they open the full list of those POs.</w:t>
            </w:r>
          </w:p>
        </w:tc>
      </w:tr>
      <w:tr>
        <w:tc>
          <w:tcPr>
            <w:tcW w:type="dxa" w:w="2448"/>
            <w:shd w:val="clear" w:color="auto" w:fill="FBF7EF"/>
          </w:tcPr>
          <w:p>
            <w:r>
              <w:rPr>
                <w:b/>
                <w:sz w:val="19"/>
              </w:rPr>
              <w:t>Charts</w:t>
            </w:r>
          </w:p>
        </w:tc>
        <w:tc>
          <w:tcPr>
            <w:tcW w:type="dxa" w:w="7632"/>
            <w:shd w:val="clear" w:color="auto" w:fill="FBF7EF"/>
          </w:tcPr>
          <w:p>
            <w:r>
              <w:rPr>
                <w:sz w:val="19"/>
              </w:rPr>
              <w:t>When a chart has many vendors it becomes scrollable (drag sideways, or scroll up/down) so every vendor is shown.</w:t>
            </w:r>
          </w:p>
        </w:tc>
      </w:tr>
    </w:tbl>
    <w:p>
      <w:pPr>
        <w:pBdr>
          <w:bottom w:val="single" w:sz="6" w:space="4" w:color="E7E2D2"/>
        </w:pBdr>
      </w:pPr>
      <w:r>
        <w:rPr>
          <w:b/>
          <w:color w:val="2C2420"/>
          <w:sz w:val="34"/>
        </w:rPr>
        <w:t>3. How every field is calculated</w:t>
      </w:r>
    </w:p>
    <w:p>
      <w:r>
        <w:rPr>
          <w:b w:val="0"/>
          <w:i w:val="0"/>
          <w:sz w:val="21"/>
        </w:rPr>
        <w:t>These are the exact rules the dashboard uses. “Open” always means an order that still has items to receive.</w:t>
      </w:r>
    </w:p>
    <w:p>
      <w:r>
        <w:rPr>
          <w:b/>
          <w:color w:val="B58A14"/>
          <w:sz w:val="25"/>
        </w:rPr>
        <w:t>Core definitions (used everywhere)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2C2420"/>
          </w:tcPr>
          <w:p>
            <w:r>
              <w:rPr>
                <w:b/>
                <w:color w:val="FFFFFF"/>
                <w:sz w:val="19"/>
              </w:rPr>
              <w:t>Field</w:t>
            </w:r>
          </w:p>
        </w:tc>
        <w:tc>
          <w:tcPr>
            <w:tcW w:type="dxa" w:w="2448"/>
            <w:shd w:val="clear" w:color="auto" w:fill="2C2420"/>
          </w:tcPr>
          <w:p>
            <w:r>
              <w:rPr>
                <w:b/>
                <w:color w:val="FFFFFF"/>
                <w:sz w:val="19"/>
              </w:rPr>
              <w:t>Plain meaning</w:t>
            </w:r>
          </w:p>
        </w:tc>
        <w:tc>
          <w:tcPr>
            <w:tcW w:type="dxa" w:w="4176"/>
            <w:shd w:val="clear" w:color="auto" w:fill="2C2420"/>
          </w:tcPr>
          <w:p>
            <w:r>
              <w:rPr>
                <w:b/>
                <w:color w:val="FFFFFF"/>
                <w:sz w:val="19"/>
              </w:rPr>
              <w:t>How it is calculated</w:t>
            </w:r>
          </w:p>
        </w:tc>
        <w:tc>
          <w:tcPr>
            <w:tcW w:type="dxa" w:w="1872"/>
            <w:shd w:val="clear" w:color="auto" w:fill="2C2420"/>
          </w:tcPr>
          <w:p>
            <w:r>
              <w:rPr>
                <w:b/>
                <w:color w:val="FFFFFF"/>
                <w:sz w:val="19"/>
              </w:rPr>
              <w:t>Source column(s)</w:t>
            </w:r>
          </w:p>
        </w:tc>
      </w:tr>
      <w:tr>
        <w:tc>
          <w:tcPr>
            <w:tcW w:type="dxa" w:w="1584"/>
          </w:tcPr>
          <w:p>
            <w:r>
              <w:rPr>
                <w:b/>
                <w:sz w:val="19"/>
              </w:rPr>
              <w:t>Open PO</w:t>
            </w:r>
          </w:p>
        </w:tc>
        <w:tc>
          <w:tcPr>
            <w:tcW w:type="dxa" w:w="2448"/>
          </w:tcPr>
          <w:p>
            <w:r>
              <w:rPr>
                <w:sz w:val="19"/>
              </w:rPr>
              <w:t>An order still to be received.</w:t>
            </w:r>
          </w:p>
        </w:tc>
        <w:tc>
          <w:tcPr>
            <w:tcW w:type="dxa" w:w="4176"/>
          </w:tcPr>
          <w:p>
            <w:r>
              <w:rPr>
                <w:sz w:val="19"/>
              </w:rPr>
              <w:t>Counted when pending_qty_actual is greater than 0.</w:t>
            </w:r>
          </w:p>
        </w:tc>
        <w:tc>
          <w:tcPr>
            <w:tcW w:type="dxa" w:w="1872"/>
          </w:tcPr>
          <w:p>
            <w:r>
              <w:rPr>
                <w:sz w:val="19"/>
              </w:rPr>
              <w:t>Pending_PO_MASTER</w:t>
            </w:r>
          </w:p>
        </w:tc>
      </w:tr>
      <w:tr>
        <w:tc>
          <w:tcPr>
            <w:tcW w:type="dxa" w:w="1584"/>
            <w:shd w:val="clear" w:color="auto" w:fill="FBF7EF"/>
          </w:tcPr>
          <w:p>
            <w:r>
              <w:rPr>
                <w:b/>
                <w:sz w:val="19"/>
              </w:rPr>
              <w:t>Open Qty</w:t>
            </w:r>
          </w:p>
        </w:tc>
        <w:tc>
          <w:tcPr>
            <w:tcW w:type="dxa" w:w="2448"/>
            <w:shd w:val="clear" w:color="auto" w:fill="FBF7EF"/>
          </w:tcPr>
          <w:p>
            <w:r>
              <w:rPr>
                <w:sz w:val="19"/>
              </w:rPr>
              <w:t>Total pieces still pending.</w:t>
            </w:r>
          </w:p>
        </w:tc>
        <w:tc>
          <w:tcPr>
            <w:tcW w:type="dxa" w:w="4176"/>
            <w:shd w:val="clear" w:color="auto" w:fill="FBF7EF"/>
          </w:tcPr>
          <w:p>
            <w:r>
              <w:rPr>
                <w:sz w:val="19"/>
              </w:rPr>
              <w:t>Sum of pending_qty_actual across open lines.</w:t>
            </w:r>
          </w:p>
        </w:tc>
        <w:tc>
          <w:tcPr>
            <w:tcW w:type="dxa" w:w="1872"/>
            <w:shd w:val="clear" w:color="auto" w:fill="FBF7EF"/>
          </w:tcPr>
          <w:p>
            <w:r>
              <w:rPr>
                <w:sz w:val="19"/>
              </w:rPr>
              <w:t>Pending_PO_MASTER</w:t>
            </w:r>
          </w:p>
        </w:tc>
      </w:tr>
      <w:tr>
        <w:tc>
          <w:tcPr>
            <w:tcW w:type="dxa" w:w="1584"/>
          </w:tcPr>
          <w:p>
            <w:r>
              <w:rPr>
                <w:b/>
                <w:sz w:val="19"/>
              </w:rPr>
              <w:t>Open Value</w:t>
            </w:r>
          </w:p>
        </w:tc>
        <w:tc>
          <w:tcPr>
            <w:tcW w:type="dxa" w:w="2448"/>
          </w:tcPr>
          <w:p>
            <w:r>
              <w:rPr>
                <w:sz w:val="19"/>
              </w:rPr>
              <w:t>Money tied up in undelivered goods.</w:t>
            </w:r>
          </w:p>
        </w:tc>
        <w:tc>
          <w:tcPr>
            <w:tcW w:type="dxa" w:w="4176"/>
          </w:tcPr>
          <w:p>
            <w:r>
              <w:rPr>
                <w:sz w:val="19"/>
              </w:rPr>
              <w:t>Sum of (pending_qty_actual × item_price) across open lines.</w:t>
            </w:r>
          </w:p>
        </w:tc>
        <w:tc>
          <w:tcPr>
            <w:tcW w:type="dxa" w:w="1872"/>
          </w:tcPr>
          <w:p>
            <w:r>
              <w:rPr>
                <w:sz w:val="19"/>
              </w:rPr>
              <w:t>Pending_PO_MASTER</w:t>
            </w:r>
          </w:p>
        </w:tc>
      </w:tr>
      <w:tr>
        <w:tc>
          <w:tcPr>
            <w:tcW w:type="dxa" w:w="1584"/>
            <w:shd w:val="clear" w:color="auto" w:fill="FBF7EF"/>
          </w:tcPr>
          <w:p>
            <w:r>
              <w:rPr>
                <w:b/>
                <w:sz w:val="19"/>
              </w:rPr>
              <w:t>Delayed PO</w:t>
            </w:r>
          </w:p>
        </w:tc>
        <w:tc>
          <w:tcPr>
            <w:tcW w:type="dxa" w:w="2448"/>
            <w:shd w:val="clear" w:color="auto" w:fill="FBF7EF"/>
          </w:tcPr>
          <w:p>
            <w:r>
              <w:rPr>
                <w:sz w:val="19"/>
              </w:rPr>
              <w:t>An open order running late.</w:t>
            </w:r>
          </w:p>
        </w:tc>
        <w:tc>
          <w:tcPr>
            <w:tcW w:type="dxa" w:w="4176"/>
            <w:shd w:val="clear" w:color="auto" w:fill="FBF7EF"/>
          </w:tcPr>
          <w:p>
            <w:r>
              <w:rPr>
                <w:sz w:val="19"/>
              </w:rPr>
              <w:t>Open PO whose expected_delivery_date (EDD) is before today.</w:t>
            </w:r>
          </w:p>
        </w:tc>
        <w:tc>
          <w:tcPr>
            <w:tcW w:type="dxa" w:w="1872"/>
            <w:shd w:val="clear" w:color="auto" w:fill="FBF7EF"/>
          </w:tcPr>
          <w:p>
            <w:r>
              <w:rPr>
                <w:sz w:val="19"/>
              </w:rPr>
              <w:t>Pending_PO_MASTER</w:t>
            </w:r>
          </w:p>
        </w:tc>
      </w:tr>
      <w:tr>
        <w:tc>
          <w:tcPr>
            <w:tcW w:type="dxa" w:w="1584"/>
          </w:tcPr>
          <w:p>
            <w:r>
              <w:rPr>
                <w:b/>
                <w:sz w:val="19"/>
              </w:rPr>
              <w:t>Delayed %</w:t>
            </w:r>
          </w:p>
        </w:tc>
        <w:tc>
          <w:tcPr>
            <w:tcW w:type="dxa" w:w="2448"/>
          </w:tcPr>
          <w:p>
            <w:r>
              <w:rPr>
                <w:sz w:val="19"/>
              </w:rPr>
              <w:t>Share of open orders that are late.</w:t>
            </w:r>
          </w:p>
        </w:tc>
        <w:tc>
          <w:tcPr>
            <w:tcW w:type="dxa" w:w="4176"/>
          </w:tcPr>
          <w:p>
            <w:r>
              <w:rPr>
                <w:sz w:val="19"/>
              </w:rPr>
              <w:t>Delayed open POs ÷ total open POs × 100.</w:t>
            </w:r>
          </w:p>
        </w:tc>
        <w:tc>
          <w:tcPr>
            <w:tcW w:type="dxa" w:w="1872"/>
          </w:tcPr>
          <w:p>
            <w:r>
              <w:rPr>
                <w:sz w:val="19"/>
              </w:rPr>
              <w:t>Pending_PO_MASTER</w:t>
            </w:r>
          </w:p>
        </w:tc>
      </w:tr>
      <w:tr>
        <w:tc>
          <w:tcPr>
            <w:tcW w:type="dxa" w:w="1584"/>
            <w:shd w:val="clear" w:color="auto" w:fill="FBF7EF"/>
          </w:tcPr>
          <w:p>
            <w:r>
              <w:rPr>
                <w:b/>
                <w:sz w:val="19"/>
              </w:rPr>
              <w:t>High Risk PO</w:t>
            </w:r>
          </w:p>
        </w:tc>
        <w:tc>
          <w:tcPr>
            <w:tcW w:type="dxa" w:w="2448"/>
            <w:shd w:val="clear" w:color="auto" w:fill="FBF7EF"/>
          </w:tcPr>
          <w:p>
            <w:r>
              <w:rPr>
                <w:sz w:val="19"/>
              </w:rPr>
              <w:t>Nothing received yet and due very soon.</w:t>
            </w:r>
          </w:p>
        </w:tc>
        <w:tc>
          <w:tcPr>
            <w:tcW w:type="dxa" w:w="4176"/>
            <w:shd w:val="clear" w:color="auto" w:fill="FBF7EF"/>
          </w:tcPr>
          <w:p>
            <w:r>
              <w:rPr>
                <w:sz w:val="19"/>
              </w:rPr>
              <w:t>Open PO where received = 0 (pending_quantity = original_quantity) AND EDD is within 15 days of today (overdue included).</w:t>
            </w:r>
          </w:p>
        </w:tc>
        <w:tc>
          <w:tcPr>
            <w:tcW w:type="dxa" w:w="1872"/>
            <w:shd w:val="clear" w:color="auto" w:fill="FBF7EF"/>
          </w:tcPr>
          <w:p>
            <w:r>
              <w:rPr>
                <w:sz w:val="19"/>
              </w:rPr>
              <w:t>Pending_PO_MASTER</w:t>
            </w:r>
          </w:p>
        </w:tc>
      </w:tr>
    </w:tbl>
    <w:p>
      <w:r>
        <w:rPr>
          <w:b/>
          <w:color w:val="B58A14"/>
          <w:sz w:val="25"/>
        </w:rPr>
        <w:t>Delay &amp; ageing (Open PO Tracker)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2C2420"/>
          </w:tcPr>
          <w:p>
            <w:r>
              <w:rPr>
                <w:b/>
                <w:color w:val="FFFFFF"/>
                <w:sz w:val="19"/>
              </w:rPr>
              <w:t>Field</w:t>
            </w:r>
          </w:p>
        </w:tc>
        <w:tc>
          <w:tcPr>
            <w:tcW w:type="dxa" w:w="2304"/>
            <w:shd w:val="clear" w:color="auto" w:fill="2C2420"/>
          </w:tcPr>
          <w:p>
            <w:r>
              <w:rPr>
                <w:b/>
                <w:color w:val="FFFFFF"/>
                <w:sz w:val="19"/>
              </w:rPr>
              <w:t>Plain meaning</w:t>
            </w:r>
          </w:p>
        </w:tc>
        <w:tc>
          <w:tcPr>
            <w:tcW w:type="dxa" w:w="4320"/>
            <w:shd w:val="clear" w:color="auto" w:fill="2C2420"/>
          </w:tcPr>
          <w:p>
            <w:r>
              <w:rPr>
                <w:b/>
                <w:color w:val="FFFFFF"/>
                <w:sz w:val="19"/>
              </w:rPr>
              <w:t>How it is calculated</w:t>
            </w:r>
          </w:p>
        </w:tc>
        <w:tc>
          <w:tcPr>
            <w:tcW w:type="dxa" w:w="1872"/>
            <w:shd w:val="clear" w:color="auto" w:fill="2C2420"/>
          </w:tcPr>
          <w:p>
            <w:r>
              <w:rPr>
                <w:b/>
                <w:color w:val="FFFFFF"/>
                <w:sz w:val="19"/>
              </w:rPr>
              <w:t>Source</w:t>
            </w:r>
          </w:p>
        </w:tc>
      </w:tr>
      <w:tr>
        <w:tc>
          <w:tcPr>
            <w:tcW w:type="dxa" w:w="1584"/>
          </w:tcPr>
          <w:p>
            <w:r>
              <w:rPr>
                <w:b/>
                <w:sz w:val="19"/>
              </w:rPr>
              <w:t>Delay (days)</w:t>
            </w:r>
          </w:p>
        </w:tc>
        <w:tc>
          <w:tcPr>
            <w:tcW w:type="dxa" w:w="2304"/>
          </w:tcPr>
          <w:p>
            <w:r>
              <w:rPr>
                <w:sz w:val="19"/>
              </w:rPr>
              <w:t>Days past the promised date.</w:t>
            </w:r>
          </w:p>
        </w:tc>
        <w:tc>
          <w:tcPr>
            <w:tcW w:type="dxa" w:w="4320"/>
          </w:tcPr>
          <w:p>
            <w:r>
              <w:rPr>
                <w:sz w:val="19"/>
              </w:rPr>
              <w:t>today − EDD, never below 0. Shown as “On time” when 0.</w:t>
            </w:r>
          </w:p>
        </w:tc>
        <w:tc>
          <w:tcPr>
            <w:tcW w:type="dxa" w:w="1872"/>
          </w:tcPr>
          <w:p>
            <w:r>
              <w:rPr>
                <w:sz w:val="19"/>
              </w:rPr>
              <w:t>Pending_PO_MASTER</w:t>
            </w:r>
          </w:p>
        </w:tc>
      </w:tr>
      <w:tr>
        <w:tc>
          <w:tcPr>
            <w:tcW w:type="dxa" w:w="1584"/>
            <w:shd w:val="clear" w:color="auto" w:fill="FBF7EF"/>
          </w:tcPr>
          <w:p>
            <w:r>
              <w:rPr>
                <w:b/>
                <w:sz w:val="19"/>
              </w:rPr>
              <w:t>Days Overdue</w:t>
            </w:r>
          </w:p>
        </w:tc>
        <w:tc>
          <w:tcPr>
            <w:tcW w:type="dxa" w:w="2304"/>
            <w:shd w:val="clear" w:color="auto" w:fill="FBF7EF"/>
          </w:tcPr>
          <w:p>
            <w:r>
              <w:rPr>
                <w:sz w:val="19"/>
              </w:rPr>
              <w:t>Ageing bucket.</w:t>
            </w:r>
          </w:p>
        </w:tc>
        <w:tc>
          <w:tcPr>
            <w:tcW w:type="dxa" w:w="4320"/>
            <w:shd w:val="clear" w:color="auto" w:fill="FBF7EF"/>
          </w:tcPr>
          <w:p>
            <w:r>
              <w:rPr>
                <w:sz w:val="19"/>
              </w:rPr>
              <w:t>From the delay: Not Due (0), 0–7, 8–15, 16–30, 30+ days. No EDD when no delivery date is set.</w:t>
            </w:r>
          </w:p>
        </w:tc>
        <w:tc>
          <w:tcPr>
            <w:tcW w:type="dxa" w:w="1872"/>
            <w:shd w:val="clear" w:color="auto" w:fill="FBF7EF"/>
          </w:tcPr>
          <w:p>
            <w:r>
              <w:rPr>
                <w:sz w:val="19"/>
              </w:rPr>
              <w:t>Pending_PO_MASTER</w:t>
            </w:r>
          </w:p>
        </w:tc>
      </w:tr>
      <w:tr>
        <w:tc>
          <w:tcPr>
            <w:tcW w:type="dxa" w:w="1584"/>
          </w:tcPr>
          <w:p>
            <w:r>
              <w:rPr>
                <w:b/>
                <w:sz w:val="19"/>
              </w:rPr>
              <w:t>TNA stage</w:t>
            </w:r>
          </w:p>
        </w:tc>
        <w:tc>
          <w:tcPr>
            <w:tcW w:type="dxa" w:w="2304"/>
          </w:tcPr>
          <w:p>
            <w:r>
              <w:rPr>
                <w:sz w:val="19"/>
              </w:rPr>
              <w:t>Current production step.</w:t>
            </w:r>
          </w:p>
        </w:tc>
        <w:tc>
          <w:tcPr>
            <w:tcW w:type="dxa" w:w="4320"/>
          </w:tcPr>
          <w:p>
            <w:r>
              <w:rPr>
                <w:sz w:val="19"/>
              </w:rPr>
              <w:t>The first stage (PP Sample → GPT → Cutting → Inline) that has no actual date yet. “Not in TNA Tracker” if the PO has no timeline.</w:t>
            </w:r>
          </w:p>
        </w:tc>
        <w:tc>
          <w:tcPr>
            <w:tcW w:type="dxa" w:w="1872"/>
          </w:tcPr>
          <w:p>
            <w:r>
              <w:rPr>
                <w:sz w:val="19"/>
              </w:rPr>
              <w:t>TNA Tracker</w:t>
            </w:r>
          </w:p>
        </w:tc>
      </w:tr>
      <w:tr>
        <w:tc>
          <w:tcPr>
            <w:tcW w:type="dxa" w:w="1584"/>
            <w:shd w:val="clear" w:color="auto" w:fill="FBF7EF"/>
          </w:tcPr>
          <w:p>
            <w:r>
              <w:rPr>
                <w:b/>
                <w:sz w:val="19"/>
              </w:rPr>
              <w:t>TNA days</w:t>
            </w:r>
          </w:p>
        </w:tc>
        <w:tc>
          <w:tcPr>
            <w:tcW w:type="dxa" w:w="2304"/>
            <w:shd w:val="clear" w:color="auto" w:fill="FBF7EF"/>
          </w:tcPr>
          <w:p>
            <w:r>
              <w:rPr>
                <w:sz w:val="19"/>
              </w:rPr>
              <w:t>Total production delay.</w:t>
            </w:r>
          </w:p>
        </w:tc>
        <w:tc>
          <w:tcPr>
            <w:tcW w:type="dxa" w:w="4320"/>
            <w:shd w:val="clear" w:color="auto" w:fill="FBF7EF"/>
          </w:tcPr>
          <w:p>
            <w:r>
              <w:rPr>
                <w:sz w:val="19"/>
              </w:rPr>
              <w:t>PP delay + GPT delay + Cutting delay + Inline delay (days).</w:t>
            </w:r>
          </w:p>
        </w:tc>
        <w:tc>
          <w:tcPr>
            <w:tcW w:type="dxa" w:w="1872"/>
            <w:shd w:val="clear" w:color="auto" w:fill="FBF7EF"/>
          </w:tcPr>
          <w:p>
            <w:r>
              <w:rPr>
                <w:sz w:val="19"/>
              </w:rPr>
              <w:t>TNA Tracker</w:t>
            </w:r>
          </w:p>
        </w:tc>
      </w:tr>
    </w:tbl>
    <w:p>
      <w:r>
        <w:rPr>
          <w:b/>
          <w:color w:val="B58A14"/>
          <w:sz w:val="25"/>
        </w:rPr>
        <w:t>Vendor &amp; merchant figures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2C2420"/>
          </w:tcPr>
          <w:p>
            <w:r>
              <w:rPr>
                <w:b/>
                <w:color w:val="FFFFFF"/>
                <w:sz w:val="19"/>
              </w:rPr>
              <w:t>Field</w:t>
            </w:r>
          </w:p>
        </w:tc>
        <w:tc>
          <w:tcPr>
            <w:tcW w:type="dxa" w:w="5472"/>
            <w:shd w:val="clear" w:color="auto" w:fill="2C2420"/>
          </w:tcPr>
          <w:p>
            <w:r>
              <w:rPr>
                <w:b/>
                <w:color w:val="FFFFFF"/>
                <w:sz w:val="19"/>
              </w:rPr>
              <w:t>How it is calculated</w:t>
            </w:r>
          </w:p>
        </w:tc>
        <w:tc>
          <w:tcPr>
            <w:tcW w:type="dxa" w:w="1872"/>
            <w:shd w:val="clear" w:color="auto" w:fill="2C2420"/>
          </w:tcPr>
          <w:p>
            <w:r>
              <w:rPr>
                <w:b/>
                <w:color w:val="FFFFFF"/>
                <w:sz w:val="19"/>
              </w:rPr>
              <w:t>Source</w:t>
            </w:r>
          </w:p>
        </w:tc>
      </w:tr>
      <w:tr>
        <w:tc>
          <w:tcPr>
            <w:tcW w:type="dxa" w:w="2736"/>
          </w:tcPr>
          <w:p>
            <w:r>
              <w:rPr>
                <w:b/>
                <w:sz w:val="19"/>
              </w:rPr>
              <w:t>Open POs (per vendor)</w:t>
            </w:r>
          </w:p>
        </w:tc>
        <w:tc>
          <w:tcPr>
            <w:tcW w:type="dxa" w:w="5472"/>
          </w:tcPr>
          <w:p>
            <w:r>
              <w:rPr>
                <w:sz w:val="19"/>
              </w:rPr>
              <w:t>Count of the vendor's distinct PO numbers that are open.</w:t>
            </w:r>
          </w:p>
        </w:tc>
        <w:tc>
          <w:tcPr>
            <w:tcW w:type="dxa" w:w="1872"/>
          </w:tcPr>
          <w:p>
            <w:r>
              <w:rPr>
                <w:sz w:val="19"/>
              </w:rPr>
              <w:t>Pending_PO_MASTER</w:t>
            </w:r>
          </w:p>
        </w:tc>
      </w:tr>
      <w:tr>
        <w:tc>
          <w:tcPr>
            <w:tcW w:type="dxa" w:w="2736"/>
            <w:shd w:val="clear" w:color="auto" w:fill="FBF7EF"/>
          </w:tcPr>
          <w:p>
            <w:r>
              <w:rPr>
                <w:b/>
                <w:sz w:val="19"/>
              </w:rPr>
              <w:t>Delayed (per vendor)</w:t>
            </w:r>
          </w:p>
        </w:tc>
        <w:tc>
          <w:tcPr>
            <w:tcW w:type="dxa" w:w="5472"/>
            <w:shd w:val="clear" w:color="auto" w:fill="FBF7EF"/>
          </w:tcPr>
          <w:p>
            <w:r>
              <w:rPr>
                <w:sz w:val="19"/>
              </w:rPr>
              <w:t>Distinct open PO numbers whose delivery date has passed.</w:t>
            </w:r>
          </w:p>
        </w:tc>
        <w:tc>
          <w:tcPr>
            <w:tcW w:type="dxa" w:w="1872"/>
            <w:shd w:val="clear" w:color="auto" w:fill="FBF7EF"/>
          </w:tcPr>
          <w:p>
            <w:r>
              <w:rPr>
                <w:sz w:val="19"/>
              </w:rPr>
              <w:t>Pending_PO_MASTER</w:t>
            </w:r>
          </w:p>
        </w:tc>
      </w:tr>
      <w:tr>
        <w:tc>
          <w:tcPr>
            <w:tcW w:type="dxa" w:w="2736"/>
          </w:tcPr>
          <w:p>
            <w:r>
              <w:rPr>
                <w:b/>
                <w:sz w:val="19"/>
              </w:rPr>
              <w:t>Delay % (per vendor)</w:t>
            </w:r>
          </w:p>
        </w:tc>
        <w:tc>
          <w:tcPr>
            <w:tcW w:type="dxa" w:w="5472"/>
          </w:tcPr>
          <w:p>
            <w:r>
              <w:rPr>
                <w:sz w:val="19"/>
              </w:rPr>
              <w:t>Delayed POs ÷ open POs × 100.</w:t>
            </w:r>
          </w:p>
        </w:tc>
        <w:tc>
          <w:tcPr>
            <w:tcW w:type="dxa" w:w="1872"/>
          </w:tcPr>
          <w:p>
            <w:r>
              <w:rPr>
                <w:sz w:val="19"/>
              </w:rPr>
              <w:t>Pending_PO_MASTER</w:t>
            </w:r>
          </w:p>
        </w:tc>
      </w:tr>
      <w:tr>
        <w:tc>
          <w:tcPr>
            <w:tcW w:type="dxa" w:w="2736"/>
            <w:shd w:val="clear" w:color="auto" w:fill="FBF7EF"/>
          </w:tcPr>
          <w:p>
            <w:r>
              <w:rPr>
                <w:b/>
                <w:sz w:val="19"/>
              </w:rPr>
              <w:t>Open qty / Open value</w:t>
            </w:r>
          </w:p>
        </w:tc>
        <w:tc>
          <w:tcPr>
            <w:tcW w:type="dxa" w:w="5472"/>
            <w:shd w:val="clear" w:color="auto" w:fill="FBF7EF"/>
          </w:tcPr>
          <w:p>
            <w:r>
              <w:rPr>
                <w:sz w:val="19"/>
              </w:rPr>
              <w:t>Sum of pending quantity; sum of (pending quantity × price).</w:t>
            </w:r>
          </w:p>
        </w:tc>
        <w:tc>
          <w:tcPr>
            <w:tcW w:type="dxa" w:w="1872"/>
            <w:shd w:val="clear" w:color="auto" w:fill="FBF7EF"/>
          </w:tcPr>
          <w:p>
            <w:r>
              <w:rPr>
                <w:sz w:val="19"/>
              </w:rPr>
              <w:t>Pending_PO_MASTER</w:t>
            </w:r>
          </w:p>
        </w:tc>
      </w:tr>
      <w:tr>
        <w:tc>
          <w:tcPr>
            <w:tcW w:type="dxa" w:w="2736"/>
          </w:tcPr>
          <w:p>
            <w:r>
              <w:rPr>
                <w:b/>
                <w:sz w:val="19"/>
              </w:rPr>
              <w:t>Monthly capacity</w:t>
            </w:r>
          </w:p>
        </w:tc>
        <w:tc>
          <w:tcPr>
            <w:tcW w:type="dxa" w:w="5472"/>
          </w:tcPr>
          <w:p>
            <w:r>
              <w:rPr>
                <w:sz w:val="19"/>
              </w:rPr>
              <w:t>The vendor's stated capacity per month (0 if the vendor is missing from the master).</w:t>
            </w:r>
          </w:p>
        </w:tc>
        <w:tc>
          <w:tcPr>
            <w:tcW w:type="dxa" w:w="1872"/>
          </w:tcPr>
          <w:p>
            <w:r>
              <w:rPr>
                <w:sz w:val="19"/>
              </w:rPr>
              <w:t>Vendor Master Data</w:t>
            </w:r>
          </w:p>
        </w:tc>
      </w:tr>
      <w:tr>
        <w:tc>
          <w:tcPr>
            <w:tcW w:type="dxa" w:w="2736"/>
            <w:shd w:val="clear" w:color="auto" w:fill="FBF7EF"/>
          </w:tcPr>
          <w:p>
            <w:r>
              <w:rPr>
                <w:b/>
                <w:sz w:val="19"/>
              </w:rPr>
              <w:t>Utilisation %</w:t>
            </w:r>
          </w:p>
        </w:tc>
        <w:tc>
          <w:tcPr>
            <w:tcW w:type="dxa" w:w="5472"/>
            <w:shd w:val="clear" w:color="auto" w:fill="FBF7EF"/>
          </w:tcPr>
          <w:p>
            <w:r>
              <w:rPr>
                <w:sz w:val="19"/>
              </w:rPr>
              <w:t>Open quantity ÷ monthly capacity × 100. Above 100% = booked beyond capacity.</w:t>
            </w:r>
          </w:p>
        </w:tc>
        <w:tc>
          <w:tcPr>
            <w:tcW w:type="dxa" w:w="1872"/>
            <w:shd w:val="clear" w:color="auto" w:fill="FBF7EF"/>
          </w:tcPr>
          <w:p>
            <w:r>
              <w:rPr>
                <w:sz w:val="19"/>
              </w:rPr>
              <w:t>Both</w:t>
            </w:r>
          </w:p>
        </w:tc>
      </w:tr>
      <w:tr>
        <w:tc>
          <w:tcPr>
            <w:tcW w:type="dxa" w:w="2736"/>
          </w:tcPr>
          <w:p>
            <w:r>
              <w:rPr>
                <w:b/>
                <w:sz w:val="19"/>
              </w:rPr>
              <w:t>Total Open PO Quantity</w:t>
            </w:r>
          </w:p>
        </w:tc>
        <w:tc>
          <w:tcPr>
            <w:tcW w:type="dxa" w:w="5472"/>
          </w:tcPr>
          <w:p>
            <w:r>
              <w:rPr>
                <w:sz w:val="19"/>
              </w:rPr>
              <w:t>Every vendor's pending quantity added together.</w:t>
            </w:r>
          </w:p>
        </w:tc>
        <w:tc>
          <w:tcPr>
            <w:tcW w:type="dxa" w:w="1872"/>
          </w:tcPr>
          <w:p>
            <w:r>
              <w:rPr>
                <w:sz w:val="19"/>
              </w:rPr>
              <w:t>Pending_PO_MASTER</w:t>
            </w:r>
          </w:p>
        </w:tc>
      </w:tr>
      <w:tr>
        <w:tc>
          <w:tcPr>
            <w:tcW w:type="dxa" w:w="2736"/>
            <w:shd w:val="clear" w:color="auto" w:fill="FBF7EF"/>
          </w:tcPr>
          <w:p>
            <w:r>
              <w:rPr>
                <w:b/>
                <w:sz w:val="19"/>
              </w:rPr>
              <w:t>Merchant</w:t>
            </w:r>
          </w:p>
        </w:tc>
        <w:tc>
          <w:tcPr>
            <w:tcW w:type="dxa" w:w="5472"/>
            <w:shd w:val="clear" w:color="auto" w:fill="FBF7EF"/>
          </w:tcPr>
          <w:p>
            <w:r>
              <w:rPr>
                <w:sz w:val="19"/>
              </w:rPr>
              <w:t>Read from Vendor Master Data first, then Vendor_Type_Master. Blank → grouped as “Unassigned”.</w:t>
            </w:r>
          </w:p>
        </w:tc>
        <w:tc>
          <w:tcPr>
            <w:tcW w:type="dxa" w:w="1872"/>
            <w:shd w:val="clear" w:color="auto" w:fill="FBF7EF"/>
          </w:tcPr>
          <w:p>
            <w:r>
              <w:rPr>
                <w:sz w:val="19"/>
              </w:rPr>
              <w:t>Vendor sheets</w:t>
            </w:r>
          </w:p>
        </w:tc>
      </w:tr>
    </w:tbl>
    <w:p>
      <w:r>
        <w:rPr>
          <w:b/>
          <w:color w:val="B58A14"/>
          <w:sz w:val="25"/>
        </w:rPr>
        <w:t>Vendor Recommendation</w:t>
      </w:r>
    </w:p>
    <w:p>
      <w:r>
        <w:rPr>
          <w:b w:val="0"/>
          <w:i w:val="0"/>
          <w:sz w:val="21"/>
        </w:rPr>
        <w:t>Each leaderboard ranks vendors by a single quality so you can weigh trade-offs before issuing a PO.</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2C2420"/>
          </w:tcPr>
          <w:p>
            <w:r>
              <w:rPr>
                <w:b/>
                <w:color w:val="FFFFFF"/>
                <w:sz w:val="19"/>
              </w:rPr>
              <w:t>Leaderboard</w:t>
            </w:r>
          </w:p>
        </w:tc>
        <w:tc>
          <w:tcPr>
            <w:tcW w:type="dxa" w:w="5760"/>
            <w:shd w:val="clear" w:color="auto" w:fill="2C2420"/>
          </w:tcPr>
          <w:p>
            <w:r>
              <w:rPr>
                <w:b/>
                <w:color w:val="FFFFFF"/>
                <w:sz w:val="19"/>
              </w:rPr>
              <w:t>How it ranks</w:t>
            </w:r>
          </w:p>
        </w:tc>
        <w:tc>
          <w:tcPr>
            <w:tcW w:type="dxa" w:w="1872"/>
            <w:shd w:val="clear" w:color="auto" w:fill="2C2420"/>
          </w:tcPr>
          <w:p>
            <w:r>
              <w:rPr>
                <w:b/>
                <w:color w:val="FFFFFF"/>
                <w:sz w:val="19"/>
              </w:rPr>
              <w:t>Source</w:t>
            </w:r>
          </w:p>
        </w:tc>
      </w:tr>
      <w:tr>
        <w:tc>
          <w:tcPr>
            <w:tcW w:type="dxa" w:w="2448"/>
          </w:tcPr>
          <w:p>
            <w:r>
              <w:rPr>
                <w:b/>
                <w:sz w:val="19"/>
              </w:rPr>
              <w:t>Best on-time record</w:t>
            </w:r>
          </w:p>
        </w:tc>
        <w:tc>
          <w:tcPr>
            <w:tcW w:type="dxa" w:w="5760"/>
          </w:tcPr>
          <w:p>
            <w:r>
              <w:rPr>
                <w:sz w:val="19"/>
              </w:rPr>
              <w:t>Lowest Delay % first (delayed POs ÷ open POs × 100).</w:t>
            </w:r>
          </w:p>
        </w:tc>
        <w:tc>
          <w:tcPr>
            <w:tcW w:type="dxa" w:w="1872"/>
          </w:tcPr>
          <w:p>
            <w:r>
              <w:rPr>
                <w:sz w:val="19"/>
              </w:rPr>
              <w:t>Pending_PO_MASTER</w:t>
            </w:r>
          </w:p>
        </w:tc>
      </w:tr>
      <w:tr>
        <w:tc>
          <w:tcPr>
            <w:tcW w:type="dxa" w:w="2448"/>
            <w:shd w:val="clear" w:color="auto" w:fill="FBF7EF"/>
          </w:tcPr>
          <w:p>
            <w:r>
              <w:rPr>
                <w:b/>
                <w:sz w:val="19"/>
              </w:rPr>
              <w:t>Most spare capacity</w:t>
            </w:r>
          </w:p>
        </w:tc>
        <w:tc>
          <w:tcPr>
            <w:tcW w:type="dxa" w:w="5760"/>
            <w:shd w:val="clear" w:color="auto" w:fill="FBF7EF"/>
          </w:tcPr>
          <w:p>
            <w:r>
              <w:rPr>
                <w:sz w:val="19"/>
              </w:rPr>
              <w:t>Highest spare capacity first. Spare = monthly capacity − current open quantity.</w:t>
            </w:r>
          </w:p>
        </w:tc>
        <w:tc>
          <w:tcPr>
            <w:tcW w:type="dxa" w:w="1872"/>
            <w:shd w:val="clear" w:color="auto" w:fill="FBF7EF"/>
          </w:tcPr>
          <w:p>
            <w:r>
              <w:rPr>
                <w:sz w:val="19"/>
              </w:rPr>
              <w:t>Both</w:t>
            </w:r>
          </w:p>
        </w:tc>
      </w:tr>
      <w:tr>
        <w:tc>
          <w:tcPr>
            <w:tcW w:type="dxa" w:w="2448"/>
          </w:tcPr>
          <w:p>
            <w:r>
              <w:rPr>
                <w:b/>
                <w:sz w:val="19"/>
              </w:rPr>
              <w:t>Best TNA punctuality</w:t>
            </w:r>
          </w:p>
        </w:tc>
        <w:tc>
          <w:tcPr>
            <w:tcW w:type="dxa" w:w="5760"/>
          </w:tcPr>
          <w:p>
            <w:r>
              <w:rPr>
                <w:sz w:val="19"/>
              </w:rPr>
              <w:t>Lowest average TNA days first (mean of each PO's PP+GPT+Cutting+Inline delay).</w:t>
            </w:r>
          </w:p>
        </w:tc>
        <w:tc>
          <w:tcPr>
            <w:tcW w:type="dxa" w:w="1872"/>
          </w:tcPr>
          <w:p>
            <w:r>
              <w:rPr>
                <w:sz w:val="19"/>
              </w:rPr>
              <w:t>TNA Tracker</w:t>
            </w:r>
          </w:p>
        </w:tc>
      </w:tr>
      <w:tr>
        <w:tc>
          <w:tcPr>
            <w:tcW w:type="dxa" w:w="2448"/>
            <w:shd w:val="clear" w:color="auto" w:fill="FBF7EF"/>
          </w:tcPr>
          <w:p>
            <w:r>
              <w:rPr>
                <w:b/>
                <w:sz w:val="19"/>
              </w:rPr>
              <w:t>Lowest utilisation</w:t>
            </w:r>
          </w:p>
        </w:tc>
        <w:tc>
          <w:tcPr>
            <w:tcW w:type="dxa" w:w="5760"/>
            <w:shd w:val="clear" w:color="auto" w:fill="FBF7EF"/>
          </w:tcPr>
          <w:p>
            <w:r>
              <w:rPr>
                <w:sz w:val="19"/>
              </w:rPr>
              <w:t>Lowest utilisation first (open qty ÷ capacity × 100) — least overloaded.</w:t>
            </w:r>
          </w:p>
        </w:tc>
        <w:tc>
          <w:tcPr>
            <w:tcW w:type="dxa" w:w="1872"/>
            <w:shd w:val="clear" w:color="auto" w:fill="FBF7EF"/>
          </w:tcPr>
          <w:p>
            <w:r>
              <w:rPr>
                <w:sz w:val="19"/>
              </w:rPr>
              <w:t>Both</w:t>
            </w:r>
          </w:p>
        </w:tc>
      </w:tr>
    </w:tbl>
    <w:p>
      <w:r>
        <w:rPr>
          <w:b w:val="0"/>
          <w:i/>
          <w:color w:val="6E695E"/>
          <w:sz w:val="21"/>
        </w:rPr>
        <w:t>Choosing a product shows only the vendors who have made that product before, with the best on-time vendor starred as the top choice.</w:t>
      </w:r>
    </w:p>
    <w:p>
      <w:r>
        <w:rPr>
          <w:b/>
          <w:color w:val="B58A14"/>
          <w:sz w:val="25"/>
        </w:rPr>
        <w:t>Product Matrix View</w:t>
      </w:r>
    </w:p>
    <w:p>
      <w:pPr>
        <w:pStyle w:val="ListBullet"/>
      </w:pPr>
      <w:r>
        <w:t>Each cell = the sum of pending_qty_actual for that product (row) and vendor (column).</w:t>
      </w:r>
    </w:p>
    <w:p>
      <w:pPr>
        <w:pStyle w:val="ListBullet"/>
      </w:pPr>
      <w:r>
        <w:t>“By Variant” keeps each colour/variant on its own row; “By Product Code” combines them.</w:t>
      </w:r>
    </w:p>
    <w:p>
      <w:pPr>
        <w:pStyle w:val="ListBullet"/>
      </w:pPr>
      <w:r>
        <w:t>The Total row and column add up only the currently open PO quantities.</w:t>
      </w:r>
    </w:p>
    <w:p>
      <w:pPr>
        <w:pBdr>
          <w:bottom w:val="single" w:sz="6" w:space="4" w:color="E7E2D2"/>
        </w:pBdr>
      </w:pPr>
      <w:r>
        <w:rPr>
          <w:b/>
          <w:color w:val="2C2420"/>
          <w:sz w:val="34"/>
        </w:rPr>
        <w:t>4. Common questions &amp; troubleshooting</w:t>
      </w:r>
    </w:p>
    <w:p>
      <w:r>
        <w:rPr>
          <w:b/>
          <w:color w:val="B58A14"/>
          <w:sz w:val="25"/>
        </w:rPr>
        <w:t>The numbers look empty or far too low</w:t>
      </w:r>
    </w:p>
    <w:p>
      <w:r>
        <w:rPr>
          <w:b w:val="0"/>
          <w:i w:val="0"/>
          <w:sz w:val="21"/>
        </w:rPr>
        <w:t>The dashboard is only showing what the sheet currently contains. The most common cause is that a key column in the Pending_PO_MASTER tab — especially pending_qty_actual — has been emptied, renamed, or its formula has broken. Because “Open PO” depends on pending_qty_actual being greater than 0, a blank column makes the whole dashboard look empty. Fix that column in the sheet, wait for the next sync (~5 minutes), and refresh.</w:t>
      </w:r>
    </w:p>
    <w:p>
      <w:r>
        <w:rPr>
          <w:b/>
          <w:color w:val="B58A14"/>
          <w:sz w:val="25"/>
        </w:rPr>
        <w:t>I edited the sheet but nothing changed</w:t>
      </w:r>
    </w:p>
    <w:p>
      <w:r>
        <w:rPr>
          <w:b w:val="0"/>
          <w:i w:val="0"/>
          <w:sz w:val="21"/>
        </w:rPr>
        <w:t>The sync runs every 5 minutes. Give it a few minutes, then refresh the browser. The BUILD time stamp (top-right) confirms when the data last loaded.</w:t>
      </w:r>
    </w:p>
    <w:p>
      <w:r>
        <w:rPr>
          <w:b/>
          <w:color w:val="B58A14"/>
          <w:sz w:val="25"/>
        </w:rPr>
        <w:t>A vendor or PO is missing</w:t>
      </w:r>
    </w:p>
    <w:p>
      <w:pPr>
        <w:pStyle w:val="ListBullet"/>
      </w:pPr>
      <w:r>
        <w:t>Check it still exists in the sheet — rows removed from the sheet drop off the dashboard on the next sync.</w:t>
      </w:r>
    </w:p>
    <w:p>
      <w:pPr>
        <w:pStyle w:val="ListBullet"/>
      </w:pPr>
      <w:r>
        <w:t>Check your filters — an active filter or search may be hiding it. Set every dropdown back to “All” and clear the search box.</w:t>
      </w:r>
    </w:p>
    <w:p>
      <w:r>
        <w:rPr>
          <w:b/>
          <w:color w:val="B58A14"/>
          <w:sz w:val="25"/>
        </w:rPr>
        <w:t>Where do I see the definition of a field while using the app?</w:t>
      </w:r>
    </w:p>
    <w:p>
      <w:r>
        <w:rPr>
          <w:b w:val="0"/>
          <w:i w:val="0"/>
          <w:sz w:val="21"/>
        </w:rPr>
        <w:t>Click “What do these mean?” in the top-right of any tab. It lists the plain-language meaning and the formula for that tab's fields — the same information as Section 3 of this guide.</w:t>
      </w:r>
    </w:p>
    <w:p/>
    <w:p>
      <w:r>
        <w:rPr>
          <w:i/>
          <w:color w:val="6E695E"/>
          <w:sz w:val="18"/>
        </w:rPr>
        <w:t>Note: “pending quantity” in this guide refers to the pending_qty_actual field, which is the dashboard's measure of items still to be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5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