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Heading1"/>
        <w:rPr>
          <w:rFonts w:ascii="Arial" w:hAnsi="Arial" w:cs="Arial"/>
        </w:rPr>
      </w:pPr>
      <w:bookmarkStart w:id="0" w:name="Xa9285b5e2d4efa9fca751cea609504020f983b7"/>
      <w:r>
        <w:rPr>
          <w:rFonts w:ascii="Arial" w:hAnsi="Arial" w:cs="Arial"/>
        </w:rPr>
        <w:t xml:space="preserve">Phishing Email Analysis Report: Case 02 (Cloud Storage Critical Alert)</w:t>
      </w:r>
    </w:p>
    <w:p>
      <w:pPr>
        <w:pStyle w:val="Heading2"/>
        <w:rPr>
          <w:rFonts w:ascii="Arial" w:hAnsi="Arial" w:cs="Arial"/>
        </w:rPr>
      </w:pPr>
      <w:bookmarkStart w:id="1" w:name="sample-source-handling"/>
      <w:r>
        <w:rPr>
          <w:rFonts w:ascii="Arial" w:hAnsi="Arial" w:cs="Arial"/>
        </w:rPr>
        <w:t xml:space="preserve">1. Sample Source &amp; Handling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Source: Personal mailbox sample (second sample from same campaign as Case 01)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Handling: Analyzed in isolated text editor only. No links clicked, no attachments opened.</w:t>
      </w:r>
    </w:p>
    <w:p>
      <w:pPr>
        <w:pStyle w:val="Compact"/>
        <w:numPr>
          <w:ilvl w:val="0"/>
          <w:numId w:val="100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Tools: Manual header inspection, PhishSage header heuristics (</w:t>
      </w:r>
      <w:r>
        <w:rPr>
          <w:rStyle w:val="VerbatimChar"/>
          <w:rFonts w:ascii="Arial" w:hAnsi="Arial" w:cs="Arial"/>
        </w:rPr>
        <w:t xml:space="preserve">case2_header.json</w:t>
      </w:r>
      <w:r>
        <w:rPr>
          <w:rFonts w:ascii="Arial" w:hAnsi="Arial" w:cs="Arial"/>
        </w:rPr>
        <w:t xml:space="preserve">), PhishSage link extraction</w:t>
      </w:r>
    </w:p>
    <w:p>
      <w:pPr>
        <w:pStyle w:val="Heading2"/>
        <w:rPr>
          <w:rFonts w:ascii="Arial" w:hAnsi="Arial" w:cs="Arial"/>
        </w:rPr>
      </w:pPr>
      <w:bookmarkEnd w:id="1"/>
      <w:bookmarkStart w:id="2" w:name="header-analysis"/>
      <w:r>
        <w:rPr>
          <w:rFonts w:ascii="Arial" w:hAnsi="Arial" w:cs="Arial"/>
        </w:rPr>
        <w:t xml:space="preserve">2. Header Analysis</w:t>
      </w:r>
    </w:p>
    <w:p>
      <w:pPr>
        <w:pStyle w:val="Heading3"/>
        <w:rPr>
          <w:rFonts w:ascii="Arial" w:hAnsi="Arial" w:cs="Arial"/>
        </w:rPr>
      </w:pPr>
      <w:bookmarkStart w:id="3" w:name="manual-inspection"/>
      <w:r>
        <w:rPr>
          <w:rFonts w:ascii="Arial" w:hAnsi="Arial" w:cs="Arial"/>
        </w:rPr>
        <w:t xml:space="preserve">2.1 Manual Inspection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2640"/>
        <w:gridCol w:w="297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Check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Result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Verdict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redacted </w:t>
            </w:r>
            <w:hyperlink r:id="rId1" w:history="1">
              <w:r>
                <w:rPr>
                  <w:rStyle w:val="Hyperlink"/>
                  <w:rFonts w:ascii="Arial" w:hAnsi="Arial" w:cs="Arial"/>
                </w:rPr>
                <w:t xml:space="preserve">nooreply@pqk.waiittldksbbn.us</w:t>
              </w:r>
            </w:hyperlink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disposable .us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 (smtp.mailfrom)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qdmhrvlyzogps@alamo.netflix.net.hospitaldelninodif.gob.mx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Real brand names nested inside unrelated .gob.mx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Reply-To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Return-Path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(absent)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Missing entirely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hlpqewhpzggzdbsznyzzddmdtetuef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Random string, no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SPF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pass (for hospitaldelninodif.gob.mx)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Misleading — passes only for attacker-controlled envelope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none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 present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&lt;…bad1smtpin_added_broken@mx.google.com&gt;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Forged to appear as Google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06-06-2026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Malformed (non-RFC 5322)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http://protiviti.com/LEAVE=To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Unrelated domain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Sending IP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89.252.162.206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</w:p>
        </w:tc>
      </w:tr>
    </w:tbl>
    <w:p>
      <w:pPr>
        <w:pStyle w:val="Heading3"/>
        <w:rPr>
          <w:rFonts w:ascii="Arial" w:hAnsi="Arial" w:cs="Arial"/>
        </w:rPr>
      </w:pPr>
      <w:bookmarkEnd w:id="3"/>
      <w:bookmarkStart w:id="4" w:name="X69245b93b4a48dcaa65986ffbdcf4a4b03000d0"/>
      <w:r>
        <w:rPr>
          <w:rFonts w:ascii="Arial" w:hAnsi="Arial" w:cs="Arial"/>
        </w:rPr>
        <w:t xml:space="preserve">2.2 PhishSage Header Heuristics (</w:t>
      </w:r>
      <w:r>
        <w:rPr>
          <w:rStyle w:val="VerbatimChar"/>
          <w:rFonts w:ascii="Arial" w:hAnsi="Arial" w:cs="Arial"/>
        </w:rPr>
        <w:t xml:space="preserve">case2_header.json</w:t>
      </w:r>
      <w:r>
        <w:rPr>
          <w:rFonts w:ascii="Arial" w:hAnsi="Arial" w:cs="Arial"/>
        </w:rPr>
        <w:t xml:space="preserve"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65"/>
        <w:gridCol w:w="4455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Alert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DKIM_MISSING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DKIM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DMARC_MISSING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DMARC result absent from Authentication-Results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MSGID_DOMAIN_MISMATCH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Message-ID domain (mx.google.com) ≠ From domain (waiittldksbbn.us)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MISSING_REPLY_AND_RETURN_PATH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Both Reply-To and Return-Path headers missing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MALFORMED_DATE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Date header does not conform to RFC 5322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MX_ERROR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waiittldksbbn.us</w:t>
            </w:r>
            <w:r>
              <w:rPr>
                <w:rFonts w:ascii="Arial" w:hAnsi="Arial" w:cs="Arial"/>
              </w:rPr>
              <w:t xml:space="preserve"> has no MX record — “Domain name not found”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WHOIS_ERROR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 WHOIS data retrievable for </w:t>
            </w:r>
            <w:r>
              <w:rPr>
                <w:rStyle w:val="VerbatimChar"/>
                <w:rFonts w:ascii="Arial" w:hAnsi="Arial" w:cs="Arial"/>
              </w:rPr>
              <w:t xml:space="preserve">waiittldksbbn.us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Additional tool results: - </w:t>
      </w:r>
      <w:r>
        <w:rPr>
          <w:rFonts w:ascii="Arial" w:hAnsi="Arial" w:cs="Arial"/>
          <w:b/>
          <w:bCs/>
        </w:rPr>
        <w:t xml:space="preserve">SPF:</w:t>
      </w:r>
      <w:r>
        <w:rPr>
          <w:rFonts w:ascii="Arial" w:hAnsi="Arial" w:cs="Arial"/>
        </w:rPr>
        <w:t xml:space="preserve"> pass (envelope domain </w:t>
      </w:r>
      <w:r>
        <w:rPr>
          <w:rStyle w:val="VerbatimChar"/>
          <w:rFonts w:ascii="Arial" w:hAnsi="Arial" w:cs="Arial"/>
        </w:rPr>
        <w:t xml:space="preserve">hospitaldelninodif.gob.mx</w:t>
      </w:r>
      <w:r>
        <w:rPr>
          <w:rFonts w:ascii="Arial" w:hAnsi="Arial" w:cs="Arial"/>
        </w:rPr>
        <w:t xml:space="preserve"> only) - </w:t>
      </w:r>
      <w:r>
        <w:rPr>
          <w:rFonts w:ascii="Arial" w:hAnsi="Arial" w:cs="Arial"/>
          <w:b/>
          <w:bCs/>
        </w:rPr>
        <w:t xml:space="preserve">DKIM / DMARC:</w:t>
      </w:r>
      <w:r>
        <w:rPr>
          <w:rFonts w:ascii="Arial" w:hAnsi="Arial" w:cs="Arial"/>
        </w:rPr>
        <w:t xml:space="preserve"> null (absent) - </w:t>
      </w:r>
      <w:r>
        <w:rPr>
          <w:rFonts w:ascii="Arial" w:hAnsi="Arial" w:cs="Arial"/>
          <w:b/>
          <w:bCs/>
        </w:rPr>
        <w:t xml:space="preserve">Address alignment:</w:t>
      </w:r>
      <w:r>
        <w:rPr>
          <w:rFonts w:ascii="Arial" w:hAnsi="Arial" w:cs="Arial"/>
        </w:rPr>
        <w:t xml:space="preserve"> from_vs_reply = null, from_vs_return = null (both fields absent) - </w:t>
      </w:r>
      <w:r>
        <w:rPr>
          <w:rFonts w:ascii="Arial" w:hAnsi="Arial" w:cs="Arial"/>
          <w:b/>
          <w:bCs/>
        </w:rPr>
        <w:t xml:space="preserve">Spamhaus:</w:t>
      </w:r>
      <w:r>
        <w:rPr>
          <w:rFonts w:ascii="Arial" w:hAnsi="Arial" w:cs="Arial"/>
        </w:rPr>
        <w:t xml:space="preserve"> not listed - </w:t>
      </w:r>
      <w:r>
        <w:rPr>
          <w:rFonts w:ascii="Arial" w:hAnsi="Arial" w:cs="Arial"/>
          <w:b/>
          <w:bCs/>
        </w:rPr>
        <w:t xml:space="preserve">Domain age:</w:t>
      </w:r>
      <w:r>
        <w:rPr>
          <w:rFonts w:ascii="Arial" w:hAnsi="Arial" w:cs="Arial"/>
        </w:rPr>
        <w:t xml:space="preserve"> null (no WHOIS data)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Key finding:</w:t>
      </w:r>
      <w:r>
        <w:rPr>
          <w:rFonts w:ascii="Arial" w:hAnsi="Arial" w:cs="Arial"/>
        </w:rPr>
        <w:t xml:space="preserve"> The From domain </w:t>
      </w:r>
      <w:r>
        <w:rPr>
          <w:rStyle w:val="VerbatimChar"/>
          <w:rFonts w:ascii="Arial" w:hAnsi="Arial" w:cs="Arial"/>
        </w:rPr>
        <w:t xml:space="preserve">waiittldksbbn.us</w:t>
      </w:r>
      <w:r>
        <w:rPr>
          <w:rFonts w:ascii="Arial" w:hAnsi="Arial" w:cs="Arial"/>
        </w:rPr>
        <w:t xml:space="preserve"> has </w:t>
      </w:r>
      <w:r>
        <w:rPr>
          <w:rFonts w:ascii="Arial" w:hAnsi="Arial" w:cs="Arial"/>
          <w:b/>
          <w:bCs/>
        </w:rPr>
        <w:t xml:space="preserve">no MX record and no WHOIS data</w:t>
      </w:r>
      <w:r>
        <w:rPr>
          <w:rFonts w:ascii="Arial" w:hAnsi="Arial" w:cs="Arial"/>
        </w:rPr>
        <w:t xml:space="preserve"> — it cannot receive email, confirming it is a disposable sending-only domain. The envelope domain </w:t>
      </w:r>
      <w:r>
        <w:rPr>
          <w:rStyle w:val="VerbatimChar"/>
          <w:rFonts w:ascii="Arial" w:hAnsi="Arial" w:cs="Arial"/>
        </w:rPr>
        <w:t xml:space="preserve">alamo.netflix.net.hospitaldelninodif.gob.mx</w:t>
      </w:r>
      <w:r>
        <w:rPr>
          <w:rFonts w:ascii="Arial" w:hAnsi="Arial" w:cs="Arial"/>
        </w:rPr>
        <w:t xml:space="preserve"> nests real brand names (</w:t>
      </w:r>
      <w:r>
        <w:rPr>
          <w:rStyle w:val="VerbatimChar"/>
          <w:rFonts w:ascii="Arial" w:hAnsi="Arial" w:cs="Arial"/>
        </w:rPr>
        <w:t xml:space="preserve">netflix</w:t>
      </w:r>
      <w:r>
        <w:rPr>
          <w:rFonts w:ascii="Arial" w:hAnsi="Arial" w:cs="Arial"/>
        </w:rPr>
        <w:t xml:space="preserve">, </w:t>
      </w:r>
      <w:r>
        <w:rPr>
          <w:rStyle w:val="VerbatimChar"/>
          <w:rFonts w:ascii="Arial" w:hAnsi="Arial" w:cs="Arial"/>
        </w:rPr>
        <w:t xml:space="preserve">alamo</w:t>
      </w:r>
      <w:r>
        <w:rPr>
          <w:rFonts w:ascii="Arial" w:hAnsi="Arial" w:cs="Arial"/>
        </w:rPr>
        <w:t xml:space="preserve">) inside a real country-code domain (</w:t>
      </w:r>
      <w:r>
        <w:rPr>
          <w:rStyle w:val="VerbatimChar"/>
          <w:rFonts w:ascii="Arial" w:hAnsi="Arial" w:cs="Arial"/>
        </w:rPr>
        <w:t xml:space="preserve">gob.mx</w:t>
      </w:r>
      <w:r>
        <w:rPr>
          <w:rFonts w:ascii="Arial" w:hAnsi="Arial" w:cs="Arial"/>
        </w:rPr>
        <w:t xml:space="preserve">) to appear legitimate, but it is attacker-controlled — SPF passes only for this domain, which has no relationship to the visible From. DKIM and DMARC are absent, Reply-To and Return-Path are missing, the Message-ID is forged to </w:t>
      </w:r>
      <w:r>
        <w:rPr>
          <w:rStyle w:val="VerbatimChar"/>
          <w:rFonts w:ascii="Arial" w:hAnsi="Arial" w:cs="Arial"/>
        </w:rPr>
        <w:t xml:space="preserve">mx.google.com</w:t>
      </w:r>
      <w:r>
        <w:rPr>
          <w:rFonts w:ascii="Arial" w:hAnsi="Arial" w:cs="Arial"/>
        </w:rPr>
        <w:t xml:space="preserve">, and the Date header is malformed. PhishSage flags 7 distinct header anomalies — the same count and the same categories as Case 01.</w:t>
      </w:r>
    </w:p>
    <w:p>
      <w:pPr>
        <w:pStyle w:val="Heading2"/>
        <w:rPr>
          <w:rFonts w:ascii="Arial" w:hAnsi="Arial" w:cs="Arial"/>
        </w:rPr>
      </w:pPr>
      <w:bookmarkEnd w:id="4"/>
      <w:bookmarkEnd w:id="2"/>
      <w:bookmarkStart w:id="5" w:name="link-analysis"/>
      <w:r>
        <w:rPr>
          <w:rFonts w:ascii="Arial" w:hAnsi="Arial" w:cs="Arial"/>
        </w:rPr>
        <w:t xml:space="preserve">3. Link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49"/>
        <w:gridCol w:w="3249"/>
        <w:gridCol w:w="1421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URL (defanged)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Heuristic Flag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hxxps://storage[.]googleapis[.]com/whilewait/brightway[.]html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Trusted domain abuse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Google Cloud Storage abused for phishing page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hxxps://tinyurl[.]com/VTFDYIKDYFUFL/track/index[.]php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URL shortener + tracking pixel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1x1 image, visible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hxxps://tinyurl[.]com/VTFDYIKDYFUFL/track/index[.]php (second)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Hidden tracking pixel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Style w:val="VerbatimChar"/>
                <w:rFonts w:ascii="Arial" w:hAnsi="Arial" w:cs="Arial"/>
              </w:rPr>
              <w:t xml:space="preserve">display:none</w:t>
            </w:r>
          </w:p>
        </w:tc>
      </w:tr>
    </w:tbl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New technique in Case 02:</w:t>
      </w:r>
      <w:r>
        <w:rPr>
          <w:rFonts w:ascii="Arial" w:hAnsi="Arial" w:cs="Arial"/>
        </w:rPr>
        <w:t xml:space="preserve"> Tracking pixels hosted on </w:t>
      </w:r>
      <w:r>
        <w:rPr>
          <w:rStyle w:val="VerbatimChar"/>
          <w:rFonts w:ascii="Arial" w:hAnsi="Arial" w:cs="Arial"/>
        </w:rPr>
        <w:t xml:space="preserve">tinyurl.com</w:t>
      </w:r>
      <w:r>
        <w:rPr>
          <w:rFonts w:ascii="Arial" w:hAnsi="Arial" w:cs="Arial"/>
        </w:rPr>
        <w:t xml:space="preserve"> — a URL shortener — hide the actual tracking endpoint. This is an additional evasion layer not present in Case 01.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Kit reuse indicator:</w:t>
      </w:r>
      <w:r>
        <w:rPr>
          <w:rFonts w:ascii="Arial" w:hAnsi="Arial" w:cs="Arial"/>
        </w:rPr>
        <w:t xml:space="preserve"> All CTA and footer links resolve to the same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path as Case 01, but with a different HTML file (</w:t>
      </w:r>
      <w:r>
        <w:rPr>
          <w:rStyle w:val="VerbatimChar"/>
          <w:rFonts w:ascii="Arial" w:hAnsi="Arial" w:cs="Arial"/>
        </w:rPr>
        <w:t xml:space="preserve">brightway.html</w:t>
      </w:r>
      <w:r>
        <w:rPr>
          <w:rFonts w:ascii="Arial" w:hAnsi="Arial" w:cs="Arial"/>
        </w:rPr>
        <w:t xml:space="preserve"> vs </w:t>
      </w:r>
      <w:r>
        <w:rPr>
          <w:rStyle w:val="VerbatimChar"/>
          <w:rFonts w:ascii="Arial" w:hAnsi="Arial" w:cs="Arial"/>
        </w:rPr>
        <w:t xml:space="preserve">comessuccess.html</w:t>
      </w:r>
      <w:r>
        <w:rPr>
          <w:rFonts w:ascii="Arial" w:hAnsi="Arial" w:cs="Arial"/>
        </w:rPr>
        <w:t xml:space="preserve">). This is strong evidence both samples were generated by the same phishing kit.</w:t>
      </w:r>
    </w:p>
    <w:p>
      <w:pPr>
        <w:pStyle w:val="Heading2"/>
        <w:rPr>
          <w:rFonts w:ascii="Arial" w:hAnsi="Arial" w:cs="Arial"/>
        </w:rPr>
      </w:pPr>
      <w:bookmarkEnd w:id="5"/>
      <w:bookmarkStart w:id="6" w:name="social-engineering-observations"/>
      <w:r>
        <w:rPr>
          <w:rFonts w:ascii="Arial" w:hAnsi="Arial" w:cs="Arial"/>
        </w:rPr>
        <w:t xml:space="preserve">4. Social Engineering Observations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Pretext:</w:t>
      </w:r>
      <w:r>
        <w:rPr>
          <w:rFonts w:ascii="Arial" w:hAnsi="Arial" w:cs="Arial"/>
        </w:rPr>
        <w:t xml:space="preserve"> Fake cloud storage account over-limit / scheduled deletion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Urgency cue:</w:t>
      </w:r>
      <w:r>
        <w:rPr>
          <w:rFonts w:ascii="Arial" w:hAnsi="Arial" w:cs="Arial"/>
        </w:rPr>
        <w:t xml:space="preserve"> “FINAL WARNING: ACCOUNT OVER LIMIT”; “permanent purging of your oldest files”; “deletion queue”; “Today, 06-06-2026”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Threat amplification:</w:t>
      </w:r>
      <w:r>
        <w:rPr>
          <w:rFonts w:ascii="Arial" w:hAnsi="Arial" w:cs="Arial"/>
        </w:rPr>
        <w:t xml:space="preserve"> Visual progress bar at “97% Full (CRITICAL)”; “SYNC SERVICES SUSPENDED”; “permanent loss of 249.6 GB”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Authority impersonation:</w:t>
      </w:r>
      <w:r>
        <w:rPr>
          <w:rFonts w:ascii="Arial" w:hAnsi="Arial" w:cs="Arial"/>
        </w:rPr>
        <w:t xml:space="preserve"> “Cloud Secure Global Operations” with a San Francisco address — but links abuse </w:t>
      </w:r>
      <w:r>
        <w:rPr>
          <w:rStyle w:val="VerbatimChar"/>
          <w:rFonts w:ascii="Arial" w:hAnsi="Arial" w:cs="Arial"/>
        </w:rPr>
        <w:t xml:space="preserve">storage.googleapis.com</w:t>
      </w:r>
      <w:r>
        <w:rPr>
          <w:rFonts w:ascii="Arial" w:hAnsi="Arial" w:cs="Arial"/>
        </w:rPr>
        <w:t xml:space="preserve">, contradicting the claimed brand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Internal consistency artifact:</w:t>
      </w:r>
      <w:r>
        <w:rPr>
          <w:rFonts w:ascii="Arial" w:hAnsi="Arial" w:cs="Arial"/>
        </w:rPr>
        <w:t xml:space="preserve"> Date header, subject, and body all use </w:t>
      </w:r>
      <w:r>
        <w:rPr>
          <w:rStyle w:val="VerbatimChar"/>
          <w:rFonts w:ascii="Arial" w:hAnsi="Arial" w:cs="Arial"/>
        </w:rPr>
        <w:t xml:space="preserve">06-06-2026</w:t>
      </w:r>
      <w:r>
        <w:rPr>
          <w:rFonts w:ascii="Arial" w:hAnsi="Arial" w:cs="Arial"/>
        </w:rPr>
        <w:t xml:space="preserve"> — the kit generator now fills a coherent date across fields</w:t>
      </w:r>
    </w:p>
    <w:p>
      <w:pPr>
        <w:pStyle w:val="Compact"/>
        <w:numPr>
          <w:ilvl w:val="0"/>
          <w:numId w:val="100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Evasion:</w:t>
      </w:r>
      <w:r>
        <w:rPr>
          <w:rFonts w:ascii="Arial" w:hAnsi="Arial" w:cs="Arial"/>
        </w:rPr>
        <w:t xml:space="preserve"> Subject is plaintext (unlike Case 01’s Base64 + U+FFFD); body contains the same hidden garbled text and scraped Guardian article content; tracking pixels on a URL shortener</w:t>
      </w:r>
    </w:p>
    <w:p>
      <w:pPr>
        <w:pStyle w:val="Heading2"/>
        <w:rPr>
          <w:rFonts w:ascii="Arial" w:hAnsi="Arial" w:cs="Arial"/>
        </w:rPr>
      </w:pPr>
      <w:bookmarkEnd w:id="6"/>
      <w:bookmarkStart w:id="7" w:name="indicators-of-compromise-iocs"/>
      <w:r>
        <w:rPr>
          <w:rFonts w:ascii="Arial" w:hAnsi="Arial" w:cs="Arial"/>
        </w:rPr>
        <w:t xml:space="preserve">5. Indicators of Compromise (IOCs)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5940"/>
      </w:tblGrid>
      <w:tr>
        <w:trPr>
          <w:tblHeader/>
        </w:trP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Type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Value (defanged)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From address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nooreply@pqk.waiittldksbbn[.]us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Envelope sender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qdmhrvlyzogps@alamo.netflix.net.hospitaldelninodif.gob[.]mx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Sending IP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89.252.162[.]206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Phishing URL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hxxps://storage[.]googleapis[.]com/whilewait/brightway[.]html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Tracking pixel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hxxps://tinyurl[.]com/VTFDYIKDYFUFL/track/index[.]php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Sender header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hlpqewhpzggzdbsznyzzddmdtetuef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List-Unsubscribe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protiviti[.]com</w:t>
            </w:r>
          </w:p>
        </w:tc>
      </w:tr>
      <w:tr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Forged Message-ID domain</w:t>
            </w:r>
          </w:p>
        </w:tc>
        <w:tc>
          <w:tcPr>
            <w:tcW w:w="0" w:type="auto"/>
          </w:tcPr>
          <w:p>
            <w:pPr>
              <w:pStyle w:val="Compac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mx[.]google[.]com</w:t>
            </w:r>
          </w:p>
        </w:tc>
      </w:tr>
    </w:tbl>
    <w:p>
      <w:pPr>
        <w:pStyle w:val="Heading2"/>
        <w:rPr>
          <w:rFonts w:ascii="Arial" w:hAnsi="Arial" w:cs="Arial"/>
        </w:rPr>
      </w:pPr>
      <w:bookmarkEnd w:id="7"/>
      <w:bookmarkStart w:id="8" w:name="verdict"/>
      <w:r>
        <w:rPr>
          <w:rFonts w:ascii="Arial" w:hAnsi="Arial" w:cs="Arial"/>
        </w:rPr>
        <w:t xml:space="preserve">6. Verdict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Classification: Phishing — same kit as Case 01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Reasoning:</w:t>
      </w:r>
      <w:r>
        <w:rPr>
          <w:rFonts w:ascii="Arial" w:hAnsi="Arial" w:cs="Arial"/>
        </w:rPr>
        <w:t xml:space="preserve"> This message impersonates a generic cloud storage provider and threatens data deletion to force an upgrade click. The From domain is a disposable </w:t>
      </w:r>
      <w:r>
        <w:rPr>
          <w:rStyle w:val="VerbatimChar"/>
          <w:rFonts w:ascii="Arial" w:hAnsi="Arial" w:cs="Arial"/>
        </w:rPr>
        <w:t xml:space="preserve">.us</w:t>
      </w:r>
      <w:r>
        <w:rPr>
          <w:rFonts w:ascii="Arial" w:hAnsi="Arial" w:cs="Arial"/>
        </w:rPr>
        <w:t xml:space="preserve"> domain with no MX record and no WHOIS data. The envelope domain nests real brand names (</w:t>
      </w:r>
      <w:r>
        <w:rPr>
          <w:rStyle w:val="VerbatimChar"/>
          <w:rFonts w:ascii="Arial" w:hAnsi="Arial" w:cs="Arial"/>
        </w:rPr>
        <w:t xml:space="preserve">netflix</w:t>
      </w:r>
      <w:r>
        <w:rPr>
          <w:rFonts w:ascii="Arial" w:hAnsi="Arial" w:cs="Arial"/>
        </w:rPr>
        <w:t xml:space="preserve">, </w:t>
      </w:r>
      <w:r>
        <w:rPr>
          <w:rStyle w:val="VerbatimChar"/>
          <w:rFonts w:ascii="Arial" w:hAnsi="Arial" w:cs="Arial"/>
        </w:rPr>
        <w:t xml:space="preserve">alamo</w:t>
      </w:r>
      <w:r>
        <w:rPr>
          <w:rFonts w:ascii="Arial" w:hAnsi="Arial" w:cs="Arial"/>
        </w:rPr>
        <w:t xml:space="preserve">) inside an unrelated </w:t>
      </w:r>
      <w:r>
        <w:rPr>
          <w:rStyle w:val="VerbatimChar"/>
          <w:rFonts w:ascii="Arial" w:hAnsi="Arial" w:cs="Arial"/>
        </w:rPr>
        <w:t xml:space="preserve">.gob.mx</w:t>
      </w:r>
      <w:r>
        <w:rPr>
          <w:rFonts w:ascii="Arial" w:hAnsi="Arial" w:cs="Arial"/>
        </w:rPr>
        <w:t xml:space="preserve"> domain, and SPF passes only for that attacker-controlled envelope. DKIM and DMARC are absent; Reply-To and Return-Path are missing; the Message-ID is forged to </w:t>
      </w:r>
      <w:r>
        <w:rPr>
          <w:rStyle w:val="VerbatimChar"/>
          <w:rFonts w:ascii="Arial" w:hAnsi="Arial" w:cs="Arial"/>
        </w:rPr>
        <w:t xml:space="preserve">mx.google.com</w:t>
      </w:r>
      <w:r>
        <w:rPr>
          <w:rFonts w:ascii="Arial" w:hAnsi="Arial" w:cs="Arial"/>
        </w:rPr>
        <w:t xml:space="preserve">; </w:t>
      </w:r>
      <w:r>
        <w:rPr>
          <w:rStyle w:val="VerbatimChar"/>
          <w:rFonts w:ascii="Arial" w:hAnsi="Arial" w:cs="Arial"/>
        </w:rPr>
        <w:t xml:space="preserve">List-Unsubscribe</w:t>
      </w:r>
      <w:r>
        <w:rPr>
          <w:rFonts w:ascii="Arial" w:hAnsi="Arial" w:cs="Arial"/>
        </w:rPr>
        <w:t xml:space="preserve"> points to an unrelated domain. The CTA and footer links resolve to the same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path as Case 01, and the body contains the same garbled filler and scraped Guardian content, confirming </w:t>
      </w:r>
      <w:r>
        <w:rPr>
          <w:rFonts w:ascii="Arial" w:hAnsi="Arial" w:cs="Arial"/>
          <w:b/>
          <w:bCs/>
        </w:rPr>
        <w:t xml:space="preserve">kit reuse</w:t>
      </w:r>
      <w:r>
        <w:rPr>
          <w:rFonts w:ascii="Arial" w:hAnsi="Arial" w:cs="Arial"/>
        </w:rPr>
        <w:t xml:space="preserve">. The new tracking pixel technique on </w:t>
      </w:r>
      <w:r>
        <w:rPr>
          <w:rStyle w:val="VerbatimChar"/>
          <w:rFonts w:ascii="Arial" w:hAnsi="Arial" w:cs="Arial"/>
        </w:rPr>
        <w:t xml:space="preserve">tinyurl.com</w:t>
      </w:r>
      <w:r>
        <w:rPr>
          <w:rFonts w:ascii="Arial" w:hAnsi="Arial" w:cs="Arial"/>
        </w:rPr>
        <w:t xml:space="preserve"> is an incremental evasion improvement over Case 01.</w:t>
      </w:r>
    </w:p>
    <w:p>
      <w:pPr>
        <w:pStyle w:val="Heading2"/>
        <w:rPr>
          <w:rFonts w:ascii="Arial" w:hAnsi="Arial" w:cs="Arial"/>
        </w:rPr>
      </w:pPr>
      <w:bookmarkEnd w:id="8"/>
      <w:bookmarkStart w:id="9" w:name="detection-recommendation"/>
      <w:r>
        <w:rPr>
          <w:rFonts w:ascii="Arial" w:hAnsi="Arial" w:cs="Arial"/>
        </w:rPr>
        <w:t xml:space="preserve">7. Detection Recommendation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Campaign-level rule:</w:t>
      </w:r>
      <w:r>
        <w:rPr>
          <w:rFonts w:ascii="Arial" w:hAnsi="Arial" w:cs="Arial"/>
        </w:rPr>
        <w:t xml:space="preserve"> Alert on any email whose body links to </w:t>
      </w:r>
      <w:r>
        <w:rPr>
          <w:rStyle w:val="VerbatimChar"/>
          <w:rFonts w:ascii="Arial" w:hAnsi="Arial" w:cs="Arial"/>
        </w:rPr>
        <w:t xml:space="preserve">storage.googleapis.com/whilewait/*</w:t>
      </w:r>
      <w:r>
        <w:rPr>
          <w:rFonts w:ascii="Arial" w:hAnsi="Arial" w:cs="Arial"/>
        </w:rPr>
        <w:t xml:space="preserve"> — this path is shared across both samples and is kit-specific.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Tracking pixel detection:</w:t>
      </w:r>
      <w:r>
        <w:rPr>
          <w:rFonts w:ascii="Arial" w:hAnsi="Arial" w:cs="Arial"/>
        </w:rPr>
        <w:t xml:space="preserve"> Flag messages containing 1x1 images hosted on URL shorteners (e.g., </w:t>
      </w:r>
      <w:r>
        <w:rPr>
          <w:rStyle w:val="VerbatimChar"/>
          <w:rFonts w:ascii="Arial" w:hAnsi="Arial" w:cs="Arial"/>
        </w:rPr>
        <w:t xml:space="preserve">tinyurl.com</w:t>
      </w:r>
      <w:r>
        <w:rPr>
          <w:rFonts w:ascii="Arial" w:hAnsi="Arial" w:cs="Arial"/>
        </w:rPr>
        <w:t xml:space="preserve">), especially when combined with </w:t>
      </w:r>
      <w:r>
        <w:rPr>
          <w:rStyle w:val="VerbatimChar"/>
          <w:rFonts w:ascii="Arial" w:hAnsi="Arial" w:cs="Arial"/>
        </w:rPr>
        <w:t xml:space="preserve">display:none</w:t>
      </w:r>
      <w:r>
        <w:rPr>
          <w:rFonts w:ascii="Arial" w:hAnsi="Arial" w:cs="Arial"/>
        </w:rPr>
        <w:t xml:space="preserve">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Envelope brand-nesting rule:</w:t>
      </w:r>
      <w:r>
        <w:rPr>
          <w:rFonts w:ascii="Arial" w:hAnsi="Arial" w:cs="Arial"/>
        </w:rPr>
        <w:t xml:space="preserve"> Flag messages where the envelope domain contains well-known brand names as subdomains but the From domain does not match the brand.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Cross-sample correlation:</w:t>
      </w:r>
      <w:r>
        <w:rPr>
          <w:rFonts w:ascii="Arial" w:hAnsi="Arial" w:cs="Arial"/>
        </w:rPr>
        <w:t xml:space="preserve"> Maintain an IOC watchlist of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and </w:t>
      </w:r>
      <w:r>
        <w:rPr>
          <w:rStyle w:val="VerbatimChar"/>
          <w:rFonts w:ascii="Arial" w:hAnsi="Arial" w:cs="Arial"/>
        </w:rPr>
        <w:t xml:space="preserve">tinyurl.com/VTFDYIKDYFUFL/</w:t>
      </w:r>
      <w:r>
        <w:rPr>
          <w:rFonts w:ascii="Arial" w:hAnsi="Arial" w:cs="Arial"/>
        </w:rPr>
        <w:t xml:space="preserve"> — both are campaign-specific and reusable across future samples.</w:t>
      </w:r>
    </w:p>
    <w:p>
      <w:pPr>
        <w:pStyle w:val="Compact"/>
        <w:numPr>
          <w:ilvl w:val="0"/>
          <w:numId w:val="1003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MX-less From domain rule:</w:t>
      </w:r>
      <w:r>
        <w:rPr>
          <w:rFonts w:ascii="Arial" w:hAnsi="Arial" w:cs="Arial"/>
        </w:rPr>
        <w:t xml:space="preserve"> Flag any inbound message where the From domain has no MX record, regardless of SPF result.</w:t>
      </w:r>
    </w:p>
    <w:p>
      <w:pPr>
        <w:pStyle w:val="Heading2"/>
        <w:rPr>
          <w:rFonts w:ascii="Arial" w:hAnsi="Arial" w:cs="Arial"/>
        </w:rPr>
      </w:pPr>
      <w:bookmarkEnd w:id="9"/>
      <w:bookmarkStart w:id="10" w:name="connection-to-simulation-experience"/>
      <w:r>
        <w:rPr>
          <w:rFonts w:ascii="Arial" w:hAnsi="Arial" w:cs="Arial"/>
        </w:rPr>
        <w:t xml:space="preserve">8. Connection to Simulation Experience</w:t>
      </w:r>
    </w:p>
    <w:p>
      <w:pPr>
        <w:pStyle w:val="Fir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sample reinforces a lesson from Case 01 and adds a new one. Our simulations tested whether users would click a link in a </w:t>
      </w:r>
      <w:r>
        <w:rPr>
          <w:rFonts w:ascii="Arial" w:hAnsi="Arial" w:cs="Arial"/>
          <w:i/>
          <w:iCs/>
        </w:rPr>
        <w:t xml:space="preserve">plainly branded</w:t>
      </w:r>
      <w:r>
        <w:rPr>
          <w:rFonts w:ascii="Arial" w:hAnsi="Arial" w:cs="Arial"/>
        </w:rPr>
        <w:t xml:space="preserve"> email. Case 02 shows that real attackers use </w:t>
      </w:r>
      <w:r>
        <w:rPr>
          <w:rFonts w:ascii="Arial" w:hAnsi="Arial" w:cs="Arial"/>
          <w:b/>
          <w:bCs/>
        </w:rPr>
        <w:t xml:space="preserve">generic but visually polished</w:t>
      </w:r>
      <w:r>
        <w:rPr>
          <w:rFonts w:ascii="Arial" w:hAnsi="Arial" w:cs="Arial"/>
        </w:rPr>
        <w:t xml:space="preserve"> branding (“Cloud Secure”) and rely on </w:t>
      </w:r>
      <w:r>
        <w:rPr>
          <w:rFonts w:ascii="Arial" w:hAnsi="Arial" w:cs="Arial"/>
          <w:i/>
          <w:iCs/>
        </w:rPr>
        <w:t xml:space="preserve">visual urgency</w:t>
      </w:r>
      <w:r>
        <w:rPr>
          <w:rFonts w:ascii="Arial" w:hAnsi="Arial" w:cs="Arial"/>
        </w:rPr>
        <w:t xml:space="preserve"> — progress bars, red warning blocks, “FINAL WARNING” — rather than brand recognition. A user who passed a Google-branded simulation might still click this because the design </w:t>
      </w:r>
      <w:r>
        <w:rPr>
          <w:rFonts w:ascii="Arial" w:hAnsi="Arial" w:cs="Arial"/>
          <w:i/>
          <w:iCs/>
        </w:rPr>
        <w:t xml:space="preserve">feels</w:t>
      </w:r>
      <w:r>
        <w:rPr>
          <w:rFonts w:ascii="Arial" w:hAnsi="Arial" w:cs="Arial"/>
        </w:rPr>
        <w:t xml:space="preserve"> like a real system alert.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I would update our simulation design in two ways: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1. Add a “generic system alert” template using visual urgency (progress bars, red blocks) without a recognizable brand.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2. Add a tracking-pixel awareness note to the post-simulation debrief, explaining that even </w:t>
      </w:r>
      <w:r>
        <w:rPr>
          <w:rFonts w:ascii="Arial" w:hAnsi="Arial" w:cs="Arial"/>
          <w:i/>
          <w:iCs/>
        </w:rPr>
        <w:t xml:space="preserve">opening</w:t>
      </w:r>
      <w:r>
        <w:rPr>
          <w:rFonts w:ascii="Arial" w:hAnsi="Arial" w:cs="Arial"/>
        </w:rPr>
        <w:t xml:space="preserve"> an email can leak information to attackers via hidden pixels.</w:t>
      </w:r>
    </w:p>
    <w:p>
      <w:pPr>
        <w:pStyle w:val="BodyText"/>
        <w:rPr>
          <w:rFonts w:ascii="Arial" w:hAnsi="Arial" w:cs="Arial"/>
        </w:rPr>
      </w:pPr>
      <w:r>
        <w:rPr>
          <w:rFonts w:ascii="Arial" w:hAnsi="Arial" w:cs="Arial"/>
        </w:rPr>
        <w:t xml:space="preserve">For SOC triage, I would add a rule: any user-reported email containing links to </w:t>
      </w:r>
      <w:r>
        <w:rPr>
          <w:rStyle w:val="VerbatimChar"/>
          <w:rFonts w:ascii="Arial" w:hAnsi="Arial" w:cs="Arial"/>
        </w:rPr>
        <w:t xml:space="preserve">storage.googleapis.com/whilewait/</w:t>
      </w:r>
      <w:r>
        <w:rPr>
          <w:rFonts w:ascii="Arial" w:hAnsi="Arial" w:cs="Arial"/>
        </w:rPr>
        <w:t xml:space="preserve"> or tracking pixels on </w:t>
      </w:r>
      <w:r>
        <w:rPr>
          <w:rStyle w:val="VerbatimChar"/>
          <w:rFonts w:ascii="Arial" w:hAnsi="Arial" w:cs="Arial"/>
        </w:rPr>
        <w:t xml:space="preserve">tinyurl.com</w:t>
      </w:r>
      <w:r>
        <w:rPr>
          <w:rFonts w:ascii="Arial" w:hAnsi="Arial" w:cs="Arial"/>
        </w:rPr>
        <w:t xml:space="preserve"> should be automatically escalated and added to the campaign IOC list, since these are kit-specific indicators shared across multiple samples.</w:t>
      </w:r>
      <w:bookmarkEnd w:id="10"/>
      <w:bookmarkEnd w:id="0"/>
    </w:p>
    <w:sectPr>
      <w:footnotePr>
        <w:numRestart w:val="eachSect"/>
      </w:footnote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990">
    <w:nsid w:val="0000A990"/>
    <w:multiLevelType w:val="multilevel"/>
    <w:lvl w:ilvl="0">
      <w:start w:val="1"/>
      <w:numFmt w:val="bullet"/>
      <w:lvlText w:val=" "/>
      <w:lvlJc w:val="left"/>
      <w:pPr>
        <w:ind w:left="720" w:hanging="360"/>
      </w:pPr>
    </w:lvl>
    <w:lvl w:ilvl="1">
      <w:start w:val="1"/>
      <w:numFmt w:val="bullet"/>
      <w:lvlText w:val=" "/>
      <w:lvlJc w:val="left"/>
      <w:pPr>
        <w:ind w:left="1440" w:hanging="360"/>
      </w:pPr>
    </w:lvl>
    <w:lvl w:ilvl="2">
      <w:start w:val="1"/>
      <w:numFmt w:val="bullet"/>
      <w:lvlText w:val=" "/>
      <w:lvlJc w:val="left"/>
      <w:pPr>
        <w:ind w:left="2160" w:hanging="360"/>
      </w:pPr>
    </w:lvl>
    <w:lvl w:ilvl="3">
      <w:start w:val="1"/>
      <w:numFmt w:val="bullet"/>
      <w:lvlText w:val=" "/>
      <w:lvlJc w:val="left"/>
      <w:pPr>
        <w:ind w:left="2880" w:hanging="360"/>
      </w:pPr>
    </w:lvl>
    <w:lvl w:ilvl="4">
      <w:start w:val="1"/>
      <w:numFmt w:val="bullet"/>
      <w:lvlText w:val=" "/>
      <w:lvlJc w:val="left"/>
      <w:pPr>
        <w:ind w:left="3600" w:hanging="360"/>
      </w:pPr>
    </w:lvl>
    <w:lvl w:ilvl="5">
      <w:start w:val="1"/>
      <w:numFmt w:val="bullet"/>
      <w:lvlText w:val=" "/>
      <w:lvlJc w:val="left"/>
      <w:pPr>
        <w:ind w:left="4320" w:hanging="360"/>
      </w:pPr>
    </w:lvl>
    <w:lvl w:ilvl="6">
      <w:start w:val="1"/>
      <w:numFmt w:val="bullet"/>
      <w:lvlText w:val=" "/>
      <w:lvlJc w:val="left"/>
      <w:pPr>
        <w:ind w:left="5040" w:hanging="360"/>
      </w:pPr>
    </w:lvl>
    <w:lvl w:ilvl="7">
      <w:start w:val="1"/>
      <w:numFmt w:val="bullet"/>
      <w:lvlText w:val=" "/>
      <w:lvlJc w:val="left"/>
      <w:pPr>
        <w:ind w:left="5760" w:hanging="360"/>
      </w:pPr>
    </w:lvl>
    <w:lvl w:ilvl="8">
      <w:start w:val="1"/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Fmt w:val="decimal"/>
    <w:footnote w:id="-1"/>
    <w:footnote w:id="0"/>
  </w:footnotePr>
  <w:endnotePr>
    <w:numFmt w:val="lowerRoman"/>
  </w:endnotePr>
  <w:compat>
    <w:compatSetting w:name="compatibilityMode" w:uri="http://schemas.microsoft.com/office/word" w:val="12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pPr>
      <w:spacing w:after="80" w:line="240" w:lineRule="auto"/>
      <w:contextualSpacing/>
      <w:jc w:val="center"/>
    </w:pPr>
    <w:rPr>
      <w:rFonts w:ascii="Aptos Display" w:hAnsi="Aptos Display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BlockText">
    <w:name w:val="Block Text"/>
    <w:basedOn w:val="BodyText"/>
    <w:next w:val="BodyText"/>
    <w:uiPriority w:val="9"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qFormat/>
  </w:style>
  <w:style w:type="paragraph" w:styleId="FootnoteBlockText">
    <w:name w:val="Footnote Block Text"/>
    <w:basedOn w:val="FootnoteText"/>
    <w:next w:val="FootnoteText"/>
    <w:uiPriority w:val="9"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4" w:space="0" w:color="auto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56082"/>
    </w:rPr>
  </w:style>
  <w:style w:type="paragraph" w:styleId="TOCHeading">
    <w:name w:val="TOC Heading"/>
    <w:basedOn w:val="Heading1"/>
    <w:next w:val="BodyText"/>
    <w:uiPriority w:val="39"/>
    <w:qFormat/>
    <w:pPr>
      <w:spacing w:before="240" w:line="259" w:lineRule="auto"/>
      <w:outlineLvl w:val="9"/>
    </w:pPr>
    <w:rPr>
      <w:rFonts w:ascii="Aptos Display" w:hAnsi="Aptos Display"/>
      <w:b w:val="0"/>
      <w:bCs w:val="0"/>
      <w:color w:val="104861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mailto:nooreply@pqk.waiittldksbbn.us" TargetMode="External"/><Relationship Id="rId2" Type="http://schemas.openxmlformats.org/officeDocument/2006/relationships/footnotes" Target="footnotes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976</Words>
  <Paragraphs>121</Paragraphs>
  <DocSecurity>0</DocSecurity>
  <SharedDoc>false</SharedDoc>
  <HyperlinksChanged>false</HyperlinksChanged>
  <LinksUpToDate>false</LinksUpToDate>
  <Template>Normal.dotm</Template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2026-10-28T13:26:31Z</dcterms:created>
  <dcterms:modified xsi:type="dcterms:W3CDTF">2026-10-28T17:41:09Z</dcterms:modified>
</cp:coreProperties>
</file>