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  <w:rPr>
          <w:rFonts w:ascii="Arial" w:hAnsi="Arial" w:cs="Arial"/>
        </w:rPr>
      </w:pPr>
      <w:bookmarkStart w:id="0" w:name="X675cc93801a51c38f569b50688b8d27ea083f77"/>
      <w:r>
        <w:rPr>
          <w:rFonts w:ascii="Arial" w:hAnsi="Arial" w:cs="Arial"/>
        </w:rPr>
        <w:t xml:space="preserve">Phishing Email Analysis Report: Case 03 (Fake CNN Diabetes Cure)</w:t>
      </w:r>
    </w:p>
    <w:p>
      <w:pPr>
        <w:pStyle w:val="Heading2"/>
        <w:rPr>
          <w:rFonts w:ascii="Arial" w:hAnsi="Arial" w:cs="Arial"/>
        </w:rPr>
      </w:pPr>
      <w:bookmarkStart w:id="1" w:name="sample-source-handling"/>
      <w:r>
        <w:rPr>
          <w:rFonts w:ascii="Arial" w:hAnsi="Arial" w:cs="Arial"/>
        </w:rPr>
        <w:t xml:space="preserve">1. Sample Source &amp; Handling</w:t>
      </w:r>
    </w:p>
    <w:p>
      <w:pPr>
        <w:pStyle w:val="Compact"/>
        <w:numPr>
          <w:ilvl w:val="0"/>
          <w:numId w:val="100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Source: Personal mailbox sample (third sample from same campaign as Cases 01–02)</w:t>
      </w:r>
    </w:p>
    <w:p>
      <w:pPr>
        <w:pStyle w:val="Compact"/>
        <w:numPr>
          <w:ilvl w:val="0"/>
          <w:numId w:val="100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Handling: Analyzed in isolated text editor only. No links clicked, no attachments opened.</w:t>
      </w:r>
    </w:p>
    <w:p>
      <w:pPr>
        <w:pStyle w:val="Compact"/>
        <w:numPr>
          <w:ilvl w:val="0"/>
          <w:numId w:val="100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Tools: Manual header inspection, PhishSage header heuristics (</w:t>
      </w:r>
      <w:r>
        <w:rPr>
          <w:rStyle w:val="VerbatimChar"/>
          <w:rFonts w:ascii="Arial" w:hAnsi="Arial" w:cs="Arial"/>
        </w:rPr>
        <w:t xml:space="preserve">case3_header.json</w:t>
      </w:r>
      <w:r>
        <w:rPr>
          <w:rFonts w:ascii="Arial" w:hAnsi="Arial" w:cs="Arial"/>
        </w:rPr>
        <w:t xml:space="preserve">), PhishSage link extraction</w:t>
      </w:r>
    </w:p>
    <w:p>
      <w:pPr>
        <w:pStyle w:val="Heading2"/>
        <w:rPr>
          <w:rFonts w:ascii="Arial" w:hAnsi="Arial" w:cs="Arial"/>
        </w:rPr>
      </w:pPr>
      <w:bookmarkEnd w:id="1"/>
      <w:bookmarkStart w:id="2" w:name="header-analysis"/>
      <w:r>
        <w:rPr>
          <w:rFonts w:ascii="Arial" w:hAnsi="Arial" w:cs="Arial"/>
        </w:rPr>
        <w:t xml:space="preserve">2. Header Analysis</w:t>
      </w:r>
    </w:p>
    <w:p>
      <w:pPr>
        <w:pStyle w:val="Heading3"/>
        <w:rPr>
          <w:rFonts w:ascii="Arial" w:hAnsi="Arial" w:cs="Arial"/>
        </w:rPr>
      </w:pPr>
      <w:bookmarkStart w:id="3" w:name="manual-inspection"/>
      <w:r>
        <w:rPr>
          <w:rFonts w:ascii="Arial" w:hAnsi="Arial" w:cs="Arial"/>
        </w:rPr>
        <w:t xml:space="preserve">2.1 Manual Inspection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0"/>
        <w:gridCol w:w="2640"/>
        <w:gridCol w:w="2970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Result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Verdict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From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Daily-Health-Alert </w:t>
            </w:r>
            <w:hyperlink r:id="rId1" w:history="1">
              <w:r>
                <w:rPr>
                  <w:rStyle w:val="Hyperlink"/>
                  <w:rFonts w:ascii="Arial" w:hAnsi="Arial" w:cs="Arial"/>
                </w:rPr>
                <w:t xml:space="preserve">nooreply@ixv.neyjfjhvqtyhw.us</w:t>
              </w:r>
            </w:hyperlink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Random disposable .us domain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Envelope sender (smtp.mailfrom)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honoeyfwnszzq@igxdmwqik.ggiezotemoe.omegaeu.com.mx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Real-looking ccTLD structure, attacker-controlled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Reply-To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(absent)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Missing entirely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Return-Path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(absent)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Missing entirely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Sender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otwbxsfplxrboxxcjvypyptiuxdxkp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Random string, no domain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SPF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pass (for omega eu.com.mx)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Misleading — passes only for attacker-controlled envelope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DKIM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none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present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DMARC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none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present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Message-ID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&lt;…bad1smtpin_added_broken@mx.google.com&gt;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Forged to appear as Google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04-18-2026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Malformed (non-RFC 5322)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List-Unsubscribe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http://prhspeakers.com/LEAVE=To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Unrelated domain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Sending IP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94.102.7.224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</w:p>
        </w:tc>
      </w:tr>
    </w:tbl>
    <w:p>
      <w:pPr>
        <w:pStyle w:val="Heading3"/>
        <w:rPr>
          <w:rFonts w:ascii="Arial" w:hAnsi="Arial" w:cs="Arial"/>
        </w:rPr>
      </w:pPr>
      <w:bookmarkEnd w:id="3"/>
      <w:bookmarkStart w:id="4" w:name="Xbafb2161ca3035692d2ce465bbdb45bb816c103"/>
      <w:r>
        <w:rPr>
          <w:rFonts w:ascii="Arial" w:hAnsi="Arial" w:cs="Arial"/>
        </w:rPr>
        <w:t xml:space="preserve">2.2 PhishSage Header Heuristics (</w:t>
      </w:r>
      <w:r>
        <w:rPr>
          <w:rStyle w:val="VerbatimChar"/>
          <w:rFonts w:ascii="Arial" w:hAnsi="Arial" w:cs="Arial"/>
        </w:rPr>
        <w:t xml:space="preserve">case3_header.json</w:t>
      </w:r>
      <w:r>
        <w:rPr>
          <w:rFonts w:ascii="Arial" w:hAnsi="Arial" w:cs="Arial"/>
        </w:rPr>
        <w:t xml:space="preserve"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65"/>
        <w:gridCol w:w="4455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Alert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Meaning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DKIM_MISSING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DKIM result absent from Authentication-Results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DMARC_MISSING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DMARC result absent from Authentication-Results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MSGID_DOMAIN_MISMATCH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Message-ID domain (mx.google.com) ≠ From domain (neyjfjhvqtyhw.us)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MISSING_REPLY_AND_RETURN_PATH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Both Reply-To and Return-Path headers missing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MALFORMED_DATE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 header does not conform to RFC 5322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MX_ERROR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neyjfjhvqtyhw.us</w:t>
            </w:r>
            <w:r>
              <w:rPr>
                <w:rFonts w:ascii="Arial" w:hAnsi="Arial" w:cs="Arial"/>
              </w:rPr>
              <w:t xml:space="preserve"> has no MX record — “Domain name not found”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WHOIS_ERROR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WHOIS data retrievable for </w:t>
            </w:r>
            <w:r>
              <w:rPr>
                <w:rStyle w:val="VerbatimChar"/>
                <w:rFonts w:ascii="Arial" w:hAnsi="Arial" w:cs="Arial"/>
              </w:rPr>
              <w:t xml:space="preserve">neyjfjhvqtyhw.us</w:t>
            </w:r>
          </w:p>
        </w:tc>
      </w:tr>
    </w:tbl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Additional tool results: - </w:t>
      </w:r>
      <w:r>
        <w:rPr>
          <w:rFonts w:ascii="Arial" w:hAnsi="Arial" w:cs="Arial"/>
          <w:b/>
          <w:bCs/>
        </w:rPr>
        <w:t xml:space="preserve">SPF:</w:t>
      </w:r>
      <w:r>
        <w:rPr>
          <w:rFonts w:ascii="Arial" w:hAnsi="Arial" w:cs="Arial"/>
        </w:rPr>
        <w:t xml:space="preserve"> pass (envelope domain </w:t>
      </w:r>
      <w:r>
        <w:rPr>
          <w:rStyle w:val="VerbatimChar"/>
          <w:rFonts w:ascii="Arial" w:hAnsi="Arial" w:cs="Arial"/>
        </w:rPr>
        <w:t xml:space="preserve">omega eu.com.mx</w:t>
      </w:r>
      <w:r>
        <w:rPr>
          <w:rFonts w:ascii="Arial" w:hAnsi="Arial" w:cs="Arial"/>
        </w:rPr>
        <w:t xml:space="preserve"> only) - </w:t>
      </w:r>
      <w:r>
        <w:rPr>
          <w:rFonts w:ascii="Arial" w:hAnsi="Arial" w:cs="Arial"/>
          <w:b/>
          <w:bCs/>
        </w:rPr>
        <w:t xml:space="preserve">DKIM / DMARC:</w:t>
      </w:r>
      <w:r>
        <w:rPr>
          <w:rFonts w:ascii="Arial" w:hAnsi="Arial" w:cs="Arial"/>
        </w:rPr>
        <w:t xml:space="preserve"> null (absent) - </w:t>
      </w:r>
      <w:r>
        <w:rPr>
          <w:rFonts w:ascii="Arial" w:hAnsi="Arial" w:cs="Arial"/>
          <w:b/>
          <w:bCs/>
        </w:rPr>
        <w:t xml:space="preserve">Address alignment:</w:t>
      </w:r>
      <w:r>
        <w:rPr>
          <w:rFonts w:ascii="Arial" w:hAnsi="Arial" w:cs="Arial"/>
        </w:rPr>
        <w:t xml:space="preserve"> from_vs_reply = null, from_vs_return = null - </w:t>
      </w:r>
      <w:r>
        <w:rPr>
          <w:rFonts w:ascii="Arial" w:hAnsi="Arial" w:cs="Arial"/>
          <w:b/>
          <w:bCs/>
        </w:rPr>
        <w:t xml:space="preserve">Spamhaus:</w:t>
      </w:r>
      <w:r>
        <w:rPr>
          <w:rFonts w:ascii="Arial" w:hAnsi="Arial" w:cs="Arial"/>
        </w:rPr>
        <w:t xml:space="preserve"> not listed - </w:t>
      </w:r>
      <w:r>
        <w:rPr>
          <w:rFonts w:ascii="Arial" w:hAnsi="Arial" w:cs="Arial"/>
          <w:b/>
          <w:bCs/>
        </w:rPr>
        <w:t xml:space="preserve">Domain age:</w:t>
      </w:r>
      <w:r>
        <w:rPr>
          <w:rFonts w:ascii="Arial" w:hAnsi="Arial" w:cs="Arial"/>
        </w:rPr>
        <w:t xml:space="preserve"> null (no WHOIS data) - </w:t>
      </w:r>
      <w:r>
        <w:rPr>
          <w:rFonts w:ascii="Arial" w:hAnsi="Arial" w:cs="Arial"/>
          <w:b/>
          <w:bCs/>
        </w:rPr>
        <w:t xml:space="preserve">mail_id:</w:t>
      </w:r>
      <w:r>
        <w:rPr>
          <w:rFonts w:ascii="Arial" w:hAnsi="Arial" w:cs="Arial"/>
        </w:rPr>
        <w:t xml:space="preserve"> </w:t>
      </w:r>
      <w:r>
        <w:rPr>
          <w:rStyle w:val="VerbatimChar"/>
          <w:rFonts w:ascii="Arial" w:hAnsi="Arial" w:cs="Arial"/>
        </w:rPr>
        <w:t xml:space="preserve">977b4487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Key finding:</w:t>
      </w:r>
      <w:r>
        <w:rPr>
          <w:rFonts w:ascii="Arial" w:hAnsi="Arial" w:cs="Arial"/>
        </w:rPr>
        <w:t xml:space="preserve"> Same identity-breaking pattern as Cases 01 and 02. The From domain </w:t>
      </w:r>
      <w:r>
        <w:rPr>
          <w:rStyle w:val="VerbatimChar"/>
          <w:rFonts w:ascii="Arial" w:hAnsi="Arial" w:cs="Arial"/>
        </w:rPr>
        <w:t xml:space="preserve">neyjfjhvqtyhw.us</w:t>
      </w:r>
      <w:r>
        <w:rPr>
          <w:rFonts w:ascii="Arial" w:hAnsi="Arial" w:cs="Arial"/>
        </w:rPr>
        <w:t xml:space="preserve"> has no MX record and no WHOIS data. The envelope domain </w:t>
      </w:r>
      <w:r>
        <w:rPr>
          <w:rStyle w:val="VerbatimChar"/>
          <w:rFonts w:ascii="Arial" w:hAnsi="Arial" w:cs="Arial"/>
        </w:rPr>
        <w:t xml:space="preserve">igxdmwqik.ggiezotemoe.omegaeu.com.mx</w:t>
      </w:r>
      <w:r>
        <w:rPr>
          <w:rFonts w:ascii="Arial" w:hAnsi="Arial" w:cs="Arial"/>
        </w:rPr>
        <w:t xml:space="preserve"> uses a real country-code domain (</w:t>
      </w:r>
      <w:r>
        <w:rPr>
          <w:rStyle w:val="VerbatimChar"/>
          <w:rFonts w:ascii="Arial" w:hAnsi="Arial" w:cs="Arial"/>
        </w:rPr>
        <w:t xml:space="preserve">.com.mx</w:t>
      </w:r>
      <w:r>
        <w:rPr>
          <w:rFonts w:ascii="Arial" w:hAnsi="Arial" w:cs="Arial"/>
        </w:rPr>
        <w:t xml:space="preserve">) and nested subdomains to appear legitimate — the same technique as Case 02’s </w:t>
      </w:r>
      <w:r>
        <w:rPr>
          <w:rStyle w:val="VerbatimChar"/>
          <w:rFonts w:ascii="Arial" w:hAnsi="Arial" w:cs="Arial"/>
        </w:rPr>
        <w:t xml:space="preserve">.gob.mx</w:t>
      </w:r>
      <w:r>
        <w:rPr>
          <w:rFonts w:ascii="Arial" w:hAnsi="Arial" w:cs="Arial"/>
        </w:rPr>
        <w:t xml:space="preserve"> envelope. SPF passes only for the attacker-controlled envelope. All seven PhishSage alerts are </w:t>
      </w:r>
      <w:r>
        <w:rPr>
          <w:rFonts w:ascii="Arial" w:hAnsi="Arial" w:cs="Arial"/>
          <w:b/>
          <w:bCs/>
        </w:rPr>
        <w:t xml:space="preserve">identical</w:t>
      </w:r>
      <w:r>
        <w:rPr>
          <w:rFonts w:ascii="Arial" w:hAnsi="Arial" w:cs="Arial"/>
        </w:rPr>
        <w:t xml:space="preserve"> to Cases 01 and 02.</w:t>
      </w:r>
    </w:p>
    <w:p>
      <w:pPr>
        <w:pStyle w:val="Heading2"/>
        <w:rPr>
          <w:rFonts w:ascii="Arial" w:hAnsi="Arial" w:cs="Arial"/>
        </w:rPr>
      </w:pPr>
      <w:bookmarkEnd w:id="4"/>
      <w:bookmarkEnd w:id="2"/>
      <w:bookmarkStart w:id="5" w:name="link-analysis"/>
      <w:r>
        <w:rPr>
          <w:rFonts w:ascii="Arial" w:hAnsi="Arial" w:cs="Arial"/>
        </w:rPr>
        <w:t xml:space="preserve">3. Link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49"/>
        <w:gridCol w:w="3249"/>
        <w:gridCol w:w="1421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URL (defanged)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Heuristic Flag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hxxps://storage[.]googleapis[.]com/savelinge/winbridge[.]html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Trusted domain abuse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Google Cloud Storage, </w:t>
            </w:r>
            <w:r>
              <w:rPr>
                <w:rFonts w:ascii="Arial" w:hAnsi="Arial" w:cs="Arial"/>
                <w:b/>
                <w:bCs/>
              </w:rPr>
              <w:t xml:space="preserve">different directory</w:t>
            </w:r>
            <w:r>
              <w:rPr>
                <w:rFonts w:ascii="Arial" w:hAnsi="Arial" w:cs="Arial"/>
              </w:rPr>
              <w:t xml:space="preserve"> from Cases 01–02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hxxps://i[.]imgur[.]com/GUWVfni[.]png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Image host abuse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Fake CNN logo served from Imgur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hxxps://i[.]imgur[.]com/VsGwCQ7[.]png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Image host abuse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Fake “Dr. Sanjay Gupta” video thumbnail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hxxps://i[.]imgur[.]com/LxkjwyC[.]png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Image host abuse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Honey + cinnamon stock image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hxxps://i[.]imgur[.]com/dZ3vwwX[.]png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Image host abuse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Fake “As Seen On” network logos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hxxps://tinyurl[.]com/SGD7HD6G4H6S4D/track/index[.]php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URL shortener + tracking pixel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1x1 image, visible + hidden</w:t>
            </w:r>
          </w:p>
        </w:tc>
      </w:tr>
    </w:tbl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New technique in Case 03:</w:t>
      </w:r>
      <w:r>
        <w:rPr>
          <w:rFonts w:ascii="Arial" w:hAnsi="Arial" w:cs="Arial"/>
        </w:rPr>
        <w:t xml:space="preserve"> The phishing page abuses </w:t>
      </w:r>
      <w:r>
        <w:rPr>
          <w:rFonts w:ascii="Arial" w:hAnsi="Arial" w:cs="Arial"/>
          <w:b/>
          <w:bCs/>
        </w:rPr>
        <w:t xml:space="preserve">Imgur</w:t>
      </w:r>
      <w:r>
        <w:rPr>
          <w:rFonts w:ascii="Arial" w:hAnsi="Arial" w:cs="Arial"/>
        </w:rPr>
        <w:t xml:space="preserve"> as a content delivery network for the fake article’s images, and the payload lives in a </w:t>
      </w:r>
      <w:r>
        <w:rPr>
          <w:rFonts w:ascii="Arial" w:hAnsi="Arial" w:cs="Arial"/>
          <w:b/>
          <w:bCs/>
        </w:rPr>
        <w:t xml:space="preserve">new directory</w:t>
      </w:r>
      <w:r>
        <w:rPr>
          <w:rFonts w:ascii="Arial" w:hAnsi="Arial" w:cs="Arial"/>
        </w:rPr>
        <w:t xml:space="preserve"> (</w:t>
      </w:r>
      <w:r>
        <w:rPr>
          <w:rStyle w:val="VerbatimChar"/>
          <w:rFonts w:ascii="Arial" w:hAnsi="Arial" w:cs="Arial"/>
        </w:rPr>
        <w:t xml:space="preserve">/savelinge/</w:t>
      </w:r>
      <w:r>
        <w:rPr>
          <w:rFonts w:ascii="Arial" w:hAnsi="Arial" w:cs="Arial"/>
        </w:rPr>
        <w:t xml:space="preserve">) on the same abused Google Cloud Storage bucket. This shows the kit is modular: the header and infrastructure stay the same, but the payload path and image CDN change per campaign.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Kit reuse indicator:</w:t>
      </w:r>
      <w:r>
        <w:rPr>
          <w:rFonts w:ascii="Arial" w:hAnsi="Arial" w:cs="Arial"/>
        </w:rPr>
        <w:t xml:space="preserve"> MIME boundary string, Message-ID pattern, Sender header format, List-Unsubscribe misdirection, hidden filler text, and scraped Guardian article are all identical to Cases 01 and 02.</w:t>
      </w:r>
    </w:p>
    <w:p>
      <w:pPr>
        <w:pStyle w:val="Heading2"/>
        <w:rPr>
          <w:rFonts w:ascii="Arial" w:hAnsi="Arial" w:cs="Arial"/>
        </w:rPr>
      </w:pPr>
      <w:bookmarkEnd w:id="5"/>
      <w:bookmarkStart w:id="6" w:name="social-engineering-observations"/>
      <w:r>
        <w:rPr>
          <w:rFonts w:ascii="Arial" w:hAnsi="Arial" w:cs="Arial"/>
        </w:rPr>
        <w:t xml:space="preserve">4. Social Engineering Observations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Pretext:</w:t>
      </w:r>
      <w:r>
        <w:rPr>
          <w:rFonts w:ascii="Arial" w:hAnsi="Arial" w:cs="Arial"/>
        </w:rPr>
        <w:t xml:space="preserve"> Fake CNN health report on a “15-second honey + cinnamon ritual” that allegedly reverses Type 2 diabetes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Urgency cue:</w:t>
      </w:r>
      <w:r>
        <w:rPr>
          <w:rFonts w:ascii="Arial" w:hAnsi="Arial" w:cs="Arial"/>
        </w:rPr>
        <w:t xml:space="preserve"> “WATCH THE VIDEO NOW WHILE IT’S STILL UP”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Threat amplification:</w:t>
      </w:r>
      <w:r>
        <w:rPr>
          <w:rFonts w:ascii="Arial" w:hAnsi="Arial" w:cs="Arial"/>
        </w:rPr>
        <w:t xml:space="preserve"> “9 out of 10 Americans are at risk”; “1–2 inch parasite feeding on your insulin like a vampire”; “medications stop working, your blood sugar keeps spiking”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Authority impersonation:</w:t>
      </w:r>
      <w:r>
        <w:rPr>
          <w:rFonts w:ascii="Arial" w:hAnsi="Arial" w:cs="Arial"/>
        </w:rPr>
        <w:t xml:space="preserve"> Fake CNN logo, fake “As Seen On Major News Networks” badge, fake Dr. Sanjay Gupta video thumbnail with a red play-button overlay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Celebrity endorsement:</w:t>
      </w:r>
      <w:r>
        <w:rPr>
          <w:rFonts w:ascii="Arial" w:hAnsi="Arial" w:cs="Arial"/>
        </w:rPr>
        <w:t xml:space="preserve"> “Even Randy Jackson reportedly used a version of this method”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Conspiracy framing:</w:t>
      </w:r>
      <w:r>
        <w:rPr>
          <w:rFonts w:ascii="Arial" w:hAnsi="Arial" w:cs="Arial"/>
        </w:rPr>
        <w:t xml:space="preserve"> “the pharmaceutical industry is not happy”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Low-barrier pitch:</w:t>
      </w:r>
      <w:r>
        <w:rPr>
          <w:rFonts w:ascii="Arial" w:hAnsi="Arial" w:cs="Arial"/>
        </w:rPr>
        <w:t xml:space="preserve"> “costs less than $1”; “No prescriptions. No injections. No expensive programs.”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Fake specificity:</w:t>
      </w:r>
      <w:r>
        <w:rPr>
          <w:rFonts w:ascii="Arial" w:hAnsi="Arial" w:cs="Arial"/>
        </w:rPr>
        <w:t xml:space="preserve"> “50–150 point drops in days”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Evasion:</w:t>
      </w:r>
      <w:r>
        <w:rPr>
          <w:rFonts w:ascii="Arial" w:hAnsi="Arial" w:cs="Arial"/>
        </w:rPr>
        <w:t xml:space="preserve"> Same hidden garbled filler text and scraped Guardian article as Cases 01–02; tracking pixels on a URL shortener</w:t>
      </w:r>
    </w:p>
    <w:p>
      <w:pPr>
        <w:pStyle w:val="Heading2"/>
        <w:rPr>
          <w:rFonts w:ascii="Arial" w:hAnsi="Arial" w:cs="Arial"/>
        </w:rPr>
      </w:pPr>
      <w:bookmarkEnd w:id="6"/>
      <w:bookmarkStart w:id="7" w:name="indicators-of-compromise-iocs"/>
      <w:r>
        <w:rPr>
          <w:rFonts w:ascii="Arial" w:hAnsi="Arial" w:cs="Arial"/>
        </w:rPr>
        <w:t xml:space="preserve">5. Indicators of Compromise (IOCs)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0"/>
        <w:gridCol w:w="5940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Type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Value (defanged)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From address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nooreply@ixv.neyjfjhvqtyhw[.]us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Envelope sender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honoeyfwnszzq@igxdmwqik.ggiezotemoe.omegaeu.com[.]mx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Sending IP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94.102.7[.]224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Phishing URL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hxxps://storage[.]googleapis[.]com/savelinge/winbridge[.]html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Image CDN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i[.]imgur[.]com/GUWVfni[.]png, VsGwCQ7[.]png, LxkjwyC[.]png, dZ3vwwX[.]png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Tracking pixel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hxxps://tinyurl[.]com/SGD7HD6G4H6S4D/track/index[.]php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Sender header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otwbxsfplxrboxxcjvypyptiuxdxkp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List-Unsubscribe domain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prhspeakers[.]com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Forged Message-ID domain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mx[.]google[.]com</w:t>
            </w:r>
          </w:p>
        </w:tc>
      </w:tr>
    </w:tbl>
    <w:p>
      <w:pPr>
        <w:pStyle w:val="Heading2"/>
        <w:rPr>
          <w:rFonts w:ascii="Arial" w:hAnsi="Arial" w:cs="Arial"/>
        </w:rPr>
      </w:pPr>
      <w:bookmarkEnd w:id="7"/>
      <w:bookmarkStart w:id="8" w:name="verdict"/>
      <w:r>
        <w:rPr>
          <w:rFonts w:ascii="Arial" w:hAnsi="Arial" w:cs="Arial"/>
        </w:rPr>
        <w:t xml:space="preserve">6. Verdict</w:t>
      </w:r>
    </w:p>
    <w:p>
      <w:pPr>
        <w:pStyle w:val="FirstParagrap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Classification: Phishing / Health scam — same kit as Cases 01 and 02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Reasoning:</w:t>
      </w:r>
      <w:r>
        <w:rPr>
          <w:rFonts w:ascii="Arial" w:hAnsi="Arial" w:cs="Arial"/>
        </w:rPr>
        <w:t xml:space="preserve"> This message delivers a fake CNN health article promoting a bogus diabetes “cure” to drive clicks to a phishing page. The header uses the same identity-breaking pattern as Cases 01 and 02: disposable From domain with no MX record, attacker-controlled envelope with nested real brand names inside a real ccTLD, SPF pass only for the envelope, and DKIM/DMARC/Reply-To/Return-Path all absent. The payload lives in a </w:t>
      </w:r>
      <w:r>
        <w:rPr>
          <w:rFonts w:ascii="Arial" w:hAnsi="Arial" w:cs="Arial"/>
          <w:b/>
          <w:bCs/>
        </w:rPr>
        <w:t xml:space="preserve">new directory</w:t>
      </w:r>
      <w:r>
        <w:rPr>
          <w:rFonts w:ascii="Arial" w:hAnsi="Arial" w:cs="Arial"/>
        </w:rPr>
        <w:t xml:space="preserve"> (</w:t>
      </w:r>
      <w:r>
        <w:rPr>
          <w:rStyle w:val="VerbatimChar"/>
          <w:rFonts w:ascii="Arial" w:hAnsi="Arial" w:cs="Arial"/>
        </w:rPr>
        <w:t xml:space="preserve">/savelinge/</w:t>
      </w:r>
      <w:r>
        <w:rPr>
          <w:rFonts w:ascii="Arial" w:hAnsi="Arial" w:cs="Arial"/>
        </w:rPr>
        <w:t xml:space="preserve">) on the same abused Google Cloud Storage bucket, and the fake article abuses </w:t>
      </w:r>
      <w:r>
        <w:rPr>
          <w:rFonts w:ascii="Arial" w:hAnsi="Arial" w:cs="Arial"/>
          <w:b/>
          <w:bCs/>
        </w:rPr>
        <w:t xml:space="preserve">Imgur</w:t>
      </w:r>
      <w:r>
        <w:rPr>
          <w:rFonts w:ascii="Arial" w:hAnsi="Arial" w:cs="Arial"/>
        </w:rPr>
        <w:t xml:space="preserve"> as an image CDN. The MIME boundary, Message-ID pattern, Sender header format, List-Unsubscribe misdirection, hidden filler text, and scraped Guardian article are </w:t>
      </w:r>
      <w:r>
        <w:rPr>
          <w:rFonts w:ascii="Arial" w:hAnsi="Arial" w:cs="Arial"/>
          <w:b/>
          <w:bCs/>
        </w:rPr>
        <w:t xml:space="preserve">identical</w:t>
      </w:r>
      <w:r>
        <w:rPr>
          <w:rFonts w:ascii="Arial" w:hAnsi="Arial" w:cs="Arial"/>
        </w:rPr>
        <w:t xml:space="preserve"> to Cases 01 and 02. This is the same phishing kit redeployed with a different lure vertical.</w:t>
      </w:r>
    </w:p>
    <w:p>
      <w:pPr>
        <w:pStyle w:val="Heading2"/>
        <w:rPr>
          <w:rFonts w:ascii="Arial" w:hAnsi="Arial" w:cs="Arial"/>
        </w:rPr>
      </w:pPr>
      <w:bookmarkEnd w:id="8"/>
      <w:bookmarkStart w:id="9" w:name="detection-recommendation"/>
      <w:r>
        <w:rPr>
          <w:rFonts w:ascii="Arial" w:hAnsi="Arial" w:cs="Arial"/>
        </w:rPr>
        <w:t xml:space="preserve">7. Detection Recommendation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Campaign-level rule:</w:t>
      </w:r>
      <w:r>
        <w:rPr>
          <w:rFonts w:ascii="Arial" w:hAnsi="Arial" w:cs="Arial"/>
        </w:rPr>
        <w:t xml:space="preserve"> Alert on any email whose body links to </w:t>
      </w:r>
      <w:r>
        <w:rPr>
          <w:rStyle w:val="VerbatimChar"/>
          <w:rFonts w:ascii="Arial" w:hAnsi="Arial" w:cs="Arial"/>
        </w:rPr>
        <w:t xml:space="preserve">storage.googleapis.com/*/whilewait/</w:t>
      </w:r>
      <w:r>
        <w:rPr>
          <w:rFonts w:ascii="Arial" w:hAnsi="Arial" w:cs="Arial"/>
        </w:rPr>
        <w:t xml:space="preserve"> OR </w:t>
      </w:r>
      <w:r>
        <w:rPr>
          <w:rStyle w:val="VerbatimChar"/>
          <w:rFonts w:ascii="Arial" w:hAnsi="Arial" w:cs="Arial"/>
        </w:rPr>
        <w:t xml:space="preserve">storage.googleapis.com/savelinge/</w:t>
      </w:r>
      <w:r>
        <w:rPr>
          <w:rFonts w:ascii="Arial" w:hAnsi="Arial" w:cs="Arial"/>
        </w:rPr>
        <w:t xml:space="preserve"> — both directories are kit-specific.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Image CDN abuse rule:</w:t>
      </w:r>
      <w:r>
        <w:rPr>
          <w:rFonts w:ascii="Arial" w:hAnsi="Arial" w:cs="Arial"/>
        </w:rPr>
        <w:t xml:space="preserve"> Flag messages whose body loads images exclusively from </w:t>
      </w:r>
      <w:r>
        <w:rPr>
          <w:rStyle w:val="VerbatimChar"/>
          <w:rFonts w:ascii="Arial" w:hAnsi="Arial" w:cs="Arial"/>
        </w:rPr>
        <w:t xml:space="preserve">i.imgur.com</w:t>
      </w:r>
      <w:r>
        <w:rPr>
          <w:rFonts w:ascii="Arial" w:hAnsi="Arial" w:cs="Arial"/>
        </w:rPr>
        <w:t xml:space="preserve"> in a news-article layout, especially when combined with a red play-button overlay (fake video thumbnail).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Tracking pixel detection:</w:t>
      </w:r>
      <w:r>
        <w:rPr>
          <w:rFonts w:ascii="Arial" w:hAnsi="Arial" w:cs="Arial"/>
        </w:rPr>
        <w:t xml:space="preserve"> Flag messages containing 1x1 images hosted on </w:t>
      </w:r>
      <w:r>
        <w:rPr>
          <w:rStyle w:val="VerbatimChar"/>
          <w:rFonts w:ascii="Arial" w:hAnsi="Arial" w:cs="Arial"/>
        </w:rPr>
        <w:t xml:space="preserve">tinyurl.com</w:t>
      </w:r>
      <w:r>
        <w:rPr>
          <w:rFonts w:ascii="Arial" w:hAnsi="Arial" w:cs="Arial"/>
        </w:rPr>
        <w:t xml:space="preserve">, especially when combined with </w:t>
      </w:r>
      <w:r>
        <w:rPr>
          <w:rStyle w:val="VerbatimChar"/>
          <w:rFonts w:ascii="Arial" w:hAnsi="Arial" w:cs="Arial"/>
        </w:rPr>
        <w:t xml:space="preserve">display:none</w:t>
      </w:r>
      <w:r>
        <w:rPr>
          <w:rFonts w:ascii="Arial" w:hAnsi="Arial" w:cs="Arial"/>
        </w:rPr>
        <w:t xml:space="preserve">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Envelope brand-nesting rule:</w:t>
      </w:r>
      <w:r>
        <w:rPr>
          <w:rFonts w:ascii="Arial" w:hAnsi="Arial" w:cs="Arial"/>
        </w:rPr>
        <w:t xml:space="preserve"> Flag messages where the envelope domain uses a real ccTLD (</w:t>
      </w:r>
      <w:r>
        <w:rPr>
          <w:rStyle w:val="VerbatimChar"/>
          <w:rFonts w:ascii="Arial" w:hAnsi="Arial" w:cs="Arial"/>
        </w:rPr>
        <w:t xml:space="preserve">.gob.mx</w:t>
      </w:r>
      <w:r>
        <w:rPr>
          <w:rFonts w:ascii="Arial" w:hAnsi="Arial" w:cs="Arial"/>
        </w:rPr>
        <w:t xml:space="preserve">, </w:t>
      </w:r>
      <w:r>
        <w:rPr>
          <w:rStyle w:val="VerbatimChar"/>
          <w:rFonts w:ascii="Arial" w:hAnsi="Arial" w:cs="Arial"/>
        </w:rPr>
        <w:t xml:space="preserve">.com.mx</w:t>
      </w:r>
      <w:r>
        <w:rPr>
          <w:rFonts w:ascii="Arial" w:hAnsi="Arial" w:cs="Arial"/>
        </w:rPr>
        <w:t xml:space="preserve">) with subdomains that contain brand names but the From domain does not match the brand.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Cross-sample correlation:</w:t>
      </w:r>
      <w:r>
        <w:rPr>
          <w:rFonts w:ascii="Arial" w:hAnsi="Arial" w:cs="Arial"/>
        </w:rPr>
        <w:t xml:space="preserve"> Maintain a single campaign IOC watchlist across all three samples:</w:t>
      </w:r>
    </w:p>
    <w:p>
      <w:pPr>
        <w:pStyle w:val="Compact"/>
        <w:numPr>
          <w:ilvl w:val="1"/>
          <w:numId w:val="1004"/>
        </w:numPr>
        <w:rPr>
          <w:rFonts w:ascii="Arial" w:hAnsi="Arial" w:cs="Arial"/>
        </w:rPr>
      </w:pPr>
      <w:r>
        <w:rPr>
          <w:rStyle w:val="VerbatimChar"/>
          <w:rFonts w:ascii="Arial" w:hAnsi="Arial" w:cs="Arial"/>
        </w:rPr>
        <w:t xml:space="preserve">storage.googleapis.com/whilewait/</w:t>
      </w:r>
    </w:p>
    <w:p>
      <w:pPr>
        <w:pStyle w:val="Compact"/>
        <w:numPr>
          <w:ilvl w:val="1"/>
          <w:numId w:val="1004"/>
        </w:numPr>
        <w:rPr>
          <w:rFonts w:ascii="Arial" w:hAnsi="Arial" w:cs="Arial"/>
        </w:rPr>
      </w:pPr>
      <w:r>
        <w:rPr>
          <w:rStyle w:val="VerbatimChar"/>
          <w:rFonts w:ascii="Arial" w:hAnsi="Arial" w:cs="Arial"/>
        </w:rPr>
        <w:t xml:space="preserve">storage.googleapis.com/savelinge/</w:t>
      </w:r>
    </w:p>
    <w:p>
      <w:pPr>
        <w:pStyle w:val="Compact"/>
        <w:numPr>
          <w:ilvl w:val="1"/>
          <w:numId w:val="1004"/>
        </w:numPr>
        <w:rPr>
          <w:rFonts w:ascii="Arial" w:hAnsi="Arial" w:cs="Arial"/>
        </w:rPr>
      </w:pPr>
      <w:r>
        <w:rPr>
          <w:rStyle w:val="VerbatimChar"/>
          <w:rFonts w:ascii="Arial" w:hAnsi="Arial" w:cs="Arial"/>
        </w:rPr>
        <w:t xml:space="preserve">tinyurl.com/VTFDYIKDYFUFL/</w:t>
      </w:r>
    </w:p>
    <w:p>
      <w:pPr>
        <w:pStyle w:val="Compact"/>
        <w:numPr>
          <w:ilvl w:val="1"/>
          <w:numId w:val="1004"/>
        </w:numPr>
        <w:rPr>
          <w:rFonts w:ascii="Arial" w:hAnsi="Arial" w:cs="Arial"/>
        </w:rPr>
      </w:pPr>
      <w:r>
        <w:rPr>
          <w:rStyle w:val="VerbatimChar"/>
          <w:rFonts w:ascii="Arial" w:hAnsi="Arial" w:cs="Arial"/>
        </w:rPr>
        <w:t xml:space="preserve">tinyurl.com/SGD7HD6G4H6S4D/</w:t>
      </w:r>
    </w:p>
    <w:p>
      <w:pPr>
        <w:pStyle w:val="Compact"/>
        <w:numPr>
          <w:ilvl w:val="1"/>
          <w:numId w:val="100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MIME boundary </w:t>
      </w:r>
      <w:r>
        <w:rPr>
          <w:rStyle w:val="VerbatimChar"/>
          <w:rFonts w:ascii="Arial" w:hAnsi="Arial" w:cs="Arial"/>
        </w:rPr>
        <w:t xml:space="preserve">----=_Part_qxRazlRjQOiS_1129434735014.frqkvRcwiCF</w:t>
      </w:r>
    </w:p>
    <w:p>
      <w:pPr>
        <w:pStyle w:val="Heading2"/>
        <w:rPr>
          <w:rFonts w:ascii="Arial" w:hAnsi="Arial" w:cs="Arial"/>
        </w:rPr>
      </w:pPr>
      <w:bookmarkEnd w:id="9"/>
      <w:bookmarkStart w:id="10" w:name="connection-to-simulation-experience"/>
      <w:r>
        <w:rPr>
          <w:rFonts w:ascii="Arial" w:hAnsi="Arial" w:cs="Arial"/>
        </w:rPr>
        <w:t xml:space="preserve">8. Connection to Simulation Experience</w:t>
      </w:r>
    </w:p>
    <w:p>
      <w:pPr>
        <w:pStyle w:val="FirstParagraph"/>
        <w:rPr>
          <w:rFonts w:ascii="Arial" w:hAnsi="Arial" w:cs="Arial"/>
        </w:rPr>
      </w:pPr>
      <w:r>
        <w:rPr>
          <w:rFonts w:ascii="Arial" w:hAnsi="Arial" w:cs="Arial"/>
        </w:rPr>
        <w:t xml:space="preserve">Cases 01–03 together demonstrate something a single phishing simulation cannot: </w:t>
      </w:r>
      <w:r>
        <w:rPr>
          <w:rFonts w:ascii="Arial" w:hAnsi="Arial" w:cs="Arial"/>
          <w:b/>
          <w:bCs/>
        </w:rPr>
        <w:t xml:space="preserve">the same infrastructure is reused across wildly different lures</w:t>
      </w:r>
      <w:r>
        <w:rPr>
          <w:rFonts w:ascii="Arial" w:hAnsi="Arial" w:cs="Arial"/>
        </w:rPr>
        <w:t xml:space="preserve">. Case 01 was a tech-service impersonation; Case 02 was a cloud storage alert; Case 03 is a health scam selling a fake diabetes cure. A user who passed a “tech support” simulation might still click a “health news” email because the topics are unrelated and the visual design is completely different.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I would update our simulation design in three ways: 1. </w:t>
      </w:r>
      <w:r>
        <w:rPr>
          <w:rFonts w:ascii="Arial" w:hAnsi="Arial" w:cs="Arial"/>
          <w:b/>
          <w:bCs/>
        </w:rPr>
        <w:t xml:space="preserve">Multi-vertical simulation campaign</w:t>
      </w:r>
      <w:r>
        <w:rPr>
          <w:rFonts w:ascii="Arial" w:hAnsi="Arial" w:cs="Arial"/>
        </w:rPr>
        <w:t xml:space="preserve">: run tech, finance, and health lures in the same quarter to test whether user vigilance generalizes across topics. 2. </w:t>
      </w:r>
      <w:r>
        <w:rPr>
          <w:rFonts w:ascii="Arial" w:hAnsi="Arial" w:cs="Arial"/>
          <w:b/>
          <w:bCs/>
        </w:rPr>
        <w:t xml:space="preserve">Image CDN awareness</w:t>
      </w:r>
      <w:r>
        <w:rPr>
          <w:rFonts w:ascii="Arial" w:hAnsi="Arial" w:cs="Arial"/>
        </w:rPr>
        <w:t xml:space="preserve">: add a debrief note explaining that attackers abuse legitimate image hosts (Imgur) and cloud storage (Google Cloud Storage) to bypass domain blocklists. 3. </w:t>
      </w:r>
      <w:r>
        <w:rPr>
          <w:rFonts w:ascii="Arial" w:hAnsi="Arial" w:cs="Arial"/>
          <w:b/>
          <w:bCs/>
        </w:rPr>
        <w:t xml:space="preserve">Header-hygiene module</w:t>
      </w:r>
      <w:r>
        <w:rPr>
          <w:rFonts w:ascii="Arial" w:hAnsi="Arial" w:cs="Arial"/>
        </w:rPr>
        <w:t xml:space="preserve">: teach users and Tier-1 analysts that “SPF pass” is meaningless unless the analyst checks </w:t>
      </w:r>
      <w:r>
        <w:rPr>
          <w:rFonts w:ascii="Arial" w:hAnsi="Arial" w:cs="Arial"/>
          <w:i/>
          <w:iCs/>
        </w:rPr>
        <w:t xml:space="preserve">which domain</w:t>
      </w:r>
      <w:r>
        <w:rPr>
          <w:rFonts w:ascii="Arial" w:hAnsi="Arial" w:cs="Arial"/>
        </w:rPr>
        <w:t xml:space="preserve"> passed and whether the From domain has a valid MX record.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For SOC triage, I would add a rule: any user-reported email containing links to </w:t>
      </w:r>
      <w:r>
        <w:rPr>
          <w:rStyle w:val="VerbatimChar"/>
          <w:rFonts w:ascii="Arial" w:hAnsi="Arial" w:cs="Arial"/>
        </w:rPr>
        <w:t xml:space="preserve">storage.googleapis.com/whilewait/</w:t>
      </w:r>
      <w:r>
        <w:rPr>
          <w:rFonts w:ascii="Arial" w:hAnsi="Arial" w:cs="Arial"/>
        </w:rPr>
        <w:t xml:space="preserve"> OR </w:t>
      </w:r>
      <w:r>
        <w:rPr>
          <w:rStyle w:val="VerbatimChar"/>
          <w:rFonts w:ascii="Arial" w:hAnsi="Arial" w:cs="Arial"/>
        </w:rPr>
        <w:t xml:space="preserve">storage.googleapis.com/savelinge/</w:t>
      </w:r>
      <w:r>
        <w:rPr>
          <w:rFonts w:ascii="Arial" w:hAnsi="Arial" w:cs="Arial"/>
        </w:rPr>
        <w:t xml:space="preserve"> should be automatically escalated and added to the campaign IOC list, since these directories are kit-specific and shared across all three samples.</w:t>
      </w:r>
      <w:bookmarkEnd w:id="10"/>
      <w:bookmarkEnd w:id="0"/>
    </w:p>
    <w:sectPr>
      <w:footnotePr>
        <w:numRestart w:val="eachSect"/>
      </w:footnote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990">
    <w:nsid w:val="0000A990"/>
    <w:multiLevelType w:val="multilevel"/>
    <w:lvl w:ilvl="0">
      <w:start w:val="1"/>
      <w:numFmt w:val="bullet"/>
      <w:lvlText w:val=" "/>
      <w:lvlJc w:val="left"/>
      <w:pPr>
        <w:ind w:left="720" w:hanging="360"/>
      </w:pPr>
    </w:lvl>
    <w:lvl w:ilvl="1">
      <w:start w:val="1"/>
      <w:numFmt w:val="bullet"/>
      <w:lvlText w:val=" "/>
      <w:lvlJc w:val="left"/>
      <w:pPr>
        <w:ind w:left="1440" w:hanging="360"/>
      </w:pPr>
    </w:lvl>
    <w:lvl w:ilvl="2">
      <w:start w:val="1"/>
      <w:numFmt w:val="bullet"/>
      <w:lvlText w:val=" "/>
      <w:lvlJc w:val="left"/>
      <w:pPr>
        <w:ind w:left="2160" w:hanging="360"/>
      </w:pPr>
    </w:lvl>
    <w:lvl w:ilvl="3">
      <w:start w:val="1"/>
      <w:numFmt w:val="bullet"/>
      <w:lvlText w:val=" "/>
      <w:lvlJc w:val="left"/>
      <w:pPr>
        <w:ind w:left="2880" w:hanging="360"/>
      </w:pPr>
    </w:lvl>
    <w:lvl w:ilvl="4">
      <w:start w:val="1"/>
      <w:numFmt w:val="bullet"/>
      <w:lvlText w:val=" "/>
      <w:lvlJc w:val="left"/>
      <w:pPr>
        <w:ind w:left="3600" w:hanging="360"/>
      </w:pPr>
    </w:lvl>
    <w:lvl w:ilvl="5">
      <w:start w:val="1"/>
      <w:numFmt w:val="bullet"/>
      <w:lvlText w:val=" "/>
      <w:lvlJc w:val="left"/>
      <w:pPr>
        <w:ind w:left="4320" w:hanging="360"/>
      </w:pPr>
    </w:lvl>
    <w:lvl w:ilvl="6">
      <w:start w:val="1"/>
      <w:numFmt w:val="bullet"/>
      <w:lvlText w:val=" "/>
      <w:lvlJc w:val="left"/>
      <w:pPr>
        <w:ind w:left="5040" w:hanging="360"/>
      </w:pPr>
    </w:lvl>
    <w:lvl w:ilvl="7">
      <w:start w:val="1"/>
      <w:numFmt w:val="bullet"/>
      <w:lvlText w:val=" "/>
      <w:lvlJc w:val="left"/>
      <w:pPr>
        <w:ind w:left="5760" w:hanging="360"/>
      </w:pPr>
    </w:lvl>
    <w:lvl w:ilvl="8">
      <w:start w:val="1"/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2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="Aptos Display" w:hAnsi="Aptos Display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BlockText">
    <w:name w:val="Block Text"/>
    <w:basedOn w:val="BodyText"/>
    <w:next w:val="BodyText"/>
    <w:uiPriority w:val="9"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qFormat/>
  </w:style>
  <w:style w:type="paragraph" w:styleId="FootnoteBlockText">
    <w:name w:val="Footnote Block Text"/>
    <w:basedOn w:val="FootnoteText"/>
    <w:next w:val="FootnoteText"/>
    <w:uiPriority w:val="9"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4" w:space="0" w:color="auto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56082"/>
    </w:rPr>
  </w:style>
  <w:style w:type="paragraph" w:styleId="TOCHeading">
    <w:name w:val="TOC Heading"/>
    <w:basedOn w:val="Heading1"/>
    <w:next w:val="BodyText"/>
    <w:uiPriority w:val="39"/>
    <w:qFormat/>
    <w:pPr>
      <w:spacing w:before="240" w:line="259" w:lineRule="auto"/>
      <w:outlineLvl w:val="9"/>
    </w:pPr>
    <w:rPr>
      <w:rFonts w:ascii="Aptos Display" w:hAnsi="Aptos Display"/>
      <w:b w:val="0"/>
      <w:bCs w:val="0"/>
      <w:color w:val="104861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mailto:nooreply@ixv.neyjfjhvqtyhw.us" TargetMode="External"/><Relationship Id="rId2" Type="http://schemas.openxmlformats.org/officeDocument/2006/relationships/footnotes" Target="footnotes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1066</Words>
  <Paragraphs>138</Paragraphs>
  <DocSecurity>0</DocSecurity>
  <SharedDoc>false</SharedDoc>
  <HyperlinksChanged>false</HyperlinksChanged>
  <LinksUpToDate>false</LinksUpToDate>
  <Template>Normal.dotm</Template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2026-10-28T13:38:33Z</dcterms:created>
  <dcterms:modified xsi:type="dcterms:W3CDTF">2026-10-28T17:39:31Z</dcterms:modified>
</cp:coreProperties>
</file>