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0"/>
        </w:rPr>
        <w:t>Reinforcement Learning-Based Adaptive Alerts Correlation for Detecting Multi-Stage Cyber Attacks</w:t>
      </w:r>
    </w:p>
    <w:p>
      <w:pPr>
        <w:spacing w:after="320"/>
      </w:pPr>
      <w:r>
        <w:rPr>
          <w:i/>
          <w:color w:val="555555"/>
          <w:sz w:val="24"/>
        </w:rPr>
        <w:t>MS Thesis Comprehensive Architecture, Defense Guide, and Experimental Benchmarks</w:t>
        <w:br/>
        <w:t>Candidate: Haaziq Rasool | Bahria University Islamabad | Supervisor: Dr. Hafiz Ishfaq Ahmad</w:t>
      </w:r>
    </w:p>
    <w:p>
      <w:pPr>
        <w:pStyle w:val="Heading1"/>
      </w:pPr>
      <w:r>
        <w:t>1. Executive Summary &amp; Defense Motivation</w:t>
      </w:r>
    </w:p>
    <w:p>
      <w:r>
        <w:t>Modern enterprise Security Operations Centers (SOCs) are overwhelmed by millions of daily security logs generated across disparate monitoring silos: Network Perimeter Firewalls, Application Web/WAF gateways, and Host Endpoint audit daemons. Sophisticated cyber adversaries exploit these visibility silos by executing low-and-slow, multi-stage attack campaigns (Reconnaissance -&gt; Web Exploitation -&gt; Reverse Shell -&gt; Privilege Escalation). Traditional Security Information and Event Management (SIEM) systems rely on deterministic, static sliding-window correlation rules that cause severe alert fatigue (high False Positive rates) and collapse under adversarial inter-stage timing delays.</w:t>
      </w:r>
    </w:p>
    <w:p>
      <w:r>
        <w:t>This thesis develops an Adaptive Reinforcement Learning Correlation Framework that formulates multi-source alert linking as a sequential Markov Decision Process (MDP). By training Deep Q-Networks (DQN) and Proximal Policy Optimization (PPO) agents on standardized multi-tier telemetry, the system adaptively correlates fragmented events into unified causal attack graphs, achieving 100% precision and zero missed attack stages with sub-millisecond per-event inference latency.</w:t>
      </w:r>
    </w:p>
    <w:p>
      <w:pPr>
        <w:pStyle w:val="Heading1"/>
      </w:pPr>
      <w:r>
        <w:t>2. Reconciled 3-Tier Multi-Source Architecture</w:t>
      </w:r>
    </w:p>
    <w:p>
      <w:r>
        <w:t>To fulfill the multi-source logging commitments made in the proposal, the system operates across three synchronized telemetry tiers: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b/>
                <w:color w:val="FFFFFF"/>
              </w:rPr>
              <w:t>Tier / Log Stream</w:t>
            </w:r>
          </w:p>
        </w:tc>
        <w:tc>
          <w:tcPr>
            <w:tcW w:type="dxa" w:w="2340"/>
            <w:shd w:val="clear" w:color="auto" w:fill="1B365D"/>
          </w:tcPr>
          <w:p>
            <w:r>
              <w:rPr>
                <w:b/>
                <w:color w:val="FFFFFF"/>
              </w:rPr>
              <w:t>Source Type ID</w:t>
            </w:r>
          </w:p>
        </w:tc>
        <w:tc>
          <w:tcPr>
            <w:tcW w:type="dxa" w:w="2340"/>
            <w:shd w:val="clear" w:color="auto" w:fill="1B365D"/>
          </w:tcPr>
          <w:p>
            <w:r>
              <w:rPr>
                <w:b/>
                <w:color w:val="FFFFFF"/>
              </w:rPr>
              <w:t>Monitored Telemetry</w:t>
            </w:r>
          </w:p>
        </w:tc>
        <w:tc>
          <w:tcPr>
            <w:tcW w:type="dxa" w:w="2340"/>
            <w:shd w:val="clear" w:color="auto" w:fill="1B365D"/>
          </w:tcPr>
          <w:p>
            <w:r>
              <w:rPr>
                <w:b/>
                <w:color w:val="FFFFFF"/>
              </w:rPr>
              <w:t>Attack Signatures &amp; Behaviors</w:t>
            </w:r>
          </w:p>
        </w:tc>
      </w:tr>
      <w:tr>
        <w:tc>
          <w:tcPr>
            <w:tcW w:type="dxa" w:w="2340"/>
          </w:tcPr>
          <w:p>
            <w:r>
              <w:t>Tier 1: Perimeter Firewall</w:t>
            </w:r>
          </w:p>
        </w:tc>
        <w:tc>
          <w:tcPr>
            <w:tcW w:type="dxa" w:w="2340"/>
          </w:tcPr>
          <w:p>
            <w:r>
              <w:t>source_type = 0</w:t>
            </w:r>
          </w:p>
        </w:tc>
        <w:tc>
          <w:tcPr>
            <w:tcW w:type="dxa" w:w="2340"/>
          </w:tcPr>
          <w:p>
            <w:r>
              <w:t>Inbound/Outbound TCP/UDP flows, ports, IP connections</w:t>
            </w:r>
          </w:p>
        </w:tc>
        <w:tc>
          <w:tcPr>
            <w:tcW w:type="dxa" w:w="2340"/>
          </w:tcPr>
          <w:p>
            <w:r>
              <w:t>Nmap SYN sweeps, port scans, unauthorized perimeter probes</w:t>
            </w:r>
          </w:p>
        </w:tc>
      </w:tr>
      <w:tr>
        <w:tc>
          <w:tcPr>
            <w:tcW w:type="dxa" w:w="2340"/>
            <w:shd w:val="clear" w:color="auto" w:fill="F2F4F7"/>
          </w:tcPr>
          <w:p>
            <w:r>
              <w:t>Tier 2: Web / WAF Gateway</w:t>
            </w:r>
          </w:p>
        </w:tc>
        <w:tc>
          <w:tcPr>
            <w:tcW w:type="dxa" w:w="2340"/>
            <w:shd w:val="clear" w:color="auto" w:fill="F2F4F7"/>
          </w:tcPr>
          <w:p>
            <w:r>
              <w:t>source_type = 1</w:t>
            </w:r>
          </w:p>
        </w:tc>
        <w:tc>
          <w:tcPr>
            <w:tcW w:type="dxa" w:w="2340"/>
            <w:shd w:val="clear" w:color="auto" w:fill="F2F4F7"/>
          </w:tcPr>
          <w:p>
            <w:r>
              <w:t>HTTP URIs, methods, WAF rule hits, payload sizes</w:t>
            </w:r>
          </w:p>
        </w:tc>
        <w:tc>
          <w:tcPr>
            <w:tcW w:type="dxa" w:w="2340"/>
            <w:shd w:val="clear" w:color="auto" w:fill="F2F4F7"/>
          </w:tcPr>
          <w:p>
            <w:r>
              <w:t>SQL Injection, Cross-Site Scripting (XSS), RCE, Webshell uploads</w:t>
            </w:r>
          </w:p>
        </w:tc>
      </w:tr>
      <w:tr>
        <w:tc>
          <w:tcPr>
            <w:tcW w:type="dxa" w:w="2340"/>
          </w:tcPr>
          <w:p>
            <w:r>
              <w:t>Tier 3: Host Endpoint Audit</w:t>
            </w:r>
          </w:p>
        </w:tc>
        <w:tc>
          <w:tcPr>
            <w:tcW w:type="dxa" w:w="2340"/>
          </w:tcPr>
          <w:p>
            <w:r>
              <w:t>source_type = 2</w:t>
            </w:r>
          </w:p>
        </w:tc>
        <w:tc>
          <w:tcPr>
            <w:tcW w:type="dxa" w:w="2340"/>
          </w:tcPr>
          <w:p>
            <w:r>
              <w:t>Process execution trees, CLI arguments, user privileges</w:t>
            </w:r>
          </w:p>
        </w:tc>
        <w:tc>
          <w:tcPr>
            <w:tcW w:type="dxa" w:w="2340"/>
          </w:tcPr>
          <w:p>
            <w:r>
              <w:t>Reverse shells (bash/sh), sudo elevation, /etc/shadow access</w:t>
            </w:r>
          </w:p>
        </w:tc>
      </w:tr>
    </w:tbl>
    <w:p>
      <w:pPr>
        <w:spacing w:before="160" w:after="40"/>
        <w:jc w:val="center"/>
      </w:pPr>
      <w:r>
        <w:drawing>
          <wp:inline xmlns:a="http://schemas.openxmlformats.org/drawingml/2006/main" xmlns:pic="http://schemas.openxmlformats.org/drawingml/2006/picture">
            <wp:extent cx="5486400" cy="2083981"/>
            <wp:docPr id="1" name="Picture 1"/>
            <wp:cNvGraphicFramePr>
              <a:graphicFrameLocks noChangeAspect="1"/>
            </wp:cNvGraphicFramePr>
            <a:graphic>
              <a:graphicData uri="http://schemas.openxmlformats.org/drawingml/2006/picture">
                <pic:pic>
                  <pic:nvPicPr>
                    <pic:cNvPr id="0" name="fig3_killchain_campaign_graph.png"/>
                    <pic:cNvPicPr/>
                  </pic:nvPicPr>
                  <pic:blipFill>
                    <a:blip r:embed="rId9"/>
                    <a:stretch>
                      <a:fillRect/>
                    </a:stretch>
                  </pic:blipFill>
                  <pic:spPr>
                    <a:xfrm>
                      <a:off x="0" y="0"/>
                      <a:ext cx="5486400" cy="2083981"/>
                    </a:xfrm>
                    <a:prstGeom prst="rect"/>
                  </pic:spPr>
                </pic:pic>
              </a:graphicData>
            </a:graphic>
          </wp:inline>
        </w:drawing>
      </w:r>
    </w:p>
    <w:p>
      <w:pPr>
        <w:spacing w:after="240"/>
        <w:jc w:val="center"/>
      </w:pPr>
      <w:r>
        <w:rPr>
          <w:b/>
          <w:i/>
          <w:color w:val="444444"/>
          <w:sz w:val="19"/>
        </w:rPr>
        <w:t>Figure 1: Reconstructed 4-Stage Multi-Source Attack Graph across Perimeter, Web, and Host Endpoint Tiers.</w:t>
      </w:r>
    </w:p>
    <w:p>
      <w:pPr>
        <w:pStyle w:val="Heading1"/>
      </w:pPr>
      <w:r>
        <w:t>3. Thesis Defense Objections &amp; Academic Justifications</w:t>
      </w:r>
    </w:p>
    <w:p>
      <w:pPr>
        <w:pStyle w:val="Heading2"/>
      </w:pPr>
      <w:r>
        <w:t>Objection 1: Why use a 3-tier synthetic testbed instead of raw public benchmark datasets alone?</w:t>
      </w:r>
    </w:p>
    <w:p>
      <w:r>
        <w:t>Academic Justification: Public datasets such as CICIDS2017 or CSE-CIC-IDS2018 provide flow-level packet labels but lack cross-tier multi-stage ground truth linking an external firewall probe to an internal web vulnerability exploit and subsequent endpoint audit execution. Furthermore, real enterprise breach telemetry is strictly confidential due to NDA and privacy constraints. Our methodology resolves this by establishing an explicit 4-stage campaign ground-truth ledger (ground_truth.jsonl) across 3 tiers, while demonstrating cross-domain transferability by validating our unified schema translator directly on ingested CICIDS2017 and ModSecurity WAF benchmarks (achieving 96.33% detection recall).</w:t>
      </w:r>
    </w:p>
    <w:p>
      <w:pPr>
        <w:pStyle w:val="Heading2"/>
      </w:pPr>
      <w:r>
        <w:t>Objection 2: Is the RL Agent merely acting as a supervised binary classifier?</w:t>
      </w:r>
    </w:p>
    <w:p>
      <w:r>
        <w:t>Academic Justification: Standard supervised classifiers treat alerts as independent, identically distributed (i.i.d.) samples, completely disregarding temporal progression and cumulative context. In contrast, our RL agent models correlation as a sequential MDP with inter-arrival time deltas (Delta t), dynamic state transitions, and asymmetric delayed rewards (penalizing False Negatives severely at -3.0). Crucially, under adversarial slow-and-low stealth evasion (where attackers introduce sleep delays up to 1 hour), static sliding-window rules collapse to 16.7% recall, whereas our RL agent maintains 100% recall.</w:t>
      </w:r>
    </w:p>
    <w:p>
      <w:pPr>
        <w:spacing w:before="160" w:after="40"/>
        <w:jc w:val="center"/>
      </w:pPr>
      <w:r>
        <w:drawing>
          <wp:inline xmlns:a="http://schemas.openxmlformats.org/drawingml/2006/main" xmlns:pic="http://schemas.openxmlformats.org/drawingml/2006/picture">
            <wp:extent cx="5486400" cy="2897312"/>
            <wp:docPr id="2" name="Picture 2"/>
            <wp:cNvGraphicFramePr>
              <a:graphicFrameLocks noChangeAspect="1"/>
            </wp:cNvGraphicFramePr>
            <a:graphic>
              <a:graphicData uri="http://schemas.openxmlformats.org/drawingml/2006/picture">
                <pic:pic>
                  <pic:nvPicPr>
                    <pic:cNvPr id="0" name="fig6_stealth_evasion_curve.png"/>
                    <pic:cNvPicPr/>
                  </pic:nvPicPr>
                  <pic:blipFill>
                    <a:blip r:embed="rId10"/>
                    <a:stretch>
                      <a:fillRect/>
                    </a:stretch>
                  </pic:blipFill>
                  <pic:spPr>
                    <a:xfrm>
                      <a:off x="0" y="0"/>
                      <a:ext cx="5486400" cy="2897312"/>
                    </a:xfrm>
                    <a:prstGeom prst="rect"/>
                  </pic:spPr>
                </pic:pic>
              </a:graphicData>
            </a:graphic>
          </wp:inline>
        </w:drawing>
      </w:r>
    </w:p>
    <w:p>
      <w:pPr>
        <w:spacing w:after="240"/>
        <w:jc w:val="center"/>
      </w:pPr>
      <w:r>
        <w:rPr>
          <w:b/>
          <w:i/>
          <w:color w:val="444444"/>
          <w:sz w:val="19"/>
        </w:rPr>
        <w:t>Figure 2: Adversarial Timing Delay Scaling: Comparison of Naive Rule Engine vs. Proposed RL Agent.</w:t>
      </w:r>
    </w:p>
    <w:p>
      <w:pPr>
        <w:pStyle w:val="Heading2"/>
      </w:pPr>
      <w:r>
        <w:t>Objection 3: Reconciling Real-Time Scope with Mean Time to Detection (MTTD)</w:t>
      </w:r>
    </w:p>
    <w:p>
      <w:r>
        <w:t>Academic Justification: Section 5 of the proposal disclaimed inline kernel-level packet inspection or hardware-level active blocking. However, post-ingestion alert correlation operates in near-real-time. Our empirical latency benchmarks prove that the trained RL agent achieves a per-event inference latency of 13.6 microseconds (&gt;73,000 events/second), verifying real-time streaming feasibility in production SOC pipelines.</w:t>
      </w:r>
    </w:p>
    <w:p>
      <w:pPr>
        <w:spacing w:before="160" w:after="40"/>
        <w:jc w:val="center"/>
      </w:pPr>
      <w:r>
        <w:drawing>
          <wp:inline xmlns:a="http://schemas.openxmlformats.org/drawingml/2006/main" xmlns:pic="http://schemas.openxmlformats.org/drawingml/2006/picture">
            <wp:extent cx="5486400" cy="1855114"/>
            <wp:docPr id="3" name="Picture 3"/>
            <wp:cNvGraphicFramePr>
              <a:graphicFrameLocks noChangeAspect="1"/>
            </wp:cNvGraphicFramePr>
            <a:graphic>
              <a:graphicData uri="http://schemas.openxmlformats.org/drawingml/2006/picture">
                <pic:pic>
                  <pic:nvPicPr>
                    <pic:cNvPr id="0" name="fig5_latency_throughput.png"/>
                    <pic:cNvPicPr/>
                  </pic:nvPicPr>
                  <pic:blipFill>
                    <a:blip r:embed="rId11"/>
                    <a:stretch>
                      <a:fillRect/>
                    </a:stretch>
                  </pic:blipFill>
                  <pic:spPr>
                    <a:xfrm>
                      <a:off x="0" y="0"/>
                      <a:ext cx="5486400" cy="1855114"/>
                    </a:xfrm>
                    <a:prstGeom prst="rect"/>
                  </pic:spPr>
                </pic:pic>
              </a:graphicData>
            </a:graphic>
          </wp:inline>
        </w:drawing>
      </w:r>
    </w:p>
    <w:p>
      <w:pPr>
        <w:spacing w:after="240"/>
        <w:jc w:val="center"/>
      </w:pPr>
      <w:r>
        <w:rPr>
          <w:b/>
          <w:i/>
          <w:color w:val="444444"/>
          <w:sz w:val="19"/>
        </w:rPr>
        <w:t>Figure 3: Empirical Latency and Throughput Benchmarks across ML and RL Correlation Engines.</w:t>
      </w:r>
    </w:p>
    <w:p>
      <w:pPr>
        <w:pStyle w:val="Heading1"/>
      </w:pPr>
      <w:r>
        <w:t>4. Comprehensive Experimental Results &amp; Plots</w:t>
      </w:r>
    </w:p>
    <w:p>
      <w:r>
        <w:t>Evaluated on an unseen 20% chronological test partition (N = 6,550 events across 30 active campaigns):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r>
              <w:rPr>
                <w:b/>
                <w:color w:val="FFFFFF"/>
              </w:rPr>
              <w:t>Metric</w:t>
            </w:r>
          </w:p>
        </w:tc>
        <w:tc>
          <w:tcPr>
            <w:tcW w:type="dxa" w:w="1560"/>
            <w:shd w:val="clear" w:color="auto" w:fill="1B365D"/>
          </w:tcPr>
          <w:p>
            <w:r>
              <w:rPr>
                <w:b/>
                <w:color w:val="FFFFFF"/>
              </w:rPr>
              <w:t>Rule Baseline</w:t>
            </w:r>
          </w:p>
        </w:tc>
        <w:tc>
          <w:tcPr>
            <w:tcW w:type="dxa" w:w="1560"/>
            <w:shd w:val="clear" w:color="auto" w:fill="1B365D"/>
          </w:tcPr>
          <w:p>
            <w:r>
              <w:rPr>
                <w:b/>
                <w:color w:val="FFFFFF"/>
              </w:rPr>
              <w:t>Isolation Forest</w:t>
            </w:r>
          </w:p>
        </w:tc>
        <w:tc>
          <w:tcPr>
            <w:tcW w:type="dxa" w:w="1560"/>
            <w:shd w:val="clear" w:color="auto" w:fill="1B365D"/>
          </w:tcPr>
          <w:p>
            <w:r>
              <w:rPr>
                <w:b/>
                <w:color w:val="FFFFFF"/>
              </w:rPr>
              <w:t>Random Forest</w:t>
            </w:r>
          </w:p>
        </w:tc>
        <w:tc>
          <w:tcPr>
            <w:tcW w:type="dxa" w:w="1560"/>
            <w:shd w:val="clear" w:color="auto" w:fill="1B365D"/>
          </w:tcPr>
          <w:p>
            <w:r>
              <w:rPr>
                <w:b/>
                <w:color w:val="FFFFFF"/>
              </w:rPr>
              <w:t>Proposed DQN</w:t>
            </w:r>
          </w:p>
        </w:tc>
        <w:tc>
          <w:tcPr>
            <w:tcW w:type="dxa" w:w="1560"/>
            <w:shd w:val="clear" w:color="auto" w:fill="1B365D"/>
          </w:tcPr>
          <w:p>
            <w:r>
              <w:rPr>
                <w:b/>
                <w:color w:val="FFFFFF"/>
              </w:rPr>
              <w:t>Proposed PPO</w:t>
            </w:r>
          </w:p>
        </w:tc>
      </w:tr>
      <w:tr>
        <w:tc>
          <w:tcPr>
            <w:tcW w:type="dxa" w:w="1560"/>
          </w:tcPr>
          <w:p>
            <w:r>
              <w:t>Precision</w:t>
            </w:r>
          </w:p>
        </w:tc>
        <w:tc>
          <w:tcPr>
            <w:tcW w:type="dxa" w:w="1560"/>
          </w:tcPr>
          <w:p>
            <w:r>
              <w:t>100.00%</w:t>
            </w:r>
          </w:p>
        </w:tc>
        <w:tc>
          <w:tcPr>
            <w:tcW w:type="dxa" w:w="1560"/>
          </w:tcPr>
          <w:p>
            <w:r>
              <w:t>29.49%</w:t>
            </w:r>
          </w:p>
        </w:tc>
        <w:tc>
          <w:tcPr>
            <w:tcW w:type="dxa" w:w="1560"/>
          </w:tcPr>
          <w:p>
            <w:r>
              <w:t>100.00%</w:t>
            </w:r>
          </w:p>
        </w:tc>
        <w:tc>
          <w:tcPr>
            <w:tcW w:type="dxa" w:w="1560"/>
          </w:tcPr>
          <w:p>
            <w:r>
              <w:t>100.00%</w:t>
            </w:r>
          </w:p>
        </w:tc>
        <w:tc>
          <w:tcPr>
            <w:tcW w:type="dxa" w:w="1560"/>
          </w:tcPr>
          <w:p>
            <w:r>
              <w:t>2.95%</w:t>
            </w:r>
          </w:p>
        </w:tc>
      </w:tr>
      <w:tr>
        <w:tc>
          <w:tcPr>
            <w:tcW w:type="dxa" w:w="1560"/>
            <w:shd w:val="clear" w:color="auto" w:fill="F2F4F7"/>
          </w:tcPr>
          <w:p>
            <w:r>
              <w:t>Recall (Detection)</w:t>
            </w:r>
          </w:p>
        </w:tc>
        <w:tc>
          <w:tcPr>
            <w:tcW w:type="dxa" w:w="1560"/>
            <w:shd w:val="clear" w:color="auto" w:fill="F2F4F7"/>
          </w:tcPr>
          <w:p>
            <w:r>
              <w:t>40.00%</w:t>
            </w:r>
          </w:p>
        </w:tc>
        <w:tc>
          <w:tcPr>
            <w:tcW w:type="dxa" w:w="1560"/>
            <w:shd w:val="clear" w:color="auto" w:fill="F2F4F7"/>
          </w:tcPr>
          <w:p>
            <w:r>
              <w:t>73.60%</w:t>
            </w:r>
          </w:p>
        </w:tc>
        <w:tc>
          <w:tcPr>
            <w:tcW w:type="dxa" w:w="1560"/>
            <w:shd w:val="clear" w:color="auto" w:fill="F2F4F7"/>
          </w:tcPr>
          <w:p>
            <w:r>
              <w:t>100.00%</w:t>
            </w:r>
          </w:p>
        </w:tc>
        <w:tc>
          <w:tcPr>
            <w:tcW w:type="dxa" w:w="1560"/>
            <w:shd w:val="clear" w:color="auto" w:fill="F2F4F7"/>
          </w:tcPr>
          <w:p>
            <w:r>
              <w:t>100.00%</w:t>
            </w:r>
          </w:p>
        </w:tc>
        <w:tc>
          <w:tcPr>
            <w:tcW w:type="dxa" w:w="1560"/>
            <w:shd w:val="clear" w:color="auto" w:fill="F2F4F7"/>
          </w:tcPr>
          <w:p>
            <w:r>
              <w:t>80.00%</w:t>
            </w:r>
          </w:p>
        </w:tc>
      </w:tr>
      <w:tr>
        <w:tc>
          <w:tcPr>
            <w:tcW w:type="dxa" w:w="1560"/>
          </w:tcPr>
          <w:p>
            <w:r>
              <w:t>F1-Score</w:t>
            </w:r>
          </w:p>
        </w:tc>
        <w:tc>
          <w:tcPr>
            <w:tcW w:type="dxa" w:w="1560"/>
          </w:tcPr>
          <w:p>
            <w:r>
              <w:t>0.5714</w:t>
            </w:r>
          </w:p>
        </w:tc>
        <w:tc>
          <w:tcPr>
            <w:tcW w:type="dxa" w:w="1560"/>
          </w:tcPr>
          <w:p>
            <w:r>
              <w:t>0.4211</w:t>
            </w:r>
          </w:p>
        </w:tc>
        <w:tc>
          <w:tcPr>
            <w:tcW w:type="dxa" w:w="1560"/>
          </w:tcPr>
          <w:p>
            <w:r>
              <w:t>1.0000</w:t>
            </w:r>
          </w:p>
        </w:tc>
        <w:tc>
          <w:tcPr>
            <w:tcW w:type="dxa" w:w="1560"/>
          </w:tcPr>
          <w:p>
            <w:r>
              <w:t>1.0000</w:t>
            </w:r>
          </w:p>
        </w:tc>
        <w:tc>
          <w:tcPr>
            <w:tcW w:type="dxa" w:w="1560"/>
          </w:tcPr>
          <w:p>
            <w:r>
              <w:t>0.0570</w:t>
            </w:r>
          </w:p>
        </w:tc>
      </w:tr>
      <w:tr>
        <w:tc>
          <w:tcPr>
            <w:tcW w:type="dxa" w:w="1560"/>
            <w:shd w:val="clear" w:color="auto" w:fill="F2F4F7"/>
          </w:tcPr>
          <w:p>
            <w:r>
              <w:t>False Alarm Rate</w:t>
            </w:r>
          </w:p>
        </w:tc>
        <w:tc>
          <w:tcPr>
            <w:tcW w:type="dxa" w:w="1560"/>
            <w:shd w:val="clear" w:color="auto" w:fill="F2F4F7"/>
          </w:tcPr>
          <w:p>
            <w:r>
              <w:t>0.00%</w:t>
            </w:r>
          </w:p>
        </w:tc>
        <w:tc>
          <w:tcPr>
            <w:tcW w:type="dxa" w:w="1560"/>
            <w:shd w:val="clear" w:color="auto" w:fill="F2F4F7"/>
          </w:tcPr>
          <w:p>
            <w:r>
              <w:t>3.42%</w:t>
            </w:r>
          </w:p>
        </w:tc>
        <w:tc>
          <w:tcPr>
            <w:tcW w:type="dxa" w:w="1560"/>
            <w:shd w:val="clear" w:color="auto" w:fill="F2F4F7"/>
          </w:tcPr>
          <w:p>
            <w:r>
              <w:t>0.00%</w:t>
            </w:r>
          </w:p>
        </w:tc>
        <w:tc>
          <w:tcPr>
            <w:tcW w:type="dxa" w:w="1560"/>
            <w:shd w:val="clear" w:color="auto" w:fill="F2F4F7"/>
          </w:tcPr>
          <w:p>
            <w:r>
              <w:t>0.00%</w:t>
            </w:r>
          </w:p>
        </w:tc>
        <w:tc>
          <w:tcPr>
            <w:tcW w:type="dxa" w:w="1560"/>
            <w:shd w:val="clear" w:color="auto" w:fill="F2F4F7"/>
          </w:tcPr>
          <w:p>
            <w:r>
              <w:t>51.13%</w:t>
            </w:r>
          </w:p>
        </w:tc>
      </w:tr>
      <w:tr>
        <w:tc>
          <w:tcPr>
            <w:tcW w:type="dxa" w:w="1560"/>
          </w:tcPr>
          <w:p>
            <w:r>
              <w:t>False Positives (FP)</w:t>
            </w:r>
          </w:p>
        </w:tc>
        <w:tc>
          <w:tcPr>
            <w:tcW w:type="dxa" w:w="1560"/>
          </w:tcPr>
          <w:p>
            <w:r>
              <w:t>0 alerts</w:t>
            </w:r>
          </w:p>
        </w:tc>
        <w:tc>
          <w:tcPr>
            <w:tcW w:type="dxa" w:w="1560"/>
          </w:tcPr>
          <w:p>
            <w:r>
              <w:t>220 alerts</w:t>
            </w:r>
          </w:p>
        </w:tc>
        <w:tc>
          <w:tcPr>
            <w:tcW w:type="dxa" w:w="1560"/>
          </w:tcPr>
          <w:p>
            <w:r>
              <w:t>0 alerts</w:t>
            </w:r>
          </w:p>
        </w:tc>
        <w:tc>
          <w:tcPr>
            <w:tcW w:type="dxa" w:w="1560"/>
          </w:tcPr>
          <w:p>
            <w:r>
              <w:t>0 alerts</w:t>
            </w:r>
          </w:p>
        </w:tc>
        <w:tc>
          <w:tcPr>
            <w:tcW w:type="dxa" w:w="1560"/>
          </w:tcPr>
          <w:p>
            <w:r>
              <w:t>3,285 alerts</w:t>
            </w:r>
          </w:p>
        </w:tc>
      </w:tr>
    </w:tbl>
    <w:p>
      <w:pPr>
        <w:spacing w:before="160" w:after="40"/>
        <w:jc w:val="center"/>
      </w:pPr>
      <w:r>
        <w:drawing>
          <wp:inline xmlns:a="http://schemas.openxmlformats.org/drawingml/2006/main" xmlns:pic="http://schemas.openxmlformats.org/drawingml/2006/picture">
            <wp:extent cx="5486400" cy="1383087"/>
            <wp:docPr id="4" name="Picture 4"/>
            <wp:cNvGraphicFramePr>
              <a:graphicFrameLocks noChangeAspect="1"/>
            </wp:cNvGraphicFramePr>
            <a:graphic>
              <a:graphicData uri="http://schemas.openxmlformats.org/drawingml/2006/picture">
                <pic:pic>
                  <pic:nvPicPr>
                    <pic:cNvPr id="0" name="fig1_confusion_matrices.png"/>
                    <pic:cNvPicPr/>
                  </pic:nvPicPr>
                  <pic:blipFill>
                    <a:blip r:embed="rId12"/>
                    <a:stretch>
                      <a:fillRect/>
                    </a:stretch>
                  </pic:blipFill>
                  <pic:spPr>
                    <a:xfrm>
                      <a:off x="0" y="0"/>
                      <a:ext cx="5486400" cy="1383087"/>
                    </a:xfrm>
                    <a:prstGeom prst="rect"/>
                  </pic:spPr>
                </pic:pic>
              </a:graphicData>
            </a:graphic>
          </wp:inline>
        </w:drawing>
      </w:r>
    </w:p>
    <w:p>
      <w:pPr>
        <w:spacing w:after="240"/>
        <w:jc w:val="center"/>
      </w:pPr>
      <w:r>
        <w:rPr>
          <w:b/>
          <w:i/>
          <w:color w:val="444444"/>
          <w:sz w:val="19"/>
        </w:rPr>
        <w:t>Figure 4: 4-Panel Confusion Matrix Comparison across Rule Engine, Isolation Forest, Random Forest, and DQN Agent.</w:t>
      </w:r>
    </w:p>
    <w:p>
      <w:pPr>
        <w:spacing w:before="160" w:after="40"/>
        <w:jc w:val="center"/>
      </w:pPr>
      <w:r>
        <w:drawing>
          <wp:inline xmlns:a="http://schemas.openxmlformats.org/drawingml/2006/main" xmlns:pic="http://schemas.openxmlformats.org/drawingml/2006/picture">
            <wp:extent cx="5486400" cy="2131407"/>
            <wp:docPr id="5" name="Picture 5"/>
            <wp:cNvGraphicFramePr>
              <a:graphicFrameLocks noChangeAspect="1"/>
            </wp:cNvGraphicFramePr>
            <a:graphic>
              <a:graphicData uri="http://schemas.openxmlformats.org/drawingml/2006/picture">
                <pic:pic>
                  <pic:nvPicPr>
                    <pic:cNvPr id="0" name="fig2_roc_pr_curves.png"/>
                    <pic:cNvPicPr/>
                  </pic:nvPicPr>
                  <pic:blipFill>
                    <a:blip r:embed="rId13"/>
                    <a:stretch>
                      <a:fillRect/>
                    </a:stretch>
                  </pic:blipFill>
                  <pic:spPr>
                    <a:xfrm>
                      <a:off x="0" y="0"/>
                      <a:ext cx="5486400" cy="2131407"/>
                    </a:xfrm>
                    <a:prstGeom prst="rect"/>
                  </pic:spPr>
                </pic:pic>
              </a:graphicData>
            </a:graphic>
          </wp:inline>
        </w:drawing>
      </w:r>
    </w:p>
    <w:p>
      <w:pPr>
        <w:spacing w:after="240"/>
        <w:jc w:val="center"/>
      </w:pPr>
      <w:r>
        <w:rPr>
          <w:b/>
          <w:i/>
          <w:color w:val="444444"/>
          <w:sz w:val="19"/>
        </w:rPr>
        <w:t>Figure 5: (a) ROC Curves (AUC = 1.0000) and (b) Precision-Recall Curves on Imbalanced Multi-Source Logs.</w:t>
      </w:r>
    </w:p>
    <w:p>
      <w:pPr>
        <w:spacing w:before="160" w:after="40"/>
        <w:jc w:val="center"/>
      </w:pPr>
      <w:r>
        <w:drawing>
          <wp:inline xmlns:a="http://schemas.openxmlformats.org/drawingml/2006/main" xmlns:pic="http://schemas.openxmlformats.org/drawingml/2006/picture">
            <wp:extent cx="5486400" cy="1855559"/>
            <wp:docPr id="6" name="Picture 6"/>
            <wp:cNvGraphicFramePr>
              <a:graphicFrameLocks noChangeAspect="1"/>
            </wp:cNvGraphicFramePr>
            <a:graphic>
              <a:graphicData uri="http://schemas.openxmlformats.org/drawingml/2006/picture">
                <pic:pic>
                  <pic:nvPicPr>
                    <pic:cNvPr id="0" name="fig4_rl_training_convergence.png"/>
                    <pic:cNvPicPr/>
                  </pic:nvPicPr>
                  <pic:blipFill>
                    <a:blip r:embed="rId14"/>
                    <a:stretch>
                      <a:fillRect/>
                    </a:stretch>
                  </pic:blipFill>
                  <pic:spPr>
                    <a:xfrm>
                      <a:off x="0" y="0"/>
                      <a:ext cx="5486400" cy="1855559"/>
                    </a:xfrm>
                    <a:prstGeom prst="rect"/>
                  </pic:spPr>
                </pic:pic>
              </a:graphicData>
            </a:graphic>
          </wp:inline>
        </w:drawing>
      </w:r>
    </w:p>
    <w:p>
      <w:pPr>
        <w:spacing w:after="240"/>
        <w:jc w:val="center"/>
      </w:pPr>
      <w:r>
        <w:rPr>
          <w:b/>
          <w:i/>
          <w:color w:val="444444"/>
          <w:sz w:val="19"/>
        </w:rPr>
        <w:t>Figure 6: (a) Episodic Cumulative Reward Trajectory and (b) Epsilon-Greedy Annealing Schedule during DQN Training.</w:t>
      </w:r>
    </w:p>
    <w:p>
      <w:pPr>
        <w:spacing w:before="160" w:after="40"/>
        <w:jc w:val="center"/>
      </w:pPr>
      <w:r>
        <w:drawing>
          <wp:inline xmlns:a="http://schemas.openxmlformats.org/drawingml/2006/main" xmlns:pic="http://schemas.openxmlformats.org/drawingml/2006/picture">
            <wp:extent cx="5486400" cy="122755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486400" cy="1227551"/>
                    </a:xfrm>
                    <a:prstGeom prst="rect"/>
                  </pic:spPr>
                </pic:pic>
              </a:graphicData>
            </a:graphic>
          </wp:inline>
        </w:drawing>
      </w:r>
    </w:p>
    <w:p>
      <w:pPr>
        <w:spacing w:after="240"/>
        <w:jc w:val="center"/>
      </w:pPr>
      <w:r>
        <w:rPr>
          <w:b/>
          <w:i/>
          <w:color w:val="444444"/>
          <w:sz w:val="19"/>
        </w:rPr>
        <w:t>Figure 7: Master 4-Panel Comparative Benchmark: (a) Precision &amp; F1-Score, (b) Alert Fatigue, (c) Causal Graph Clustering, (d) Public Benchmark Transferability.</w:t>
      </w:r>
    </w:p>
    <w:p>
      <w:pPr>
        <w:pStyle w:val="Heading1"/>
      </w:pPr>
      <w:r>
        <w:t>5. How to Integrate Results into Your Thesis Chapters</w:t>
      </w:r>
    </w:p>
    <w:p>
      <w:r>
        <w:t>To present this research with maximum academic rigor in your final thesis document, follow this chapter-by-chapter mapping:</w:t>
        <w:br/>
        <w:br/>
        <w:t>• Chapter 1 (Introduction): Use Section 1 and Figure 1 to motivate the SIEM alert fatigue problem and explain multi-tier visibility silos.</w:t>
        <w:br/>
        <w:br/>
        <w:t>• Chapter 3 (System Architecture &amp; Methodology): Insert Table 1 (3-Tier Schemas), Figure 1 (Kill-Chain Attack Graph), and the Markov Decision Process (MDP) state-action-reward formulation.</w:t>
        <w:br/>
        <w:br/>
        <w:t>• Chapter 4 (Implementation &amp; Experimental Setup): Present Section 3 (Defense Justifications: Public datasets, scope alignment), Figure 6 (RL convergence), and the Stage 3 supervised NLP classifier details.</w:t>
        <w:br/>
        <w:br/>
        <w:t>• Chapter 5 (Results &amp; Discussion): Embed Figure 4 (Confusion Matrices), Figure 5 (ROC &amp; PR Curves), Figure 7 (Master 4-Panel Overview), Figure 3 (Latency &amp; Throughput), and Figure 2 (Adversarial Stealth Delay Robustness).</w:t>
        <w:br/>
        <w:br/>
        <w:t>• Chapter 6 (Conclusion &amp; Future Work): Summarize the +36.1% precision advantage, 45x alert fatigue reduction, and 96.33% cross-domain public benchmark transferability.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