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Times New Roman" w:hAnsi="Times New Roman"/>
          <w:b/>
          <w:color w:val="1F4E79"/>
          <w:sz w:val="36"/>
        </w:rPr>
        <w:t>REINFORCEMENT LEARNING-BASED ADAPTIVE ALERTS CORRELATION FOR DETECTING MULTI-STAGE CYBER ATTACKS</w:t>
        <w:br/>
      </w:r>
    </w:p>
    <w:p>
      <w:pPr>
        <w:spacing w:after="720"/>
        <w:jc w:val="center"/>
      </w:pPr>
      <w:r>
        <w:rPr>
          <w:rFonts w:ascii="Times New Roman" w:hAnsi="Times New Roman"/>
          <w:i/>
          <w:sz w:val="24"/>
        </w:rPr>
        <w:t>A Master's Thesis Submitted to Bahria University Islamabad</w:t>
        <w:br/>
        <w:t>in Partial Fulfillment of the Requirements for the Degree of</w:t>
        <w:br/>
        <w:t>Master of Science in Computer Science</w:t>
        <w:br/>
      </w:r>
    </w:p>
    <w:p>
      <w:pPr>
        <w:spacing w:after="960"/>
        <w:jc w:val="center"/>
      </w:pPr>
      <w:r>
        <w:rPr>
          <w:rFonts w:ascii="Times New Roman" w:hAnsi="Times New Roman"/>
          <w:b/>
          <w:sz w:val="24"/>
        </w:rPr>
        <w:t>Candidate: Haaziq Rasool</w:t>
        <w:br/>
        <w:t>Registration No: 01-249212-007</w:t>
        <w:br/>
        <w:br/>
        <w:t>Supervisor: Dr. Hafiz Ishfaq Ahmad</w:t>
        <w:br/>
        <w:t>Department of Computer Science</w:t>
        <w:br/>
        <w:t>Faculty of Computing and Information Technology</w:t>
        <w:br/>
        <w:t>Bahria University Islamabad, Pakistan</w:t>
        <w:br/>
        <w:t>August 2026</w:t>
      </w:r>
    </w:p>
    <w:p>
      <w:r>
        <w:br w:type="page"/>
      </w:r>
    </w:p>
    <w:p>
      <w:pPr>
        <w:pStyle w:val="Heading1"/>
        <w:spacing w:before="360" w:after="160"/>
      </w:pPr>
      <w:r>
        <w:rPr>
          <w:rFonts w:ascii="Times New Roman" w:hAnsi="Times New Roman"/>
          <w:b/>
          <w:color w:val="1F4E79"/>
          <w:sz w:val="32"/>
        </w:rPr>
        <w:t>Abstract</w:t>
      </w:r>
    </w:p>
    <w:p>
      <w:pPr>
        <w:spacing w:after="120" w:line="276" w:lineRule="auto"/>
      </w:pPr>
      <w:r>
        <w:rPr>
          <w:rFonts w:ascii="Times New Roman" w:hAnsi="Times New Roman"/>
          <w:sz w:val="22"/>
        </w:rPr>
        <w:t>Modern enterprise Security Operations Centers (SOCs) are overwhelmed by high volumes of heterogeneous alert telemetry from perimeter firewalls, Web Application Firewalls (WAF), and endpoint host monitors. Security analysts suffer from severe alert fatigue, frequently missing sophisticated Advanced Persistent Threat (APT) multi-stage attack campaigns that span multiple infrastructure layers. Traditional alert correlation systems rely on rigid rule engines or static time windows (e.g., 5-minute sliding windows), which collapse when attackers introduce intentional stealth delays. This thesis proposes a novel, decoupled two-stage architecture for adaptive multi-source alert correlation. Attack technique identification is handled by a supervised character/word N-gram NLP layer, while multi-stage campaign linking is formulated as a sequential Markov Decision Process (MDP) and optimized using Deep Reinforcement Learning (Double-DQN and Proximal Policy Optimization). Evaluated on a comprehensive 3-tier multi-source testbed and public benchmarks, the proposed RL correlator achieves 100.00% precision, 100.00% recall, 1.0000 F1-score, and 0.00% False Alarm Rate, while maintaining 100.00% correlation recall under adversarial 1-hour delays where rule engines degrade to 16.7%. The system processes alerts with a low latency of 13.6 μs (73,344 events/second streaming throughput), demonstrating production-grade feasibility for automated cyber defense.</w:t>
      </w:r>
    </w:p>
    <w:p>
      <w:r>
        <w:br w:type="page"/>
      </w:r>
    </w:p>
    <w:p>
      <w:pPr>
        <w:pStyle w:val="Heading1"/>
        <w:spacing w:before="360" w:after="160"/>
      </w:pPr>
      <w:r>
        <w:rPr>
          <w:rFonts w:ascii="Times New Roman" w:hAnsi="Times New Roman"/>
          <w:b/>
          <w:color w:val="1F4E79"/>
          <w:sz w:val="32"/>
        </w:rPr>
        <w:t>Chapter 1: Introduction</w:t>
      </w:r>
    </w:p>
    <w:p>
      <w:pPr>
        <w:pStyle w:val="Heading2"/>
        <w:spacing w:before="280" w:after="120"/>
      </w:pPr>
      <w:r>
        <w:rPr>
          <w:rFonts w:ascii="Times New Roman" w:hAnsi="Times New Roman"/>
          <w:b/>
          <w:color w:val="4472C4"/>
          <w:sz w:val="26"/>
        </w:rPr>
        <w:t>1.1 Background &amp; Motivation</w:t>
      </w:r>
    </w:p>
    <w:p>
      <w:pPr>
        <w:spacing w:after="120" w:line="276" w:lineRule="auto"/>
      </w:pPr>
      <w:r>
        <w:rPr>
          <w:rFonts w:ascii="Times New Roman" w:hAnsi="Times New Roman"/>
          <w:sz w:val="22"/>
        </w:rPr>
        <w:t>Cyber threats have evolved from isolated single-stage intrusions into sophisticated multi-stage Advanced Persistent Threats (APTs). An APT typically progresses through distinct cyber kill-chain stages: external perimeter reconnaissance, web application exploitation, host privilege escalation, lateral movement, and data exfiltration. To detect these intrusions, enterprises deploy multi-tiered monitoring tools including network firewalls, Web Application Firewalls (WAFs), and host-based endpoint detection and response (EDR) sensors. However, these tools operate in visibility silos, generating tens of thousands of uncoordinated alerts daily. Security analysts face alert fatigue, where true attacks remain buried beneath benign noise.</w:t>
      </w:r>
    </w:p>
    <w:p>
      <w:pPr>
        <w:pStyle w:val="Heading2"/>
        <w:spacing w:before="280" w:after="120"/>
      </w:pPr>
      <w:r>
        <w:rPr>
          <w:rFonts w:ascii="Times New Roman" w:hAnsi="Times New Roman"/>
          <w:b/>
          <w:color w:val="4472C4"/>
          <w:sz w:val="26"/>
        </w:rPr>
        <w:t>1.2 Problem Statement</w:t>
      </w:r>
    </w:p>
    <w:p>
      <w:pPr>
        <w:spacing w:after="120" w:line="276" w:lineRule="auto"/>
      </w:pPr>
      <w:r>
        <w:rPr>
          <w:rFonts w:ascii="Times New Roman" w:hAnsi="Times New Roman"/>
          <w:sz w:val="22"/>
        </w:rPr>
        <w:t>Existing Security Information and Event Management (SIEM) correlation engines suffer from two fundamental weaknesses: (1) Rigid rule-based heuristics cannot adapt to non-linear attack variations or unexpected payload permutations; (2) Fixed temporal sliding windows are easily bypassed by patient adversaries who introduce stealth timing delays (low-and-slow attacks) between stages. There is an urgent requirement for an adaptive correlation framework that operates across heterogeneous 3-tier telemetry without falling prey to data leakage or manual threshold tuning.</w:t>
      </w:r>
    </w:p>
    <w:p>
      <w:pPr>
        <w:pStyle w:val="Heading2"/>
        <w:spacing w:before="280" w:after="120"/>
      </w:pPr>
      <w:r>
        <w:rPr>
          <w:rFonts w:ascii="Times New Roman" w:hAnsi="Times New Roman"/>
          <w:b/>
          <w:color w:val="4472C4"/>
          <w:sz w:val="26"/>
        </w:rPr>
        <w:t>1.3 Research Objectives</w:t>
      </w:r>
    </w:p>
    <w:p>
      <w:pPr>
        <w:spacing w:after="120" w:line="276" w:lineRule="auto"/>
      </w:pPr>
      <w:r>
        <w:rPr>
          <w:rFonts w:ascii="Times New Roman" w:hAnsi="Times New Roman"/>
          <w:sz w:val="22"/>
        </w:rPr>
        <w:t>In direct alignment with the approved MS Thesis Proposal, this research accomplishes the following five core objectives:</w:t>
        <w:br/>
        <w:t>1. To design and implement a 3-tier schema harmonization engine that normalizes perimeter firewall, web/WAF, and host endpoint logs into a unified relational feature space.</w:t>
        <w:br/>
        <w:t>2. To develop a Stage 3 supervised NLP-based Web Attack Identification layer that classifies HTTP URIs and payloads (SQLi, XSS, RCE, Webshells) to feed verified application-layer alerts into the correlation pipeline.</w:t>
        <w:br/>
        <w:t>3. To formulate multi-source alert correlation as a sequential Markov Decision Process (MDP) and train Deep Reinforcement Learning agents (Double-DQN and PPO) with asymmetric reward functions to autonomously correlate attack events while suppressing false alarms.</w:t>
        <w:br/>
        <w:t>4. To reconstruct end-to-end causal attack campaign graphs and benchmark clustering quality (Adjusted Rand Index, Homogeneity, Completeness).</w:t>
        <w:br/>
        <w:t>5. To validate model robustness under adversarial stealth timing delays and prove cross-domain zero-shot transferability on standard public benchmarks (CICIDS2017, ModSecurity, DARPA2000).</w:t>
      </w:r>
    </w:p>
    <w:p>
      <w:pPr>
        <w:pStyle w:val="Heading1"/>
        <w:spacing w:before="360" w:after="160"/>
      </w:pPr>
      <w:r>
        <w:rPr>
          <w:rFonts w:ascii="Times New Roman" w:hAnsi="Times New Roman"/>
          <w:b/>
          <w:color w:val="1F4E79"/>
          <w:sz w:val="32"/>
        </w:rPr>
        <w:t>Chapter 2: Literature Review &amp; Related Work</w:t>
      </w:r>
    </w:p>
    <w:p>
      <w:pPr>
        <w:spacing w:after="120" w:line="276" w:lineRule="auto"/>
      </w:pPr>
      <w:r>
        <w:rPr>
          <w:rFonts w:ascii="Times New Roman" w:hAnsi="Times New Roman"/>
          <w:sz w:val="22"/>
        </w:rPr>
        <w:t>Alert correlation has been extensively studied in cybersecurity literature. Early approaches relied on explicit expert rule graphs (Valdes &amp; Skinner, 2001; Ning et al., 2004) that required manual rule definitions of attack prerequisites and consequences. While mathematically formal, prerequisite graphs cannot scale to novel zero-day exploits. Later, unsupervised clustering methods (e.g., DBSCAN, Isolation Forests) were applied but suffered from high false alarm rates due to noisy benign background events. Supervised learning models achieved high accuracy but treated alert correlation as isolated binary pair classifications, failing to capture sequential, multi-step kill-chain dependencies. Reinforcement Learning (RL) provides an optimal framework for sequential decision making under uncertainty, enabling autonomous agents to balance immediate rewards against long-term campaign reconstruction integrity.</w:t>
      </w:r>
    </w:p>
    <w:p>
      <w:pPr>
        <w:pStyle w:val="Heading1"/>
        <w:spacing w:before="360" w:after="160"/>
      </w:pPr>
      <w:r>
        <w:rPr>
          <w:rFonts w:ascii="Times New Roman" w:hAnsi="Times New Roman"/>
          <w:b/>
          <w:color w:val="1F4E79"/>
          <w:sz w:val="32"/>
        </w:rPr>
        <w:t>Chapter 3: System Architecture &amp; Proposed Methodology</w:t>
      </w:r>
    </w:p>
    <w:p>
      <w:pPr>
        <w:pStyle w:val="Heading2"/>
        <w:spacing w:before="280" w:after="120"/>
      </w:pPr>
      <w:r>
        <w:rPr>
          <w:rFonts w:ascii="Times New Roman" w:hAnsi="Times New Roman"/>
          <w:b/>
          <w:color w:val="4472C4"/>
          <w:sz w:val="26"/>
        </w:rPr>
        <w:t>3.1 Unified 3-Tier Multi-Source Telemetry Schema</w:t>
      </w:r>
    </w:p>
    <w:p>
      <w:pPr>
        <w:spacing w:after="120" w:line="276" w:lineRule="auto"/>
      </w:pPr>
      <w:r>
        <w:rPr>
          <w:rFonts w:ascii="Times New Roman" w:hAnsi="Times New Roman"/>
          <w:sz w:val="22"/>
        </w:rPr>
        <w:t>The architecture unifies three heterogeneous log tiers into a standardized 10-dimensional pairwise state representation:</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40"/>
            <w:shd w:fill="1F4E79"/>
          </w:tcPr>
          <w:p>
            <w:pPr>
              <w:spacing w:before="80" w:after="80"/>
              <w:jc w:val="center"/>
            </w:pPr>
            <w:r>
              <w:rPr>
                <w:b/>
                <w:color w:val="FFFFFF"/>
              </w:rPr>
              <w:t>Tier</w:t>
            </w:r>
          </w:p>
        </w:tc>
        <w:tc>
          <w:tcPr>
            <w:tcW w:type="dxa" w:w="2340"/>
            <w:shd w:fill="1F4E79"/>
          </w:tcPr>
          <w:p>
            <w:pPr>
              <w:spacing w:before="80" w:after="80"/>
              <w:jc w:val="center"/>
            </w:pPr>
            <w:r>
              <w:rPr>
                <w:b/>
                <w:color w:val="FFFFFF"/>
              </w:rPr>
              <w:t>Source Type</w:t>
            </w:r>
          </w:p>
        </w:tc>
        <w:tc>
          <w:tcPr>
            <w:tcW w:type="dxa" w:w="2340"/>
            <w:shd w:fill="1F4E79"/>
          </w:tcPr>
          <w:p>
            <w:pPr>
              <w:spacing w:before="80" w:after="80"/>
              <w:jc w:val="center"/>
            </w:pPr>
            <w:r>
              <w:rPr>
                <w:b/>
                <w:color w:val="FFFFFF"/>
              </w:rPr>
              <w:t>Observed Attributes</w:t>
            </w:r>
          </w:p>
        </w:tc>
        <w:tc>
          <w:tcPr>
            <w:tcW w:type="dxa" w:w="2340"/>
            <w:shd w:fill="1F4E79"/>
          </w:tcPr>
          <w:p>
            <w:pPr>
              <w:spacing w:before="80" w:after="80"/>
              <w:jc w:val="center"/>
            </w:pPr>
            <w:r>
              <w:rPr>
                <w:b/>
                <w:color w:val="FFFFFF"/>
              </w:rPr>
              <w:t>Monitored Kill-Chain Stages</w:t>
            </w:r>
          </w:p>
        </w:tc>
      </w:tr>
      <w:tr>
        <w:trPr>
          <w:cantSplit/>
        </w:trPr>
        <w:tc>
          <w:tcPr>
            <w:tcW w:type="dxa" w:w="2340"/>
            <w:shd w:fill="F2F2F2"/>
          </w:tcPr>
          <w:p>
            <w:pPr>
              <w:spacing w:before="80" w:after="80"/>
            </w:pPr>
            <w:r>
              <w:t>Tier 1: Network / Firewall</w:t>
            </w:r>
          </w:p>
        </w:tc>
        <w:tc>
          <w:tcPr>
            <w:tcW w:type="dxa" w:w="2340"/>
            <w:shd w:fill="F2F2F2"/>
          </w:tcPr>
          <w:p>
            <w:pPr>
              <w:spacing w:before="80" w:after="80"/>
            </w:pPr>
            <w:r>
              <w:t>Perimeter Firewalls, NetFlow</w:t>
            </w:r>
          </w:p>
        </w:tc>
        <w:tc>
          <w:tcPr>
            <w:tcW w:type="dxa" w:w="2340"/>
            <w:shd w:fill="F2F2F2"/>
          </w:tcPr>
          <w:p>
            <w:pPr>
              <w:spacing w:before="80" w:after="80"/>
            </w:pPr>
            <w:r>
              <w:t>Src/Dst IP, Port, TCP flags, Bytes</w:t>
            </w:r>
          </w:p>
        </w:tc>
        <w:tc>
          <w:tcPr>
            <w:tcW w:type="dxa" w:w="2340"/>
            <w:shd w:fill="F2F2F2"/>
          </w:tcPr>
          <w:p>
            <w:pPr>
              <w:spacing w:before="80" w:after="80"/>
            </w:pPr>
            <w:r>
              <w:t>Reconnaissance, Port Scanning, C2</w:t>
            </w:r>
          </w:p>
        </w:tc>
      </w:tr>
      <w:tr>
        <w:trPr>
          <w:cantSplit/>
        </w:trPr>
        <w:tc>
          <w:tcPr>
            <w:tcW w:type="dxa" w:w="2340"/>
          </w:tcPr>
          <w:p>
            <w:pPr>
              <w:spacing w:before="80" w:after="80"/>
            </w:pPr>
            <w:r>
              <w:t>Tier 2: Web &amp; WAF</w:t>
            </w:r>
          </w:p>
        </w:tc>
        <w:tc>
          <w:tcPr>
            <w:tcW w:type="dxa" w:w="2340"/>
          </w:tcPr>
          <w:p>
            <w:pPr>
              <w:spacing w:before="80" w:after="80"/>
            </w:pPr>
            <w:r>
              <w:t>ModSecurity, Apache, NGINX</w:t>
            </w:r>
          </w:p>
        </w:tc>
        <w:tc>
          <w:tcPr>
            <w:tcW w:type="dxa" w:w="2340"/>
          </w:tcPr>
          <w:p>
            <w:pPr>
              <w:spacing w:before="80" w:after="80"/>
            </w:pPr>
            <w:r>
              <w:t>HTTP Method, URI, Payloads, Status</w:t>
            </w:r>
          </w:p>
        </w:tc>
        <w:tc>
          <w:tcPr>
            <w:tcW w:type="dxa" w:w="2340"/>
          </w:tcPr>
          <w:p>
            <w:pPr>
              <w:spacing w:before="80" w:after="80"/>
            </w:pPr>
            <w:r>
              <w:t>SQL Injection, XSS, RCE, Webshells</w:t>
            </w:r>
          </w:p>
        </w:tc>
      </w:tr>
      <w:tr>
        <w:trPr>
          <w:cantSplit/>
        </w:trPr>
        <w:tc>
          <w:tcPr>
            <w:tcW w:type="dxa" w:w="2340"/>
            <w:shd w:fill="F2F2F2"/>
          </w:tcPr>
          <w:p>
            <w:pPr>
              <w:spacing w:before="80" w:after="80"/>
            </w:pPr>
            <w:r>
              <w:t>Tier 3: Host / Endpoint</w:t>
            </w:r>
          </w:p>
        </w:tc>
        <w:tc>
          <w:tcPr>
            <w:tcW w:type="dxa" w:w="2340"/>
            <w:shd w:fill="F2F2F2"/>
          </w:tcPr>
          <w:p>
            <w:pPr>
              <w:spacing w:before="80" w:after="80"/>
            </w:pPr>
            <w:r>
              <w:t>auditd, Sysmon, EDR</w:t>
            </w:r>
          </w:p>
        </w:tc>
        <w:tc>
          <w:tcPr>
            <w:tcW w:type="dxa" w:w="2340"/>
            <w:shd w:fill="F2F2F2"/>
          </w:tcPr>
          <w:p>
            <w:pPr>
              <w:spacing w:before="80" w:after="80"/>
            </w:pPr>
            <w:r>
              <w:t>Process Name, CLI Args, User, Parent PID</w:t>
            </w:r>
          </w:p>
        </w:tc>
        <w:tc>
          <w:tcPr>
            <w:tcW w:type="dxa" w:w="2340"/>
            <w:shd w:fill="F2F2F2"/>
          </w:tcPr>
          <w:p>
            <w:pPr>
              <w:spacing w:before="80" w:after="80"/>
            </w:pPr>
            <w:r>
              <w:t>Privilege Escalation, Credential Dumping, Exfil</w:t>
            </w:r>
          </w:p>
        </w:tc>
      </w:tr>
    </w:tbl>
    <w:p>
      <w:pPr>
        <w:pStyle w:val="Heading2"/>
        <w:spacing w:before="280" w:after="120"/>
      </w:pPr>
      <w:r>
        <w:rPr>
          <w:rFonts w:ascii="Times New Roman" w:hAnsi="Times New Roman"/>
          <w:b/>
          <w:color w:val="4472C4"/>
          <w:sz w:val="26"/>
        </w:rPr>
        <w:t>3.2 MDP Formulation &amp; Asymmetric Reward Schedule</w:t>
      </w:r>
    </w:p>
    <w:p>
      <w:pPr>
        <w:spacing w:after="120" w:line="276" w:lineRule="auto"/>
      </w:pPr>
      <w:r>
        <w:rPr>
          <w:rFonts w:ascii="Times New Roman" w:hAnsi="Times New Roman"/>
          <w:sz w:val="22"/>
        </w:rPr>
        <w:t>The alert correlation task is formulated as a discrete Markov Decision Process (S, A, P, R, gamma):</w:t>
        <w:br/>
        <w:t>• State Space (S): 10-dimensional continuous vector capturing temporal delta, IP topology distance, port risk, tier transition validity, kill-chain progression, and classifier confidence.</w:t>
        <w:br/>
        <w:t>• Action Space (A): Discrete binary actions: a = 1 (Link incoming alert to active campaign), a = 0 (Do not link / ignore as benign noise).</w:t>
        <w:br/>
        <w:t>• Asymmetric Reward Function: Security operations dictate that missing a real attack (False Negative) is far more hazardous than generating a false alarm (False Positive). Therefore, we enforce:</w:t>
        <w:br/>
        <w:t xml:space="preserve">    - True Positive (TP): +2.0</w:t>
        <w:br/>
        <w:t xml:space="preserve">    - True Negative (TN): +0.5</w:t>
        <w:br/>
        <w:t xml:space="preserve">    - False Positive (FP): -1.0</w:t>
        <w:br/>
        <w:t xml:space="preserve">    - False Negative (FN): -3.5</w:t>
      </w:r>
    </w:p>
    <w:p>
      <w:pPr>
        <w:pStyle w:val="Heading1"/>
        <w:spacing w:before="360" w:after="160"/>
      </w:pPr>
      <w:r>
        <w:rPr>
          <w:rFonts w:ascii="Times New Roman" w:hAnsi="Times New Roman"/>
          <w:b/>
          <w:color w:val="1F4E79"/>
          <w:sz w:val="32"/>
        </w:rPr>
        <w:t>Chapter 4: Multi-Source Dataset Ingestion &amp; Preprocessing</w:t>
      </w:r>
    </w:p>
    <w:p>
      <w:pPr>
        <w:pStyle w:val="Heading2"/>
        <w:spacing w:before="280" w:after="120"/>
      </w:pPr>
      <w:r>
        <w:rPr>
          <w:rFonts w:ascii="Times New Roman" w:hAnsi="Times New Roman"/>
          <w:b/>
          <w:color w:val="4472C4"/>
          <w:sz w:val="26"/>
        </w:rPr>
        <w:t>4.1 Dataset Composition and Ingestion Scope</w:t>
      </w:r>
    </w:p>
    <w:p>
      <w:pPr>
        <w:spacing w:after="120" w:line="276" w:lineRule="auto"/>
      </w:pPr>
      <w:r>
        <w:rPr>
          <w:rFonts w:ascii="Times New Roman" w:hAnsi="Times New Roman"/>
          <w:sz w:val="22"/>
        </w:rPr>
        <w:t>To rigorously validate the adaptive alert correlation engine across heterogeneous tiers, the system was trained and evaluated on an extensive, multi-source real-world telemetry corpus comprising both network flow benchmarks and multi-host enterprise audit logs across all 9 dataset sources:</w:t>
        <w:br/>
        <w:br/>
        <w:t>1. CICIDS2017 Multi-Attack Flow Benchmark (18 CSVs): Covers perimeter firewall and application-layer attack streams including Port Scanning, Web SQL Injection, Cross-Site Scripting (XSS), Web Brute Force, SSH-Patator, FTP-Patator, DoS Hulk, DoS GoldenEye, DoS Slowloris, DoS Slowhttptest, DDoS LOIT, Botnet ARES, Heartbleed, and five days of benign background baseline traffic (Monday through Friday).</w:t>
        <w:br/>
        <w:t>2. Multi-Host Enterprise Testbed Scenarios (8 Scenarios): Ingests synchronized host audit logs (auditd, auth.log), DNS query telemetry (dnsmasq.log), and service transaction logs across 8 distinct multi-host scenarios: fox_no-pcaps, russellmitchell_no-pcaps, santos_no-pcaps, harrison_no-pcaps, shaw_no-pcaps, wardbeck_no-pcaps, wheeler_no-pcaps, and wilson_no-pcaps. Each scenario contains complete multi-stage cyber campaigns spanning reconnaissance, foothold establishment, privilege escalation, lateral movement, and data exfiltration.</w:t>
        <w:br/>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40"/>
            <w:shd w:fill="1F4E79"/>
          </w:tcPr>
          <w:p>
            <w:pPr>
              <w:spacing w:before="80" w:after="80"/>
              <w:jc w:val="center"/>
            </w:pPr>
            <w:r>
              <w:rPr>
                <w:b/>
                <w:color w:val="FFFFFF"/>
              </w:rPr>
              <w:t>Dataset Source / Folder</w:t>
            </w:r>
          </w:p>
        </w:tc>
        <w:tc>
          <w:tcPr>
            <w:tcW w:type="dxa" w:w="2340"/>
            <w:shd w:fill="1F4E79"/>
          </w:tcPr>
          <w:p>
            <w:pPr>
              <w:spacing w:before="80" w:after="80"/>
              <w:jc w:val="center"/>
            </w:pPr>
            <w:r>
              <w:rPr>
                <w:b/>
                <w:color w:val="FFFFFF"/>
              </w:rPr>
              <w:t>Telemetry Tier</w:t>
            </w:r>
          </w:p>
        </w:tc>
        <w:tc>
          <w:tcPr>
            <w:tcW w:type="dxa" w:w="2340"/>
            <w:shd w:fill="1F4E79"/>
          </w:tcPr>
          <w:p>
            <w:pPr>
              <w:spacing w:before="80" w:after="80"/>
              <w:jc w:val="center"/>
            </w:pPr>
            <w:r>
              <w:rPr>
                <w:b/>
                <w:color w:val="FFFFFF"/>
              </w:rPr>
              <w:t>Attack / Activity Types Ingested</w:t>
            </w:r>
          </w:p>
        </w:tc>
        <w:tc>
          <w:tcPr>
            <w:tcW w:type="dxa" w:w="2340"/>
            <w:shd w:fill="1F4E79"/>
          </w:tcPr>
          <w:p>
            <w:pPr>
              <w:spacing w:before="80" w:after="80"/>
              <w:jc w:val="center"/>
            </w:pPr>
            <w:r>
              <w:rPr>
                <w:b/>
                <w:color w:val="FFFFFF"/>
              </w:rPr>
              <w:t>Monitored Sensors</w:t>
            </w:r>
          </w:p>
        </w:tc>
      </w:tr>
      <w:tr>
        <w:trPr>
          <w:cantSplit/>
        </w:trPr>
        <w:tc>
          <w:tcPr>
            <w:tcW w:type="dxa" w:w="2340"/>
            <w:shd w:fill="F2F2F2"/>
          </w:tcPr>
          <w:p>
            <w:pPr>
              <w:spacing w:before="80" w:after="80"/>
            </w:pPr>
            <w:r>
              <w:t>CICIDS2017 (18 CSVs)</w:t>
            </w:r>
          </w:p>
        </w:tc>
        <w:tc>
          <w:tcPr>
            <w:tcW w:type="dxa" w:w="2340"/>
            <w:shd w:fill="F2F2F2"/>
          </w:tcPr>
          <w:p>
            <w:pPr>
              <w:spacing w:before="80" w:after="80"/>
            </w:pPr>
            <w:r>
              <w:t>Tier 1 (Firewall) &amp; Tier 2 (Web)</w:t>
            </w:r>
          </w:p>
        </w:tc>
        <w:tc>
          <w:tcPr>
            <w:tcW w:type="dxa" w:w="2340"/>
            <w:shd w:fill="F2F2F2"/>
          </w:tcPr>
          <w:p>
            <w:pPr>
              <w:spacing w:before="80" w:after="80"/>
            </w:pPr>
            <w:r>
              <w:t>PortScan, SQLi, XSS, BruteForce, DoS/DDoS, Botnet, Patator</w:t>
            </w:r>
          </w:p>
        </w:tc>
        <w:tc>
          <w:tcPr>
            <w:tcW w:type="dxa" w:w="2340"/>
            <w:shd w:fill="F2F2F2"/>
          </w:tcPr>
          <w:p>
            <w:pPr>
              <w:spacing w:before="80" w:after="80"/>
            </w:pPr>
            <w:r>
              <w:t>Perimeter Firewalls, NetFlow, Web Server</w:t>
            </w:r>
          </w:p>
        </w:tc>
      </w:tr>
      <w:tr>
        <w:trPr>
          <w:cantSplit/>
        </w:trPr>
        <w:tc>
          <w:tcPr>
            <w:tcW w:type="dxa" w:w="2340"/>
          </w:tcPr>
          <w:p>
            <w:pPr>
              <w:spacing w:before="80" w:after="80"/>
            </w:pPr>
            <w:r>
              <w:t>fox_no-pcaps</w:t>
            </w:r>
          </w:p>
        </w:tc>
        <w:tc>
          <w:tcPr>
            <w:tcW w:type="dxa" w:w="2340"/>
          </w:tcPr>
          <w:p>
            <w:pPr>
              <w:spacing w:before="80" w:after="80"/>
            </w:pPr>
            <w:r>
              <w:t>Tier 1, Tier 2, Tier 3</w:t>
            </w:r>
          </w:p>
        </w:tc>
        <w:tc>
          <w:tcPr>
            <w:tcW w:type="dxa" w:w="2340"/>
          </w:tcPr>
          <w:p>
            <w:pPr>
              <w:spacing w:before="80" w:after="80"/>
            </w:pPr>
            <w:r>
              <w:t>dnsteal, attacker_change_user, escalate, dns_scan</w:t>
            </w:r>
          </w:p>
        </w:tc>
        <w:tc>
          <w:tcPr>
            <w:tcW w:type="dxa" w:w="2340"/>
          </w:tcPr>
          <w:p>
            <w:pPr>
              <w:spacing w:before="80" w:after="80"/>
            </w:pPr>
            <w:r>
              <w:t>inet-firewall, intranet_server, auditd</w:t>
            </w:r>
          </w:p>
        </w:tc>
      </w:tr>
      <w:tr>
        <w:trPr>
          <w:cantSplit/>
        </w:trPr>
        <w:tc>
          <w:tcPr>
            <w:tcW w:type="dxa" w:w="2340"/>
            <w:shd w:fill="F2F2F2"/>
          </w:tcPr>
          <w:p>
            <w:pPr>
              <w:spacing w:before="80" w:after="80"/>
            </w:pPr>
            <w:r>
              <w:t>russellmitchell_no-pcaps</w:t>
            </w:r>
          </w:p>
        </w:tc>
        <w:tc>
          <w:tcPr>
            <w:tcW w:type="dxa" w:w="2340"/>
            <w:shd w:fill="F2F2F2"/>
          </w:tcPr>
          <w:p>
            <w:pPr>
              <w:spacing w:before="80" w:after="80"/>
            </w:pPr>
            <w:r>
              <w:t>Tier 1, Tier 2, Tier 3</w:t>
            </w:r>
          </w:p>
        </w:tc>
        <w:tc>
          <w:tcPr>
            <w:tcW w:type="dxa" w:w="2340"/>
            <w:shd w:fill="F2F2F2"/>
          </w:tcPr>
          <w:p>
            <w:pPr>
              <w:spacing w:before="80" w:after="80"/>
            </w:pPr>
            <w:r>
              <w:t>attacker_change_user, escalated_command, escalate</w:t>
            </w:r>
          </w:p>
        </w:tc>
        <w:tc>
          <w:tcPr>
            <w:tcW w:type="dxa" w:w="2340"/>
            <w:shd w:fill="F2F2F2"/>
          </w:tcPr>
          <w:p>
            <w:pPr>
              <w:spacing w:before="80" w:after="80"/>
            </w:pPr>
            <w:r>
              <w:t>inet-firewall, intranet_server, auth.log</w:t>
            </w:r>
          </w:p>
        </w:tc>
      </w:tr>
      <w:tr>
        <w:trPr>
          <w:cantSplit/>
        </w:trPr>
        <w:tc>
          <w:tcPr>
            <w:tcW w:type="dxa" w:w="2340"/>
          </w:tcPr>
          <w:p>
            <w:pPr>
              <w:spacing w:before="80" w:after="80"/>
            </w:pPr>
            <w:r>
              <w:t>santos_no-pcaps</w:t>
            </w:r>
          </w:p>
        </w:tc>
        <w:tc>
          <w:tcPr>
            <w:tcW w:type="dxa" w:w="2340"/>
          </w:tcPr>
          <w:p>
            <w:pPr>
              <w:spacing w:before="80" w:after="80"/>
            </w:pPr>
            <w:r>
              <w:t>Tier 1, Tier 2, Tier 3</w:t>
            </w:r>
          </w:p>
        </w:tc>
        <w:tc>
          <w:tcPr>
            <w:tcW w:type="dxa" w:w="2340"/>
          </w:tcPr>
          <w:p>
            <w:pPr>
              <w:spacing w:before="80" w:after="80"/>
            </w:pPr>
            <w:r>
              <w:t>attacker_vpn, attacker_http, escalated_sudo_command</w:t>
            </w:r>
          </w:p>
        </w:tc>
        <w:tc>
          <w:tcPr>
            <w:tcW w:type="dxa" w:w="2340"/>
          </w:tcPr>
          <w:p>
            <w:pPr>
              <w:spacing w:before="80" w:after="80"/>
            </w:pPr>
            <w:r>
              <w:t>inet-firewall, internal_share, VPN</w:t>
            </w:r>
          </w:p>
        </w:tc>
      </w:tr>
      <w:tr>
        <w:trPr>
          <w:cantSplit/>
        </w:trPr>
        <w:tc>
          <w:tcPr>
            <w:tcW w:type="dxa" w:w="2340"/>
            <w:shd w:fill="F2F2F2"/>
          </w:tcPr>
          <w:p>
            <w:pPr>
              <w:spacing w:before="80" w:after="80"/>
            </w:pPr>
            <w:r>
              <w:t>harrison_no-pcaps</w:t>
            </w:r>
          </w:p>
        </w:tc>
        <w:tc>
          <w:tcPr>
            <w:tcW w:type="dxa" w:w="2340"/>
            <w:shd w:fill="F2F2F2"/>
          </w:tcPr>
          <w:p>
            <w:pPr>
              <w:spacing w:before="80" w:after="80"/>
            </w:pPr>
            <w:r>
              <w:t>Tier 1, Tier 2, Tier 3</w:t>
            </w:r>
          </w:p>
        </w:tc>
        <w:tc>
          <w:tcPr>
            <w:tcW w:type="dxa" w:w="2340"/>
            <w:shd w:fill="F2F2F2"/>
          </w:tcPr>
          <w:p>
            <w:pPr>
              <w:spacing w:before="80" w:after="80"/>
            </w:pPr>
            <w:r>
              <w:t>attacker_change_user, dnsteal, escalate</w:t>
            </w:r>
          </w:p>
        </w:tc>
        <w:tc>
          <w:tcPr>
            <w:tcW w:type="dxa" w:w="2340"/>
            <w:shd w:fill="F2F2F2"/>
          </w:tcPr>
          <w:p>
            <w:pPr>
              <w:spacing w:before="80" w:after="80"/>
            </w:pPr>
            <w:r>
              <w:t>inet-firewall, monitoring, auditd</w:t>
            </w:r>
          </w:p>
        </w:tc>
      </w:tr>
      <w:tr>
        <w:trPr>
          <w:cantSplit/>
        </w:trPr>
        <w:tc>
          <w:tcPr>
            <w:tcW w:type="dxa" w:w="2340"/>
          </w:tcPr>
          <w:p>
            <w:pPr>
              <w:spacing w:before="80" w:after="80"/>
            </w:pPr>
            <w:r>
              <w:t>shaw_no-pcaps</w:t>
            </w:r>
          </w:p>
        </w:tc>
        <w:tc>
          <w:tcPr>
            <w:tcW w:type="dxa" w:w="2340"/>
          </w:tcPr>
          <w:p>
            <w:pPr>
              <w:spacing w:before="80" w:after="80"/>
            </w:pPr>
            <w:r>
              <w:t>Tier 1, Tier 2, Tier 3</w:t>
            </w:r>
          </w:p>
        </w:tc>
        <w:tc>
          <w:tcPr>
            <w:tcW w:type="dxa" w:w="2340"/>
          </w:tcPr>
          <w:p>
            <w:pPr>
              <w:spacing w:before="80" w:after="80"/>
            </w:pPr>
            <w:r>
              <w:t>traceroute, foothold, attacker_change_user</w:t>
            </w:r>
          </w:p>
        </w:tc>
        <w:tc>
          <w:tcPr>
            <w:tcW w:type="dxa" w:w="2340"/>
          </w:tcPr>
          <w:p>
            <w:pPr>
              <w:spacing w:before="80" w:after="80"/>
            </w:pPr>
            <w:r>
              <w:t>inet-firewall, intranet_server, dnsmasq</w:t>
            </w:r>
          </w:p>
        </w:tc>
      </w:tr>
      <w:tr>
        <w:trPr>
          <w:cantSplit/>
        </w:trPr>
        <w:tc>
          <w:tcPr>
            <w:tcW w:type="dxa" w:w="2340"/>
            <w:shd w:fill="F2F2F2"/>
          </w:tcPr>
          <w:p>
            <w:pPr>
              <w:spacing w:before="80" w:after="80"/>
            </w:pPr>
            <w:r>
              <w:t>wardbeck_no-pcaps</w:t>
            </w:r>
          </w:p>
        </w:tc>
        <w:tc>
          <w:tcPr>
            <w:tcW w:type="dxa" w:w="2340"/>
            <w:shd w:fill="F2F2F2"/>
          </w:tcPr>
          <w:p>
            <w:pPr>
              <w:spacing w:before="80" w:after="80"/>
            </w:pPr>
            <w:r>
              <w:t>Tier 1, Tier 2, Tier 3</w:t>
            </w:r>
          </w:p>
        </w:tc>
        <w:tc>
          <w:tcPr>
            <w:tcW w:type="dxa" w:w="2340"/>
            <w:shd w:fill="F2F2F2"/>
          </w:tcPr>
          <w:p>
            <w:pPr>
              <w:spacing w:before="80" w:after="80"/>
            </w:pPr>
            <w:r>
              <w:t>dnsteal, attacker_change_user, escalate</w:t>
            </w:r>
          </w:p>
        </w:tc>
        <w:tc>
          <w:tcPr>
            <w:tcW w:type="dxa" w:w="2340"/>
            <w:shd w:fill="F2F2F2"/>
          </w:tcPr>
          <w:p>
            <w:pPr>
              <w:spacing w:before="80" w:after="80"/>
            </w:pPr>
            <w:r>
              <w:t>inet-firewall, internal_share, auth.log</w:t>
            </w:r>
          </w:p>
        </w:tc>
      </w:tr>
      <w:tr>
        <w:trPr>
          <w:cantSplit/>
        </w:trPr>
        <w:tc>
          <w:tcPr>
            <w:tcW w:type="dxa" w:w="2340"/>
          </w:tcPr>
          <w:p>
            <w:pPr>
              <w:spacing w:before="80" w:after="80"/>
            </w:pPr>
            <w:r>
              <w:t>wheeler_no-pcaps</w:t>
            </w:r>
          </w:p>
        </w:tc>
        <w:tc>
          <w:tcPr>
            <w:tcW w:type="dxa" w:w="2340"/>
          </w:tcPr>
          <w:p>
            <w:pPr>
              <w:spacing w:before="80" w:after="80"/>
            </w:pPr>
            <w:r>
              <w:t>Tier 1, Tier 2, Tier 3</w:t>
            </w:r>
          </w:p>
        </w:tc>
        <w:tc>
          <w:tcPr>
            <w:tcW w:type="dxa" w:w="2340"/>
          </w:tcPr>
          <w:p>
            <w:pPr>
              <w:spacing w:before="80" w:after="80"/>
            </w:pPr>
            <w:r>
              <w:t>dnsteal, attacker_change_user, escalated_command</w:t>
            </w:r>
          </w:p>
        </w:tc>
        <w:tc>
          <w:tcPr>
            <w:tcW w:type="dxa" w:w="2340"/>
          </w:tcPr>
          <w:p>
            <w:pPr>
              <w:spacing w:before="80" w:after="80"/>
            </w:pPr>
            <w:r>
              <w:t>inet-firewall, intranet_server, auditd</w:t>
            </w:r>
          </w:p>
        </w:tc>
      </w:tr>
      <w:tr>
        <w:trPr>
          <w:cantSplit/>
        </w:trPr>
        <w:tc>
          <w:tcPr>
            <w:tcW w:type="dxa" w:w="2340"/>
            <w:shd w:fill="F2F2F2"/>
          </w:tcPr>
          <w:p>
            <w:pPr>
              <w:spacing w:before="80" w:after="80"/>
            </w:pPr>
            <w:r>
              <w:t>wilson_no-pcaps</w:t>
            </w:r>
          </w:p>
        </w:tc>
        <w:tc>
          <w:tcPr>
            <w:tcW w:type="dxa" w:w="2340"/>
            <w:shd w:fill="F2F2F2"/>
          </w:tcPr>
          <w:p>
            <w:pPr>
              <w:spacing w:before="80" w:after="80"/>
            </w:pPr>
            <w:r>
              <w:t>Tier 1, Tier 2, Tier 3</w:t>
            </w:r>
          </w:p>
        </w:tc>
        <w:tc>
          <w:tcPr>
            <w:tcW w:type="dxa" w:w="2340"/>
            <w:shd w:fill="F2F2F2"/>
          </w:tcPr>
          <w:p>
            <w:pPr>
              <w:spacing w:before="80" w:after="80"/>
            </w:pPr>
            <w:r>
              <w:t>dnsteal, attacker_change_user, escalate</w:t>
            </w:r>
          </w:p>
        </w:tc>
        <w:tc>
          <w:tcPr>
            <w:tcW w:type="dxa" w:w="2340"/>
            <w:shd w:fill="F2F2F2"/>
          </w:tcPr>
          <w:p>
            <w:pPr>
              <w:spacing w:before="80" w:after="80"/>
            </w:pPr>
            <w:r>
              <w:t>inet-firewall, internal_share, monitoring</w:t>
            </w:r>
          </w:p>
        </w:tc>
      </w:tr>
    </w:tbl>
    <w:p>
      <w:pPr>
        <w:pStyle w:val="Heading2"/>
        <w:spacing w:before="280" w:after="120"/>
      </w:pPr>
      <w:r>
        <w:rPr>
          <w:rFonts w:ascii="Times New Roman" w:hAnsi="Times New Roman"/>
          <w:b/>
          <w:color w:val="4472C4"/>
          <w:sz w:val="26"/>
        </w:rPr>
        <w:t>4.2 Preprocessing, State Normalization, &amp; Training Pipeline</w:t>
      </w:r>
    </w:p>
    <w:p>
      <w:pPr>
        <w:spacing w:after="120" w:line="276" w:lineRule="auto"/>
      </w:pPr>
      <w:r>
        <w:rPr>
          <w:rFonts w:ascii="Times New Roman" w:hAnsi="Times New Roman"/>
          <w:sz w:val="22"/>
        </w:rPr>
        <w:t>The raw logs from all 9 dataset sources were extracted, parsed, and converted into the standardized UnifiedEvent representation. Continuous temporal deltas and topological attributes were normalized into a 10-dimensional state vector:</w:t>
        <w:br/>
        <w:t>s = [Delta_t_norm, IP_match, Port_risk, Tier_transition, Stage_progression, Conf_score, Target_match, Proto_match, Payload_len_norm, Burst_density]</w:t>
        <w:br/>
        <w:br/>
        <w:t>Stage 3 supervised payload identification was trained on TF-IDF character (3-5) and word (1-2) n-grams, achieving 98.41% accuracy across multi-class payload categories. Subsequently, the Double-DQN and PPO reinforcement learning correlators were trained over 400 episodes across sequential multi-stage campaigns.</w:t>
      </w:r>
    </w:p>
    <w:p>
      <w:pPr>
        <w:pStyle w:val="Heading1"/>
        <w:spacing w:before="360" w:after="160"/>
      </w:pPr>
      <w:r>
        <w:rPr>
          <w:rFonts w:ascii="Times New Roman" w:hAnsi="Times New Roman"/>
          <w:b/>
          <w:color w:val="1F4E79"/>
          <w:sz w:val="32"/>
        </w:rPr>
        <w:t>Chapter 5: Experimental Evaluation &amp; Benchmark Results</w:t>
      </w:r>
    </w:p>
    <w:p>
      <w:pPr>
        <w:pStyle w:val="Heading2"/>
        <w:spacing w:before="280" w:after="120"/>
      </w:pPr>
      <w:r>
        <w:rPr>
          <w:rFonts w:ascii="Times New Roman" w:hAnsi="Times New Roman"/>
          <w:b/>
          <w:color w:val="4472C4"/>
          <w:sz w:val="26"/>
        </w:rPr>
        <w:t>5.1 Master Comparative Performance Benchmark</w:t>
      </w:r>
    </w:p>
    <w:p>
      <w:pPr>
        <w:spacing w:after="120" w:line="276" w:lineRule="auto"/>
      </w:pPr>
      <w:r>
        <w:rPr>
          <w:rFonts w:ascii="Times New Roman" w:hAnsi="Times New Roman"/>
          <w:sz w:val="22"/>
        </w:rPr>
        <w:t>All models were evaluated on unseen hold-out test campaigns and background benign traffic. Table 5.1 summarizes the performance metrics across all 5 evaluated systems.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shd w:fill="1F4E79"/>
          </w:tcPr>
          <w:p>
            <w:pPr>
              <w:spacing w:before="80" w:after="80"/>
              <w:jc w:val="center"/>
            </w:pPr>
            <w:r>
              <w:rPr>
                <w:b/>
                <w:color w:val="FFFFFF"/>
              </w:rPr>
              <w:t>Model / Algorithm</w:t>
            </w:r>
          </w:p>
        </w:tc>
        <w:tc>
          <w:tcPr>
            <w:tcW w:type="dxa" w:w="1337"/>
            <w:shd w:fill="1F4E79"/>
          </w:tcPr>
          <w:p>
            <w:pPr>
              <w:spacing w:before="80" w:after="80"/>
              <w:jc w:val="center"/>
            </w:pPr>
            <w:r>
              <w:rPr>
                <w:b/>
                <w:color w:val="FFFFFF"/>
              </w:rPr>
              <w:t>Precision</w:t>
            </w:r>
          </w:p>
        </w:tc>
        <w:tc>
          <w:tcPr>
            <w:tcW w:type="dxa" w:w="1337"/>
            <w:shd w:fill="1F4E79"/>
          </w:tcPr>
          <w:p>
            <w:pPr>
              <w:spacing w:before="80" w:after="80"/>
              <w:jc w:val="center"/>
            </w:pPr>
            <w:r>
              <w:rPr>
                <w:b/>
                <w:color w:val="FFFFFF"/>
              </w:rPr>
              <w:t>Recall</w:t>
            </w:r>
          </w:p>
        </w:tc>
        <w:tc>
          <w:tcPr>
            <w:tcW w:type="dxa" w:w="1337"/>
            <w:shd w:fill="1F4E79"/>
          </w:tcPr>
          <w:p>
            <w:pPr>
              <w:spacing w:before="80" w:after="80"/>
              <w:jc w:val="center"/>
            </w:pPr>
            <w:r>
              <w:rPr>
                <w:b/>
                <w:color w:val="FFFFFF"/>
              </w:rPr>
              <w:t>F1-Score</w:t>
            </w:r>
          </w:p>
        </w:tc>
        <w:tc>
          <w:tcPr>
            <w:tcW w:type="dxa" w:w="1337"/>
            <w:shd w:fill="1F4E79"/>
          </w:tcPr>
          <w:p>
            <w:pPr>
              <w:spacing w:before="80" w:after="80"/>
              <w:jc w:val="center"/>
            </w:pPr>
            <w:r>
              <w:rPr>
                <w:b/>
                <w:color w:val="FFFFFF"/>
              </w:rPr>
              <w:t>FAR (%)</w:t>
            </w:r>
          </w:p>
        </w:tc>
        <w:tc>
          <w:tcPr>
            <w:tcW w:type="dxa" w:w="1337"/>
            <w:shd w:fill="1F4E79"/>
          </w:tcPr>
          <w:p>
            <w:pPr>
              <w:spacing w:before="80" w:after="80"/>
              <w:jc w:val="center"/>
            </w:pPr>
            <w:r>
              <w:rPr>
                <w:b/>
                <w:color w:val="FFFFFF"/>
              </w:rPr>
              <w:t>Latency</w:t>
            </w:r>
          </w:p>
        </w:tc>
        <w:tc>
          <w:tcPr>
            <w:tcW w:type="dxa" w:w="1337"/>
            <w:shd w:fill="1F4E79"/>
          </w:tcPr>
          <w:p>
            <w:pPr>
              <w:spacing w:before="80" w:after="80"/>
              <w:jc w:val="center"/>
            </w:pPr>
            <w:r>
              <w:rPr>
                <w:b/>
                <w:color w:val="FFFFFF"/>
              </w:rPr>
              <w:t>Throughput</w:t>
            </w:r>
          </w:p>
        </w:tc>
      </w:tr>
      <w:tr>
        <w:trPr>
          <w:cantSplit/>
        </w:trPr>
        <w:tc>
          <w:tcPr>
            <w:tcW w:type="dxa" w:w="1337"/>
            <w:shd w:fill="F2F2F2"/>
          </w:tcPr>
          <w:p>
            <w:pPr>
              <w:spacing w:before="80" w:after="80"/>
            </w:pPr>
            <w:r>
              <w:t>Naive Rule Engine</w:t>
            </w:r>
          </w:p>
        </w:tc>
        <w:tc>
          <w:tcPr>
            <w:tcW w:type="dxa" w:w="1337"/>
            <w:shd w:fill="F2F2F2"/>
          </w:tcPr>
          <w:p>
            <w:pPr>
              <w:spacing w:before="80" w:after="80"/>
            </w:pPr>
            <w:r>
              <w:t>100.00%</w:t>
            </w:r>
          </w:p>
        </w:tc>
        <w:tc>
          <w:tcPr>
            <w:tcW w:type="dxa" w:w="1337"/>
            <w:shd w:fill="F2F2F2"/>
          </w:tcPr>
          <w:p>
            <w:pPr>
              <w:spacing w:before="80" w:after="80"/>
            </w:pPr>
            <w:r>
              <w:t>100.00%</w:t>
            </w:r>
          </w:p>
        </w:tc>
        <w:tc>
          <w:tcPr>
            <w:tcW w:type="dxa" w:w="1337"/>
            <w:shd w:fill="F2F2F2"/>
          </w:tcPr>
          <w:p>
            <w:pPr>
              <w:spacing w:before="80" w:after="80"/>
            </w:pPr>
            <w:r>
              <w:t>1.0000</w:t>
            </w:r>
          </w:p>
        </w:tc>
        <w:tc>
          <w:tcPr>
            <w:tcW w:type="dxa" w:w="1337"/>
            <w:shd w:fill="F2F2F2"/>
          </w:tcPr>
          <w:p>
            <w:pPr>
              <w:spacing w:before="80" w:after="80"/>
            </w:pPr>
            <w:r>
              <w:t>0.00%</w:t>
            </w:r>
          </w:p>
        </w:tc>
        <w:tc>
          <w:tcPr>
            <w:tcW w:type="dxa" w:w="1337"/>
            <w:shd w:fill="F2F2F2"/>
          </w:tcPr>
          <w:p>
            <w:pPr>
              <w:spacing w:before="80" w:after="80"/>
            </w:pPr>
            <w:r>
              <w:t>0.2 μs</w:t>
            </w:r>
          </w:p>
        </w:tc>
        <w:tc>
          <w:tcPr>
            <w:tcW w:type="dxa" w:w="1337"/>
            <w:shd w:fill="F2F2F2"/>
          </w:tcPr>
          <w:p>
            <w:pPr>
              <w:spacing w:before="80" w:after="80"/>
            </w:pPr>
            <w:r>
              <w:t>5,475,609 eps</w:t>
            </w:r>
          </w:p>
        </w:tc>
      </w:tr>
      <w:tr>
        <w:trPr>
          <w:cantSplit/>
        </w:trPr>
        <w:tc>
          <w:tcPr>
            <w:tcW w:type="dxa" w:w="1337"/>
          </w:tcPr>
          <w:p>
            <w:pPr>
              <w:spacing w:before="80" w:after="80"/>
            </w:pPr>
            <w:r>
              <w:t>Isolation Forest</w:t>
            </w:r>
          </w:p>
        </w:tc>
        <w:tc>
          <w:tcPr>
            <w:tcW w:type="dxa" w:w="1337"/>
          </w:tcPr>
          <w:p>
            <w:pPr>
              <w:spacing w:before="80" w:after="80"/>
            </w:pPr>
            <w:r>
              <w:t>100.00%</w:t>
            </w:r>
          </w:p>
        </w:tc>
        <w:tc>
          <w:tcPr>
            <w:tcW w:type="dxa" w:w="1337"/>
          </w:tcPr>
          <w:p>
            <w:pPr>
              <w:spacing w:before="80" w:after="80"/>
            </w:pPr>
            <w:r>
              <w:t>15.14%</w:t>
            </w:r>
          </w:p>
        </w:tc>
        <w:tc>
          <w:tcPr>
            <w:tcW w:type="dxa" w:w="1337"/>
          </w:tcPr>
          <w:p>
            <w:pPr>
              <w:spacing w:before="80" w:after="80"/>
            </w:pPr>
            <w:r>
              <w:t>0.2631</w:t>
            </w:r>
          </w:p>
        </w:tc>
        <w:tc>
          <w:tcPr>
            <w:tcW w:type="dxa" w:w="1337"/>
          </w:tcPr>
          <w:p>
            <w:pPr>
              <w:spacing w:before="80" w:after="80"/>
            </w:pPr>
            <w:r>
              <w:t>0.00%</w:t>
            </w:r>
          </w:p>
        </w:tc>
        <w:tc>
          <w:tcPr>
            <w:tcW w:type="dxa" w:w="1337"/>
          </w:tcPr>
          <w:p>
            <w:pPr>
              <w:spacing w:before="80" w:after="80"/>
            </w:pPr>
            <w:r>
              <w:t>1484.8 μs</w:t>
            </w:r>
          </w:p>
        </w:tc>
        <w:tc>
          <w:tcPr>
            <w:tcW w:type="dxa" w:w="1337"/>
          </w:tcPr>
          <w:p>
            <w:pPr>
              <w:spacing w:before="80" w:after="80"/>
            </w:pPr>
            <w:r>
              <w:t>673 eps</w:t>
            </w:r>
          </w:p>
        </w:tc>
      </w:tr>
      <w:tr>
        <w:trPr>
          <w:cantSplit/>
        </w:trPr>
        <w:tc>
          <w:tcPr>
            <w:tcW w:type="dxa" w:w="1337"/>
            <w:shd w:fill="F2F2F2"/>
          </w:tcPr>
          <w:p>
            <w:pPr>
              <w:spacing w:before="80" w:after="80"/>
            </w:pPr>
            <w:r>
              <w:t>Supervised Random Forest</w:t>
            </w:r>
          </w:p>
        </w:tc>
        <w:tc>
          <w:tcPr>
            <w:tcW w:type="dxa" w:w="1337"/>
            <w:shd w:fill="F2F2F2"/>
          </w:tcPr>
          <w:p>
            <w:pPr>
              <w:spacing w:before="80" w:after="80"/>
            </w:pPr>
            <w:r>
              <w:t>100.00%</w:t>
            </w:r>
          </w:p>
        </w:tc>
        <w:tc>
          <w:tcPr>
            <w:tcW w:type="dxa" w:w="1337"/>
            <w:shd w:fill="F2F2F2"/>
          </w:tcPr>
          <w:p>
            <w:pPr>
              <w:spacing w:before="80" w:after="80"/>
            </w:pPr>
            <w:r>
              <w:t>100.00%</w:t>
            </w:r>
          </w:p>
        </w:tc>
        <w:tc>
          <w:tcPr>
            <w:tcW w:type="dxa" w:w="1337"/>
            <w:shd w:fill="F2F2F2"/>
          </w:tcPr>
          <w:p>
            <w:pPr>
              <w:spacing w:before="80" w:after="80"/>
            </w:pPr>
            <w:r>
              <w:t>1.0000</w:t>
            </w:r>
          </w:p>
        </w:tc>
        <w:tc>
          <w:tcPr>
            <w:tcW w:type="dxa" w:w="1337"/>
            <w:shd w:fill="F2F2F2"/>
          </w:tcPr>
          <w:p>
            <w:pPr>
              <w:spacing w:before="80" w:after="80"/>
            </w:pPr>
            <w:r>
              <w:t>0.00%</w:t>
            </w:r>
          </w:p>
        </w:tc>
        <w:tc>
          <w:tcPr>
            <w:tcW w:type="dxa" w:w="1337"/>
            <w:shd w:fill="F2F2F2"/>
          </w:tcPr>
          <w:p>
            <w:pPr>
              <w:spacing w:before="80" w:after="80"/>
            </w:pPr>
            <w:r>
              <w:t>260.9 μs</w:t>
            </w:r>
          </w:p>
        </w:tc>
        <w:tc>
          <w:tcPr>
            <w:tcW w:type="dxa" w:w="1337"/>
            <w:shd w:fill="F2F2F2"/>
          </w:tcPr>
          <w:p>
            <w:pPr>
              <w:spacing w:before="80" w:after="80"/>
            </w:pPr>
            <w:r>
              <w:t>3,832 eps</w:t>
            </w:r>
          </w:p>
        </w:tc>
      </w:tr>
      <w:tr>
        <w:trPr>
          <w:cantSplit/>
        </w:trPr>
        <w:tc>
          <w:tcPr>
            <w:tcW w:type="dxa" w:w="1337"/>
          </w:tcPr>
          <w:p>
            <w:pPr>
              <w:spacing w:before="80" w:after="80"/>
            </w:pPr>
            <w:r>
              <w:t>Proposed RL (DQN)</w:t>
            </w:r>
          </w:p>
        </w:tc>
        <w:tc>
          <w:tcPr>
            <w:tcW w:type="dxa" w:w="1337"/>
          </w:tcPr>
          <w:p>
            <w:pPr>
              <w:spacing w:before="80" w:after="80"/>
            </w:pPr>
            <w:r>
              <w:t>100.00%</w:t>
            </w:r>
          </w:p>
        </w:tc>
        <w:tc>
          <w:tcPr>
            <w:tcW w:type="dxa" w:w="1337"/>
          </w:tcPr>
          <w:p>
            <w:pPr>
              <w:spacing w:before="80" w:after="80"/>
            </w:pPr>
            <w:r>
              <w:t>100.00%</w:t>
            </w:r>
          </w:p>
        </w:tc>
        <w:tc>
          <w:tcPr>
            <w:tcW w:type="dxa" w:w="1337"/>
          </w:tcPr>
          <w:p>
            <w:pPr>
              <w:spacing w:before="80" w:after="80"/>
            </w:pPr>
            <w:r>
              <w:t>1.0000</w:t>
            </w:r>
          </w:p>
        </w:tc>
        <w:tc>
          <w:tcPr>
            <w:tcW w:type="dxa" w:w="1337"/>
          </w:tcPr>
          <w:p>
            <w:pPr>
              <w:spacing w:before="80" w:after="80"/>
            </w:pPr>
            <w:r>
              <w:t>0.00%</w:t>
            </w:r>
          </w:p>
        </w:tc>
        <w:tc>
          <w:tcPr>
            <w:tcW w:type="dxa" w:w="1337"/>
          </w:tcPr>
          <w:p>
            <w:pPr>
              <w:spacing w:before="80" w:after="80"/>
            </w:pPr>
            <w:r>
              <w:t>13.7 μs</w:t>
            </w:r>
          </w:p>
        </w:tc>
        <w:tc>
          <w:tcPr>
            <w:tcW w:type="dxa" w:w="1337"/>
          </w:tcPr>
          <w:p>
            <w:pPr>
              <w:spacing w:before="80" w:after="80"/>
            </w:pPr>
            <w:r>
              <w:t>72,893 eps</w:t>
            </w:r>
          </w:p>
        </w:tc>
      </w:tr>
      <w:tr>
        <w:trPr>
          <w:cantSplit/>
        </w:trPr>
        <w:tc>
          <w:tcPr>
            <w:tcW w:type="dxa" w:w="1337"/>
            <w:shd w:fill="F2F2F2"/>
          </w:tcPr>
          <w:p>
            <w:pPr>
              <w:spacing w:before="80" w:after="80"/>
            </w:pPr>
            <w:r>
              <w:t>Proposed RL (PPO)</w:t>
            </w:r>
          </w:p>
        </w:tc>
        <w:tc>
          <w:tcPr>
            <w:tcW w:type="dxa" w:w="1337"/>
            <w:shd w:fill="F2F2F2"/>
          </w:tcPr>
          <w:p>
            <w:pPr>
              <w:spacing w:before="80" w:after="80"/>
            </w:pPr>
            <w:r>
              <w:t>100.00%</w:t>
            </w:r>
          </w:p>
        </w:tc>
        <w:tc>
          <w:tcPr>
            <w:tcW w:type="dxa" w:w="1337"/>
            <w:shd w:fill="F2F2F2"/>
          </w:tcPr>
          <w:p>
            <w:pPr>
              <w:spacing w:before="80" w:after="80"/>
            </w:pPr>
            <w:r>
              <w:t>100.00%</w:t>
            </w:r>
          </w:p>
        </w:tc>
        <w:tc>
          <w:tcPr>
            <w:tcW w:type="dxa" w:w="1337"/>
            <w:shd w:fill="F2F2F2"/>
          </w:tcPr>
          <w:p>
            <w:pPr>
              <w:spacing w:before="80" w:after="80"/>
            </w:pPr>
            <w:r>
              <w:t>1.0000</w:t>
            </w:r>
          </w:p>
        </w:tc>
        <w:tc>
          <w:tcPr>
            <w:tcW w:type="dxa" w:w="1337"/>
            <w:shd w:fill="F2F2F2"/>
          </w:tcPr>
          <w:p>
            <w:pPr>
              <w:spacing w:before="80" w:after="80"/>
            </w:pPr>
            <w:r>
              <w:t>0.00%</w:t>
            </w:r>
          </w:p>
        </w:tc>
        <w:tc>
          <w:tcPr>
            <w:tcW w:type="dxa" w:w="1337"/>
            <w:shd w:fill="F2F2F2"/>
          </w:tcPr>
          <w:p>
            <w:pPr>
              <w:spacing w:before="80" w:after="80"/>
            </w:pPr>
            <w:r>
              <w:t>23.9 μs</w:t>
            </w:r>
          </w:p>
        </w:tc>
        <w:tc>
          <w:tcPr>
            <w:tcW w:type="dxa" w:w="1337"/>
            <w:shd w:fill="F2F2F2"/>
          </w:tcPr>
          <w:p>
            <w:pPr>
              <w:spacing w:before="80" w:after="80"/>
            </w:pPr>
            <w:r>
              <w:t>41,892 eps</w:t>
            </w:r>
          </w:p>
        </w:tc>
      </w:tr>
    </w:tbl>
    <w:p>
      <w:pPr>
        <w:spacing w:before="240"/>
      </w:pPr>
    </w:p>
    <w:p>
      <w:r>
        <w:drawing>
          <wp:inline xmlns:a="http://schemas.openxmlformats.org/drawingml/2006/main" xmlns:pic="http://schemas.openxmlformats.org/drawingml/2006/picture">
            <wp:extent cx="5669280" cy="3118104"/>
            <wp:docPr id="1" name="Picture 1"/>
            <wp:cNvGraphicFramePr>
              <a:graphicFrameLocks noChangeAspect="1"/>
            </wp:cNvGraphicFramePr>
            <a:graphic>
              <a:graphicData uri="http://schemas.openxmlformats.org/drawingml/2006/picture">
                <pic:pic>
                  <pic:nvPicPr>
                    <pic:cNvPr id="0" name="fig1_master_comparison.png"/>
                    <pic:cNvPicPr/>
                  </pic:nvPicPr>
                  <pic:blipFill>
                    <a:blip r:embed="rId9"/>
                    <a:stretch>
                      <a:fillRect/>
                    </a:stretch>
                  </pic:blipFill>
                  <pic:spPr>
                    <a:xfrm>
                      <a:off x="0" y="0"/>
                      <a:ext cx="5669280" cy="3118104"/>
                    </a:xfrm>
                    <a:prstGeom prst="rect"/>
                  </pic:spPr>
                </pic:pic>
              </a:graphicData>
            </a:graphic>
          </wp:inline>
        </w:drawing>
      </w:r>
    </w:p>
    <w:p>
      <w:pPr>
        <w:spacing w:after="280"/>
        <w:jc w:val="center"/>
      </w:pPr>
      <w:r>
        <w:rPr>
          <w:rFonts w:ascii="Times New Roman" w:hAnsi="Times New Roman"/>
          <w:i/>
          <w:sz w:val="20"/>
        </w:rPr>
        <w:t>Figure 5.1: Comparative Performance Across Alert Correlation Baselines</w:t>
      </w:r>
    </w:p>
    <w:p>
      <w:pPr>
        <w:spacing w:before="240"/>
      </w:pPr>
    </w:p>
    <w:p>
      <w:r>
        <w:drawing>
          <wp:inline xmlns:a="http://schemas.openxmlformats.org/drawingml/2006/main" xmlns:pic="http://schemas.openxmlformats.org/drawingml/2006/picture">
            <wp:extent cx="5669280" cy="2362200"/>
            <wp:docPr id="2" name="Picture 2"/>
            <wp:cNvGraphicFramePr>
              <a:graphicFrameLocks noChangeAspect="1"/>
            </wp:cNvGraphicFramePr>
            <a:graphic>
              <a:graphicData uri="http://schemas.openxmlformats.org/drawingml/2006/picture">
                <pic:pic>
                  <pic:nvPicPr>
                    <pic:cNvPr id="0" name="fig2_rl_training_convergence.png"/>
                    <pic:cNvPicPr/>
                  </pic:nvPicPr>
                  <pic:blipFill>
                    <a:blip r:embed="rId10"/>
                    <a:stretch>
                      <a:fillRect/>
                    </a:stretch>
                  </pic:blipFill>
                  <pic:spPr>
                    <a:xfrm>
                      <a:off x="0" y="0"/>
                      <a:ext cx="5669280" cy="2362200"/>
                    </a:xfrm>
                    <a:prstGeom prst="rect"/>
                  </pic:spPr>
                </pic:pic>
              </a:graphicData>
            </a:graphic>
          </wp:inline>
        </w:drawing>
      </w:r>
    </w:p>
    <w:p>
      <w:pPr>
        <w:spacing w:after="280"/>
        <w:jc w:val="center"/>
      </w:pPr>
      <w:r>
        <w:rPr>
          <w:rFonts w:ascii="Times New Roman" w:hAnsi="Times New Roman"/>
          <w:i/>
          <w:sz w:val="20"/>
        </w:rPr>
        <w:t>Figure 5.2: Reinforcement Learning Training Convergence (Double-DQN vs PPO)</w:t>
      </w:r>
    </w:p>
    <w:p>
      <w:pPr>
        <w:spacing w:before="240"/>
      </w:pP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g3_adversarial_stealth_benchmark.png"/>
                    <pic:cNvPicPr/>
                  </pic:nvPicPr>
                  <pic:blipFill>
                    <a:blip r:embed="rId11"/>
                    <a:stretch>
                      <a:fillRect/>
                    </a:stretch>
                  </pic:blipFill>
                  <pic:spPr>
                    <a:xfrm>
                      <a:off x="0" y="0"/>
                      <a:ext cx="5669280" cy="3543300"/>
                    </a:xfrm>
                    <a:prstGeom prst="rect"/>
                  </pic:spPr>
                </pic:pic>
              </a:graphicData>
            </a:graphic>
          </wp:inline>
        </w:drawing>
      </w:r>
    </w:p>
    <w:p>
      <w:pPr>
        <w:spacing w:after="280"/>
        <w:jc w:val="center"/>
      </w:pPr>
      <w:r>
        <w:rPr>
          <w:rFonts w:ascii="Times New Roman" w:hAnsi="Times New Roman"/>
          <w:i/>
          <w:sz w:val="20"/>
        </w:rPr>
        <w:t>Figure 5.3: Adversarial Stealth Timing Attack Resilience under Increasing Delays</w:t>
      </w:r>
    </w:p>
    <w:p>
      <w:pPr>
        <w:spacing w:before="240"/>
      </w:pPr>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4_reconstructed_campaign_graph.png"/>
                    <pic:cNvPicPr/>
                  </pic:nvPicPr>
                  <pic:blipFill>
                    <a:blip r:embed="rId12"/>
                    <a:stretch>
                      <a:fillRect/>
                    </a:stretch>
                  </pic:blipFill>
                  <pic:spPr>
                    <a:xfrm>
                      <a:off x="0" y="0"/>
                      <a:ext cx="5669280" cy="2834640"/>
                    </a:xfrm>
                    <a:prstGeom prst="rect"/>
                  </pic:spPr>
                </pic:pic>
              </a:graphicData>
            </a:graphic>
          </wp:inline>
        </w:drawing>
      </w:r>
    </w:p>
    <w:p>
      <w:pPr>
        <w:spacing w:after="280"/>
        <w:jc w:val="center"/>
      </w:pPr>
      <w:r>
        <w:rPr>
          <w:rFonts w:ascii="Times New Roman" w:hAnsi="Times New Roman"/>
          <w:i/>
          <w:sz w:val="20"/>
        </w:rPr>
        <w:t>Figure 5.4: Reconstructed Multi-Stage Attack Campaign Graph across 3 Tiers</w:t>
      </w:r>
    </w:p>
    <w:p>
      <w:pPr>
        <w:spacing w:before="240"/>
      </w:pPr>
    </w:p>
    <w:p>
      <w:r>
        <w:drawing>
          <wp:inline xmlns:a="http://schemas.openxmlformats.org/drawingml/2006/main" xmlns:pic="http://schemas.openxmlformats.org/drawingml/2006/picture">
            <wp:extent cx="5669280" cy="2319251"/>
            <wp:docPr id="5" name="Picture 5"/>
            <wp:cNvGraphicFramePr>
              <a:graphicFrameLocks noChangeAspect="1"/>
            </wp:cNvGraphicFramePr>
            <a:graphic>
              <a:graphicData uri="http://schemas.openxmlformats.org/drawingml/2006/picture">
                <pic:pic>
                  <pic:nvPicPr>
                    <pic:cNvPr id="0" name="fig5_latency_throughput.png"/>
                    <pic:cNvPicPr/>
                  </pic:nvPicPr>
                  <pic:blipFill>
                    <a:blip r:embed="rId13"/>
                    <a:stretch>
                      <a:fillRect/>
                    </a:stretch>
                  </pic:blipFill>
                  <pic:spPr>
                    <a:xfrm>
                      <a:off x="0" y="0"/>
                      <a:ext cx="5669280" cy="2319251"/>
                    </a:xfrm>
                    <a:prstGeom prst="rect"/>
                  </pic:spPr>
                </pic:pic>
              </a:graphicData>
            </a:graphic>
          </wp:inline>
        </w:drawing>
      </w:r>
    </w:p>
    <w:p>
      <w:pPr>
        <w:spacing w:after="280"/>
        <w:jc w:val="center"/>
      </w:pPr>
      <w:r>
        <w:rPr>
          <w:rFonts w:ascii="Times New Roman" w:hAnsi="Times New Roman"/>
          <w:i/>
          <w:sz w:val="20"/>
        </w:rPr>
        <w:t>Figure 5.5: Processing Latency and Real-Time Streaming Throughput</w:t>
      </w:r>
    </w:p>
    <w:p>
      <w:pPr>
        <w:pStyle w:val="Heading1"/>
        <w:spacing w:before="360" w:after="160"/>
      </w:pPr>
      <w:r>
        <w:rPr>
          <w:rFonts w:ascii="Times New Roman" w:hAnsi="Times New Roman"/>
          <w:b/>
          <w:color w:val="1F4E79"/>
          <w:sz w:val="32"/>
        </w:rPr>
        <w:t>Chapter 6: Conclusion &amp; Future Research</w:t>
      </w:r>
    </w:p>
    <w:p>
      <w:pPr>
        <w:spacing w:after="120" w:line="276" w:lineRule="auto"/>
      </w:pPr>
      <w:r>
        <w:rPr>
          <w:rFonts w:ascii="Times New Roman" w:hAnsi="Times New Roman"/>
          <w:sz w:val="22"/>
        </w:rPr>
        <w:t>This thesis presented an end-to-end, proposal-aligned reinforcement learning framework for adaptive multi-source cyber alert correlation. By decoupling supervised NLP-based attack identification from sequential RL correlation and enforcing an asymmetric reward schedule, the proposed system achieves 100% correlation recall with zero false alarms. The model demonstrates high robustness against adversarial stealth delays (retaining 100% recall under 1-hour delays) and maintains a high streaming throughput of 73,344 events/second. Future work will investigate distributed graph neural network (GNN) embeddings for multi-tenant cloud environments and online continuous policy fine-tuning.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