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Infection Prevention Guidelines</w:t>
      </w:r>
    </w:p>
    <w:p>
      <w:r>
        <w:rPr>
          <w:b/>
          <w:color w:val="B00000"/>
        </w:rPr>
        <w:t>DEMO / SYNTHETIC HOSPITAL DATA — NOT FOR REAL CLINICAL USE</w:t>
      </w:r>
    </w:p>
    <w:p>
      <w:r>
        <w:t>Document ID: PS-02 | Department: Patient Safety | Version: 3.0 | Effective: 01 March 2026 | Owner: Infection Control Nurse</w:t>
      </w:r>
    </w:p>
    <w:p>
      <w:pPr>
        <w:pStyle w:val="Heading1"/>
      </w:pPr>
      <w:r>
        <w:t>1. Purpose</w:t>
      </w:r>
    </w:p>
    <w:p>
      <w:r>
        <w:t>These guidelines protect patients, visitors and staff from healthcare-associated infections. Standard precautions apply to all patients at all times. The Infection Control team is reachable on extension 1300.</w:t>
      </w:r>
    </w:p>
    <w:p>
      <w:pPr>
        <w:pStyle w:val="Heading1"/>
      </w:pPr>
      <w:r>
        <w:t>2. Hand Hygiene</w:t>
      </w:r>
    </w:p>
    <w:p>
      <w:r>
        <w:t>Hand hygiene is performed at the Five Moments: before touching a patient, before a clean or aseptic procedure, after body fluid exposure risk, after touching a patient, and after touching the patient's surroundings.</w:t>
      </w:r>
    </w:p>
    <w:p>
      <w:pPr>
        <w:pStyle w:val="ListBullet"/>
      </w:pPr>
      <w:r>
        <w:t>Alcohol-based hand rub: rub all surfaces of the hands for 20 to 30 seconds until dry.</w:t>
      </w:r>
    </w:p>
    <w:p>
      <w:pPr>
        <w:pStyle w:val="ListBullet"/>
      </w:pPr>
      <w:r>
        <w:t>Soap and water: wash for 40 to 60 seconds when hands are visibly dirty or soiled with blood or body fluids, and after caring for patients with suspected Clostridioides difficile or norovirus.</w:t>
      </w:r>
    </w:p>
    <w:p>
      <w:pPr>
        <w:pStyle w:val="ListBullet"/>
      </w:pPr>
      <w:r>
        <w:t>Nails must be short. Artificial nails are not allowed.</w:t>
      </w:r>
    </w:p>
    <w:p>
      <w:pPr>
        <w:pStyle w:val="Heading1"/>
      </w:pPr>
      <w:r>
        <w:t>3. Personal Protective Equipment (PPE)</w:t>
      </w:r>
    </w:p>
    <w:p>
      <w:pPr>
        <w:pStyle w:val="ListBullet"/>
      </w:pPr>
      <w:r>
        <w:t>Putting on (donning) order: gown, mask, eye protection, gloves.</w:t>
      </w:r>
    </w:p>
    <w:p>
      <w:pPr>
        <w:pStyle w:val="ListBullet"/>
      </w:pPr>
      <w:r>
        <w:t>Taking off (doffing) order: gloves, eye protection and gown, then mask. Perform hand hygiene immediately afterwards.</w:t>
      </w:r>
    </w:p>
    <w:p>
      <w:pPr>
        <w:pStyle w:val="ListBullet"/>
      </w:pPr>
      <w:r>
        <w:t>Gloves are changed between patients and are never washed or reused.</w:t>
      </w:r>
    </w:p>
    <w:p>
      <w:pPr>
        <w:pStyle w:val="Heading1"/>
      </w:pPr>
      <w:r>
        <w:t>4. Isolation Precautions</w:t>
      </w:r>
    </w:p>
    <w:p>
      <w:pPr>
        <w:pStyle w:val="ListBullet"/>
      </w:pPr>
      <w:r>
        <w:t>Contact precautions (for example MRSA, C. difficile): single room or cohort area, gown and gloves.</w:t>
      </w:r>
    </w:p>
    <w:p>
      <w:pPr>
        <w:pStyle w:val="ListBullet"/>
      </w:pPr>
      <w:r>
        <w:t>Droplet precautions (for example influenza, meningococcal disease): surgical mask within 2 metres of the patient.</w:t>
      </w:r>
    </w:p>
    <w:p>
      <w:pPr>
        <w:pStyle w:val="ListBullet"/>
      </w:pPr>
      <w:r>
        <w:t>Airborne precautions (for example tuberculosis, measles, chickenpox): negative pressure room with the door closed and an N95 respirator for staff.</w:t>
      </w:r>
    </w:p>
    <w:p>
      <w:r>
        <w:t>An isolation sign is placed on the door. Isolated patients wear a mask during transport.</w:t>
      </w:r>
    </w:p>
    <w:p>
      <w:pPr>
        <w:pStyle w:val="Heading1"/>
      </w:pPr>
      <w:r>
        <w:t>5. Sharps Safety and Needle-Stick Injury</w:t>
      </w:r>
    </w:p>
    <w:p>
      <w:r>
        <w:t>Never recap used needles. Discard sharps immediately at the point of use into a puncture-resistant sharps container. Replace the container when it is three-quarters full.</w:t>
      </w:r>
    </w:p>
    <w:p>
      <w:r>
        <w:t>If a needle-stick or sharps injury happens:</w:t>
      </w:r>
    </w:p>
    <w:p>
      <w:r>
        <w:t>1. Let the wound bleed and wash it with soap and running water. Do not squeeze or scrub. For splashes in the eyes or mouth, rinse with water for 10 minutes.</w:t>
      </w:r>
    </w:p>
    <w:p>
      <w:r>
        <w:t>2. Inform the nurse in-charge and go to the ED or Occupational Health within 2 hours for risk assessment and post-exposure prophylaxis if needed.</w:t>
      </w:r>
    </w:p>
    <w:p>
      <w:r>
        <w:t>3. Inform Infection Control (extension 1300) and file an incident report within 24 hours.</w:t>
      </w:r>
    </w:p>
    <w:p>
      <w:pPr>
        <w:pStyle w:val="Heading1"/>
      </w:pPr>
      <w:r>
        <w:t>6. Waste and Cleaning</w:t>
      </w:r>
    </w:p>
    <w:p>
      <w:pPr>
        <w:pStyle w:val="ListBullet"/>
      </w:pPr>
      <w:r>
        <w:t>Yellow bag: infectious waste. Black bag: general waste. Never mix them.</w:t>
      </w:r>
    </w:p>
    <w:p>
      <w:pPr>
        <w:pStyle w:val="ListBullet"/>
      </w:pPr>
      <w:r>
        <w:t>Blood spills: cover with absorbent material, apply 0.5 percent chlorine solution and leave for 10 minutes before cleaning.</w:t>
      </w:r>
    </w:p>
    <w:p>
      <w:pPr>
        <w:pStyle w:val="ListBullet"/>
      </w:pPr>
      <w:r>
        <w:t>High-touch surfaces (bed rails, call bells, door handles) are cleaned at least twice a day and after every discharge.</w:t>
      </w:r>
    </w:p>
    <w:p>
      <w:pPr>
        <w:pStyle w:val="Heading1"/>
      </w:pPr>
      <w:r>
        <w:t>7. Outbreaks</w:t>
      </w:r>
    </w:p>
    <w:p>
      <w:r>
        <w:t>If two or more linked cases of the same infection occur in a ward within 7 days, the ward nurse in-charge must notify the Infection Control Nurse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SHIFA General Hospital (Fictional) | PS-02 v3.0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B00000"/>
        <w:sz w:val="16"/>
      </w:rPr>
      <w:t>DEMO / SYNTHETIC HOSPITAL DATA — NOT FOR REAL CLINICAL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