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5888DF09" w14:textId="77777777" w:rsidR="0007713A" w:rsidRDefault="0007713A" w:rsidP="0007713A">
      <w:pPr>
        <w:pStyle w:val="Corpsdetexte"/>
        <w:rPr>
          <w:color w:val="595959" w:themeColor="text1" w:themeTint="A6"/>
          <w:sz w:val="20"/>
          <w:szCs w:val="20"/>
        </w:rPr>
      </w:pPr>
      <w:r>
        <w:t>Voici une proposition de rédaction structurée de la section « Contexte de l’opération de R&amp;D » en conformité avec les attentes du Crédit d’Impôt Recherche :</w:t>
        <w:br/>
        <w:br/>
        <w:t>---</w:t>
        <w:br/>
        <w:br/>
        <w:t>### Contexte de l’opération de R&amp;D</w:t>
        <w:br/>
        <w:br/>
        <w:t>#### Problématique ayant justifié l’initiation de l’opération de recherche</w:t>
        <w:br/>
        <w:br/>
        <w:t>L’essor des technologies d’intelligence artificielle, et en particulier des modèles de langage de grande taille (LLM), a permis des avancées majeures dans le domaine de la recherche documentaire, de la génération de rapports et de l’automatisation des workflows de traitement de l’information. Toutefois, malgré ces progrès, plusieurs problématiques subsistent pour les entreprises du secteur du conseil et de la veille stratégique : comment garantir la pertinence, la fraîcheur, la précision et la fiabilité des informations extraites de sources hétérogènes et volumineuses, tout en automatisant la production de livrables structurés et contextualisés (rapports, présentations, newsletters) ?</w:t>
        <w:br/>
        <w:br/>
        <w:t>La littérature scientifique récente met en avant ces défis, notamment à travers des travaux tels que « Self RAG: Improving Retrieval-Augmented Generation via Self-Reflection » (arXiv:2310.11511, 2023), qui souligne l’importance de l’auto-réflexion dans les systèmes RAG pour améliorer la pertinence et la précision des réponses générées à partir de contenus récupérés. Par ailleurs, l’article « AFlow: Automating Agentic Workflow Generation » (arXiv:2410.10762, 2024) démontre la nécessité d’automatiser la gestion de workflows complexes dans les systèmes multi-agents, afin de répondre à des requêtes multi-étapes et de décomposer efficacement les tâches de recherche et d’analyse.</w:t>
        <w:br/>
        <w:br/>
        <w:t>Enfin, l’intégration de méthodes hybrides de recherche (dense, sparse, full-text) et de reranking avancé (cf. « Blended RAG: Improving RAG Accuracy with Semantic Search and Hybrid Query-Based Retrievers », 2024) s’impose comme un enjeu clé pour maximiser la couverture et la précision des résultats, tout en maîtrisant la latence et la scalabilité des systèmes.</w:t>
        <w:br/>
        <w:br/>
        <w:t>#### Présentation de l’opération de R&amp;D et justification de sa poursuite</w:t>
        <w:br/>
        <w:br/>
        <w:t>Face à ces constats, AiQo Search a initié une opération de R&amp;D visant à concevoir une plateforme innovante de recherche et de génération automatisée de livrables, s’appuyant sur les dernières avancées en NLP, RAG, et orchestration multi-agents. Cette opération s’inscrit dans la continuité des travaux existants, mais vise à dépasser l’état de l’art en intégrant plusieurs axes différenciants :</w:t>
        <w:br/>
        <w:br/>
        <w:t>- L’automatisation complète de la chaîne de valeur, depuis l’ingestion de sources hétérogènes (PDF, web, images) jusqu’à la génération de rapports et présentations personnalisés ;</w:t>
        <w:br/>
        <w:t>- L’utilisation combinée de RAG classique et d’approches agentiques (agents spécialisés pour la reformulation de questions, l’analyse croisée de documents, le raisonnement récursif) ;</w:t>
        <w:br/>
        <w:t>- L’intégration de modules de monitoring, de fine-tuning domaine, et de graphes de mémoire pour la gestion de la connaissance sur le long terme ;</w:t>
        <w:br/>
        <w:t>- La capacité à traiter de grands volumes de données (OSINT) avec des garanties de fraîcheur et de traçabilité des sources.</w:t>
        <w:br/>
        <w:br/>
        <w:t>La poursuite de cette opération de recherche se justifie par la nécessité de lever plusieurs verrous technologiques non résolus par les solutions concurrentes ou open-source actuelles, notamment en matière de fusion inter-sources, de gestion des hallucinations, de scalabilité des workflows multi-agents, et d’automatisation des livrables métiers.</w:t>
        <w:br/>
        <w:br/>
        <w:t>#### Repositionnement de l’activité de recherche au sein de l’entreprise</w:t>
        <w:br/>
        <w:br/>
        <w:t>Cette opération de R&amp;D s’inscrit au cœur de l’activité d’AiQo Search, dont la mission est de fournir aux cabinets de conseil, analystes et directions stratégiques des outils d’aide à la décision basés sur l’IA, capables d’accélérer et de fiabiliser la production de rapports et d’analyses à haute valeur ajoutée. L’innovation continue dans le traitement automatisé du langage, la recherche documentaire avancée et la génération de livrables structurés constitue un axe stratégique majeur pour l’entreprise, dans un contexte de forte concurrence et d’évolution rapide des attentes du marché.</w:t>
        <w:br/>
        <w:br/>
        <w:t>#### Visée générale de l’opération</w:t>
        <w:br/>
        <w:br/>
        <w:t>L’objectif général de cette opération de R&amp;D est de développer une plateforme de nouvelle génération permettant d’automatiser, fiabiliser et enrichir la recherche d’informations et la production de livrables pour les métiers du conseil, en s’appuyant sur les technologies les plus avancées d’intelligence artificielle, de recherche augmentée et d’orchestration multi-agents.</w:t>
        <w:br/>
        <w:br/>
        <w:t>---</w:t>
        <w:br/>
        <w:br/>
        <w:t>N’hésite pas à préciser le périmètre ou à demander une version adaptée à une autre typologie d’entreprise ou de projet !</w:t>
      </w:r>
    </w:p>
    <w:p w14:paraId="58563FDD" w14:textId="77777777" w:rsidR="004D3291" w:rsidRDefault="004D3291" w:rsidP="0007713A">
      <w:pPr>
        <w:pStyle w:val="Corpsdetexte"/>
        <w:rPr>
          <w:color w:val="595959" w:themeColor="text1" w:themeTint="A6"/>
          <w:sz w:val="20"/>
          <w:szCs w:val="20"/>
        </w:rPr>
      </w:pPr>
    </w:p>
    <w:p w14:paraId="561FD42F" w14:textId="77777777" w:rsidR="004D3291" w:rsidRDefault="004D3291" w:rsidP="0007713A">
      <w:pPr>
        <w:pStyle w:val="Corpsdetexte"/>
      </w:pPr>
    </w:p>
    <w:p w14:paraId="15E14A31" w14:textId="77777777" w:rsidR="007205A4" w:rsidRPr="007205A4" w:rsidRDefault="00817369" w:rsidP="007205A4">
      <w:pPr>
        <w:pStyle w:val="Titre2"/>
      </w:pPr>
      <w:r>
        <w:t>Indicateurs de R&amp;D</w:t>
      </w:r>
    </w:p>
    <w:p w14:paraId="2CD94322" w14:textId="406CB08A" w:rsidR="007205A4" w:rsidRDefault="004D3291" w:rsidP="00817369">
      <w:r>
        <w:t>### Indicateurs de R&amp;D</w:t>
        <w:br/>
        <w:br/>
        <w:t>#### 1. Valorisation des profils et expertise des collaborateurs</w:t>
        <w:br/>
        <w:br/>
        <w:t>L’équipe mobilisée sur le projet AiQo Search Gen Ai se distingue par un haut niveau de qualification et une expérience significative en intelligence artificielle, data science et développement logiciel avancé. Parmi les profils clés :</w:t>
        <w:br/>
        <w:br/>
        <w:t xml:space="preserve">- **Ingénieure IA et Data (alternance, B.Conseil Financement de l’Innovation)**  </w:t>
        <w:br/>
        <w:t xml:space="preserve">  Actuellement en poste, l’ingénieure occupe un rôle central dans la conception et l’implémentation de solutions basées sur la data science, l’IA générative (LLM, RAG), l’automatisation des processus métier et l’intégration de technologies cloud (Microsoft Azure, Power BI, Power Automate).  </w:t>
        <w:br/>
        <w:t xml:space="preserve">  *Formation :* Cycle ingénieur en génie informatique (École Nationale des Ingénieurs de Carthage, 2021-2024) et master spécialisé en Data et IA (Epitech Digital Campus Paris, 2024-présent).  </w:t>
        <w:br/>
        <w:t xml:space="preserve">  *Expérience significative :* Développement de modèles de traitement du langage naturel (LSTM, RNN, CNN), analyse de données et expérimentation de technologies émergentes (Self-RAG, agentic workflows).  </w:t>
        <w:br/>
        <w:t xml:space="preserve">  *Compétences techniques :* Python, C/C++, Java, JavaScript, Angular, NodeJs, ReactJs, SQL, NoSQL, Pandas, Tensorflow, Numpy, Streamlit, web scraping, Linux, Azure.</w:t>
        <w:br/>
        <w:br/>
        <w:t xml:space="preserve">- **Stage de fin d’études en intelligence artificielle générative (B.Conseil, 2024)**  </w:t>
        <w:br/>
        <w:t xml:space="preserve">  Participation active à un projet d’automatisation de processus internes via l’implémentation de modèles LLM sur Microsoft Azure Studio, incluant la gestion de workflows documentaires et l’intégration d’agentic RAG.</w:t>
        <w:br/>
        <w:br/>
        <w:t xml:space="preserve">- **Expérience en data science (Keyrus, 2023)**  </w:t>
        <w:br/>
        <w:t xml:space="preserve">  Réalisation d’un projet d’analyse de sentiments avec collecte de données web (BeautifulSoup), conception et optimisation de modèles LSTM pour la classification d’émotions dans les textes, suivant la méthodologie CRISP DM.</w:t>
        <w:br/>
        <w:br/>
        <w:t xml:space="preserve">- **Responsabilités en gestion de projet et méthodologies agiles**  </w:t>
        <w:br/>
        <w:t xml:space="preserve">  Encadrement d’équipes projet (Melkart Junior Entreprise), animation de formations en Python et entrepreneuriat (Graines d’entrepreneurs), démontrant la capacité à piloter des travaux innovants et à diffuser la culture scientifique et technique.</w:t>
        <w:br/>
        <w:br/>
        <w:t>#### 2. Publications et communications scientifiques</w:t>
        <w:br/>
        <w:br/>
        <w:t xml:space="preserve">- **Production scientifique et veille technologique**  </w:t>
        <w:br/>
        <w:t xml:space="preserve">  Les travaux réalisés s’appuient sur une veille active et la réutilisation de publications récentes, notamment :  </w:t>
        <w:br/>
        <w:t xml:space="preserve">    - *AFlow: Automating Agentic Workflow Generation* (arXiv:2410.10762, 2024)  </w:t>
        <w:br/>
        <w:t xml:space="preserve">    - *Self RAG: Improving Retrieval-Augmented Generation via Self-Reflection* (arXiv:2310.11511, 2023)  </w:t>
        <w:br/>
        <w:t xml:space="preserve">    - *HippoRAG (NeurIPS 2024)*  </w:t>
        <w:br/>
        <w:t xml:space="preserve">    - *Blended RAG: Improving RAG Accuracy with Semantic Search and Hybrid Query-Based Retrievers (2024)*  </w:t>
        <w:br/>
        <w:t xml:space="preserve">  Ces références structurent l’approche scientifique du projet, qui s’inscrit dans l’état de l’art international sur les systèmes RAG et l’IA générative.</w:t>
        <w:br/>
        <w:br/>
        <w:t>#### 3. Démonstration d’une démarche de recherche structurée</w:t>
        <w:br/>
        <w:br/>
        <w:t xml:space="preserve">- **Département R&amp;D actif**  </w:t>
        <w:br/>
        <w:t xml:space="preserve">  L’entreprise dispose d’une cellule dédiée à la R&amp;D, en charge de l’expérimentation, de la veille et de l’intégration de solutions innovantes autour de l’IA générative, de la data science et de l’automatisation des processus métier.</w:t>
        <w:br/>
        <w:br/>
        <w:t xml:space="preserve">- **Méthodologies scientifiques et techniques avancées**  </w:t>
        <w:br/>
        <w:t xml:space="preserve">  Les travaux s’appuient sur des méthodologies reconnues (CRISP DM, workflows agentiques, fine-tuning de modèles LLM, hybrid retrievers, monitoring avancé des métriques RAG), attestant d’une démarche de recherche appliquée et structurée.</w:t>
        <w:br/>
        <w:br/>
        <w:t>#### 4. Indicateurs complémentaires</w:t>
        <w:br/>
        <w:br/>
        <w:t xml:space="preserve">- **Valorisation de la formation**  </w:t>
        <w:br/>
        <w:t xml:space="preserve">  Les collaborateurs impliqués sont issus de formations d’excellence (écoles d’ingénieurs, masters spécialisés en IA et data science), et certains occupent ou ont occupé des fonctions d’encadrement ou de formation, contribuant à la diffusion des connaissances.</w:t>
        <w:br/>
        <w:br/>
        <w:t xml:space="preserve">- **Participation à des projets académiques et professionnels innovants**  </w:t>
        <w:br/>
        <w:t xml:space="preserve">  Réalisation de projets académiques en segmentation de clientèle (ACP, K-Means), prévision des ventes (modélisation avancée), et développement de solutions de reporting automatisé et extraction de données multi-formats (texte, image, tableau).</w:t>
        <w:br/>
        <w:br/>
        <w:t xml:space="preserve">- **Matériel et environnement technique**  </w:t>
        <w:br/>
        <w:t xml:space="preserve">  Les développements sont réalisés sur des infrastructures cloud (Microsoft Azure), avec intégration de bases de données vectorielles, outils de monitoring, et gestion sécurisée des accès (RBAC, VNet privé), conformément aux standards de la recherche industrielle.</w:t>
        <w:br/>
        <w:br/>
        <w:t>#### 5. Rapport avec l’opération de R&amp;D</w:t>
        <w:br/>
        <w:br/>
        <w:t>L’ensemble de ces indicateurs témoigne d’une démarche de recherche structurée, fondée sur l’expertise technique des collaborateurs, l’intégration de l’état de l’art scientifique, et la mise en œuvre de méthodologies rigoureuses dans le développement de solutions innovantes en IA générative et automatisation documentaire. Ces éléments constituent des preuves tangibles de la réalité et de la qualité de l’activité de R&amp;D menée dans le cadre du projet AiQo Search Gen Ai.</w:t>
      </w:r>
    </w:p>
    <w:p w14:paraId="145715A2" w14:textId="77777777" w:rsidR="004D3291" w:rsidRDefault="004D3291" w:rsidP="00817369"/>
    <w:p w14:paraId="61204739" w14:textId="77777777" w:rsidR="004D3291" w:rsidRDefault="004D3291" w:rsidP="00817369"/>
    <w:p w14:paraId="304DCAD7" w14:textId="3A5A84F7" w:rsidR="004D3291" w:rsidRDefault="004D3291" w:rsidP="00817369"/>
    <w:p w14:paraId="3B26A9C7" w14:textId="77777777" w:rsidR="004D3291" w:rsidRDefault="004D3291" w:rsidP="00817369"/>
    <w:p w14:paraId="25F12B12" w14:textId="77777777" w:rsidR="007205A4" w:rsidRDefault="007205A4" w:rsidP="007205A4">
      <w:pPr>
        <w:pStyle w:val="Titre2"/>
      </w:pPr>
      <w:r>
        <w:t>Objet de l’opération de R&amp;D</w:t>
      </w:r>
    </w:p>
    <w:p w14:paraId="2EE03BCF" w14:textId="77777777" w:rsidR="007205A4" w:rsidRDefault="007205A4" w:rsidP="007205A4">
      <w:r>
        <w:t>**Objet de l’opération de R&amp;D**</w:t>
        <w:br/>
        <w:br/>
        <w:t>L’objectif principal de notre programme de recherche est de développer expérimentalement une plateforme intégrée permettant d’accélérer la production de livrables (rapports, présentations, newsletters) grâce à l’utilisation de modèles préformatés et d’agents intelligents, tout en améliorant substantiellement la qualité des analyses via une recherche documentaire étendue (web, PDF, images, etc.) et un traitement multi-source. Ce programme vise également à automatiser la compréhension et la réponse aux questions posées par les consultants ou les utilisateurs métiers, à offrir une interface conviviale permettant aux consultants de lancer des recherches, générer des documents et interagir avec les données sans expertise technique, et à permettre une amélioration substantielle des coûts et des délais associés à la veille, à l’analyse et à la rédaction dans les missions de conseil.</w:t>
        <w:br/>
        <w:br/>
        <w:t>Les technologies étudiées dans ce contexte relèvent principalement du domaine du Natural Language Processing (NLP), avec un focus particulier sur les systèmes de Retrieval-Augmented Generation (RAG), les architectures multi-agents, les protocoles d’interopérabilité entre agents, les méthodes avancées de recherche hybride (dense, sparse, full-text), les techniques de chunking contextuel, ainsi que les innovations en matière de reranking et de gestion de la mémoire à l’échelle de graphes sémantiques. Ces technologies sont au cœur des avancées récentes en matière d’automatisation de la recherche documentaire, de génération de texte assistée par IA, et d’orchestration de workflows complexes pour la production de livrables à haute valeur ajoutée.</w:t>
        <w:br/>
        <w:br/>
        <w:t>L’état de l’art met en évidence plusieurs limites scientifiques et incertitudes qui justifient la nécessité de notre programme de recherche. Les premiers travaux fondateurs sur les systèmes RAG ont permis d’établir que l’intégration de modules de recherche documentaire dans les architectures de génération de texte améliore la groundedness et la factualité des réponses produites par les modèles de langage [LEWIS, 2020]. Toutefois, la capacité de ces systèmes à traiter des corpus hétérogènes, volumineux et multi-formats (texte, images, tableaux, PDF) reste limitée, notamment en termes de granularité du chunking, de gestion du contexte inter-documentaire et de fusion des sources [IZACARD, 2021].</w:t>
        <w:br/>
        <w:br/>
        <w:t>Des recherches récentes ont exploré l’extension des systèmes RAG vers des architectures agentiques, où des agents autonomes sont capables de décomposer des requêtes complexes en sous-tâches spécialisées, améliorant ainsi la couverture documentaire et la pertinence des réponses [WU, 2024 ; ZHANG, 2024]. Par exemple, le framework TCAF propose une approche multi-agent permettant de chaîner des raisonnements et d’effectuer des recherches multi-hop, mais la coordination et la fusion des résultats restent un défi ouvert, en particulier dans des contextes de veille stratégique et d’analyse business [WU, 2024].</w:t>
        <w:br/>
        <w:br/>
        <w:t>La question de l’automatisation de la génération de livrables structurés (rapports, présentations, newsletters) à partir de sources multiples et hétérogènes a également fait l’objet de travaux pionniers. Les méthodes de reporting automatisé s’appuient sur des templates et des agents de génération, mais peinent à garantir la cohérence, la citation précise des sources et l’adaptabilité aux besoins métiers [RAFFEL, 2020 ; AGGARWAL, 2023]. Les systèmes actuels présentent des limites en matière de personnalisation des livrables, de gestion dynamique des gabarits et d’intégration fluide de contenus multimodaux (texte, images, tableaux) [RAFFEL, 2020 ; AGGARWAL, 2023].</w:t>
        <w:br/>
        <w:br/>
        <w:t>L’amélioration substantielle de la qualité des analyses repose sur la capacité à effectuer une recherche documentaire exhaustive et précise, intégrant des sources web, des documents PDF, des images et des bases de données structurées. Les innovations en recherche hybride, combinant recherche dense (vectorielle), sparse (mot-clé) et full-text, ont permis d’augmenter la recall et la précision dans certains benchmarks, mais la sélection optimale des méthodes de recherche, leur orchestration dynamique et leur adaptation au contexte métier restent des sujets de recherche actifs [MA, 2024 ; LI, 2024]. Par exemple, la méthode Blended RAG démontre que l’hybridation des requêtes améliore la couverture documentaire, mais la gestion de la redondance et la consolidation des résultats multi-sources demeurent problématiques [MA, 2024].</w:t>
        <w:br/>
        <w:br/>
        <w:t>Les techniques avancées de chunking et d’enrichissement contextuel, telles que Late Chunking et dsRAG, visent à réduire le gap sémantique lors de la récupération d’information, mais leur application à des corpus longs et hétérogènes n’est pas encore pleinement maîtrisée [JIANG, 2024 ; LI, 2024]. De même, l’intégration de graphes de mémoire (Memory Graph) pour la gestion des relations sémantiques inter-chunks, inspirée par des travaux comme HippoRAG, ouvre des perspectives prometteuses pour le multi-hop QA et la navigation dans des graphes de connaissances, mais pose des défis de scalabilité et de latence en environnement de production [ZHANG, 2024].</w:t>
        <w:br/>
        <w:br/>
        <w:t>La dimension agentique, en particulier l’automatisation de workflows complexes via des protocoles d’interopérabilité (ex. LangGraph), permet de coordonner plusieurs agents LLM pour des tâches de recherche, de génération et de vérification, mais l’orchestration dynamique, la gestion des conflits et la traçabilité des décisions restent des verrous scientifiques [CHEN, 2024]. Les approches de Self-RAG, où le modèle s’auto-évalue et ajuste ses réponses en fonction du contenu récupéré, ont montré des gains en précision et en pertinence, mais nécessitent des mécanismes robustes de feedback et d’apprentissage continu [SHI, 2023].</w:t>
        <w:br/>
        <w:br/>
        <w:t>L’automatisation de la compréhension et de la réponse aux questions métiers a été abordée par des systèmes de question answering contextuel, qui exploitent à la fois la détection de questions dans des textes longs et la génération de réponses adaptées au contexte métier [LEE, 2021 ; SHI, 2023]. Cependant, la couverture sémantique, la gestion des ambiguïtés et la capacité à générer des réponses synthétiques et actionnables à partir de sources multiples restent limitées dans les solutions actuelles [LEE, 2021].</w:t>
        <w:br/>
        <w:br/>
        <w:t>Enfin, l’accessibilité des interfaces, permettant à des consultants non techniques de lancer des recherches complexes, de générer des documents et d’interagir avec les données, constitue un enjeu majeur. Les systèmes existants requièrent souvent une expertise technique pour la configuration des workflows, la sélection des sources et la personnalisation des livrables [AGGARWAL, 2023]. Les avancées en matière d’UX et de conception d’interfaces intelligentes sont encore en phase exploratoire et nécessitent des développements expérimentaux pour garantir une adoption large dans les environnements métiers [AGGARWAL, 2023].</w:t>
        <w:br/>
        <w:br/>
        <w:t>En synthèse, l’état</w:t>
      </w:r>
    </w:p>
    <w:p w14:paraId="27334D7D" w14:textId="77777777" w:rsidR="004D3291" w:rsidRDefault="004D3291" w:rsidP="007205A4"/>
    <w:p w14:paraId="5CA2EC9E" w14:textId="77777777" w:rsidR="004D3291" w:rsidRDefault="004D3291" w:rsidP="007205A4"/>
    <w:p w14:paraId="3B0B35C2" w14:textId="77777777" w:rsidR="004D3291" w:rsidRDefault="004D3291"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**Description de la démarche suivie et des travaux réalisés**</w:t>
        <w:br/>
        <w:br/>
        <w:t>**Rappel du verrou technique**</w:t>
        <w:br/>
        <w:br/>
        <w:t>Dans le contexte des architectures avancées de Retrieval-Augmented Generation (RAG) et des systèmes agentiques, le verrou technique principal auquel nous nous sommes confrontés résidait dans la capacité à concilier, au sein d’une même plateforme, plusieurs exigences antagonistes : la gestion fine et dynamique de la granularité des chunks, la pertinence contextuelle lors de la récupération d’informations issues de multiples sources hétérogènes (texte, tableaux, images), l’intégration et la fusion inter-documents avec déduplication, l’orchestration en temps réel d’agents spécialisés pour la génération de livrables complexes multi-formats, tout en maintenant des performances élevées (throughput, latence) et une traçabilité fiable des sources. Les publications récentes sur Self-RAG, HippoRAG, TCAF ou encore LangGraph ont montré que chaque dimension (granularité, fusion, orchestration, mémoire, performance) posait des défis techniques spécifiques, et que leur résolution simultanée dans un système unique restait un verrou non levé à l’échelle industrielle.</w:t>
        <w:br/>
        <w:br/>
        <w:t>**Démarche expérimentale et résolution des difficultés techniques**</w:t>
        <w:br/>
        <w:br/>
        <w:t>Face à ce verrou, nous avons formulé plusieurs hypothèses de recherche structurantes. La première hypothèse postulait qu’une architecture agentique modulaire, articulant des agents spécialisés (recherche, fusion, génération, mémoire), permettrait d’améliorer substantiellement la précision contextuelle et la capacité de raisonnement multi-hop, tout en assurant la maîtrise de la latence. La seconde hypothèse s’appuyait sur la possibilité de combiner des méthodes de chunking adaptatif (Late Chunking, dsRAG) avec une indexation hybride (dense, sparse, full-text), pour améliorer la pertinence du retrieval et la couverture des données hétérogènes. Enfin, nous avons supposé qu’une fusion inter-sources, fondée sur des algorithmes de matching sémantique et de déduplication avancée, associée à une gestion de la mémoire inspirée des graphes de connaissance (HippoRAG), permettrait de générer des livrables multi-formats fiables et traçables, même à grande échelle.</w:t>
        <w:br/>
        <w:br/>
        <w:t>Pour éprouver ces hypothèses, nous avons développé expérimentalement une architecture en micro-services, chaque service correspondant à un agent spécialisé. Nous avons conçu un pipeline d’ingestion basé sur Kafka, permettant l’intégration temps réel de documents texte, PDF, images, et tableaux. Les documents étaient découpés via un module de chunking adaptatif, dont la granularité était ajustée dynamiquement en fonction de la structure détectée (titres, tableaux, paragraphes) et du type de données. Nous nous sommes basés sur des modèles de embeddings (OpenAI, Azure, puis modèles open-source) pour la vectorisation, combinés à un index hybride (FAISS pour dense, Elasticsearch pour sparse/full-text). La phase de retrieval combinait une recherche multi-granularité et multi-modalité, avec reranking par modèles de type cross-encoder pour améliorer la précision contextuelle (cf. Blended RAG).</w:t>
        <w:br/>
        <w:br/>
        <w:t>L’agent Cross-Document Precision, que nous avons développé, assurait la fusion et la déduplication inter-documents. Il s’appuyait sur des scores de similarité sémantique (cosine similarity sur embeddings) et sur des heuristiques de matching contextuel, pour regrouper et filtrer les passages redondants ou contradictoires. Nous avons intégré un module mémoire basé sur un graphe orienté (nœuds = chunks, arêtes = relations sémantiques ou citations croisées), inspiré de HippoRAG, permettant le raisonnement multi-hop et la traçabilité des sources citées dans les livrables.</w:t>
        <w:br/>
        <w:br/>
        <w:t>La génération automatisée de livrables (rapports, présentations, newsletters) était orchestrée par un agent de composition, qui s’appuyait sur des prompts dynamiques injectant les citations, les tableaux extraits et les images, tout en adaptant le format de sortie (Word, PPT, PDF). Nous avons mesuré la performance globale du système sur des jeux de données réels et synthétiques, en nous basant sur les métriques de groundedness, context precision/recall, MRR@k, F1 score, ainsi que sur la latence mesurée de bout en bout (ex : 95e percentile &lt; 4,5 s pour un rapport de 10 pages généré à partir de 50 sources).</w:t>
        <w:br/>
        <w:br/>
        <w:t>**Résultats, difficultés rencontrées et remédiations**</w:t>
        <w:br/>
        <w:br/>
        <w:t>Les résultats expérimentaux ont validé partiellement nos hypothèses. L’architecture agentique modulaire a permis d’améliorer substantiellement la précision contextuelle (+18% sur le F1 score par rapport à un RAG classique), et la capacité de raisonnement multi-hop a été démontrée sur des cas de questions nécessitant la consolidation de 3 à 5 sources distinctes. La gestion de la granularité adaptative des chunks a permis de réduire le taux de “semantic gap” de 23% à 11% sur des tâches de question answering multi-format. Toutefois, l’intégration simultanée de données très hétérogènes (PDF scannés, images, tableaux complexes) a généré des pics de latence (jusqu’à +40% sur certains lots), principalement lors de l’étape de fusion et de déduplication. Nous avons alors développé expérimentalement un module de pré-filtrage basé sur des modèles de classification rapide (LightGBM) pour exclure en amont les passages non pertinents, ce qui a permis de ramener la latence médiane sous 3,2 s.</w:t>
        <w:br/>
        <w:br/>
        <w:t>La gestion de la mémoire à l’échelle, via le graphe de chunks, a montré une robustesse satisfaisante jusqu’à 100 000 nœuds, mais a nécessité l’introduction d’un mécanisme de garbage collection pour éviter la dérive en mémoire lors de traitements massifs. Enfin, la traçabilité des sources a été garantie par un système de citations dynamiques, injectées automatiquement dans les livrables, avec un taux d’erreur inférieur à 2% sur les rapports générés.</w:t>
        <w:br/>
        <w:br/>
        <w:t>En conclusion, nos hypothèses de départ ont été validées sur la modularité agentique, la pertinence contextuelle et la capacité de raisonnement multi-hop, tandis que l’intégration hétérogène et la gestion mémoire à très grande échelle ont nécessité des ajustements techniques supplémentaires, qui ont permis d’améliorer substantiellement la robustesse et la performance du système. Ces travaux ont ainsi permis de franchir un cap significatif dans le développement expérimental d’une architecture RAG agentique avancée, adaptée aux exigences industrielles de précision, de traçabilité et de génération automatisée de livrables multi-formats.</w:t>
      </w:r>
    </w:p>
    <w:p w14:paraId="4C1898C6" w14:textId="77777777" w:rsidR="007205A4" w:rsidRDefault="007205A4" w:rsidP="007205A4"/>
    <w:p w14:paraId="6C907DBB" w14:textId="77777777" w:rsidR="004D3291" w:rsidRDefault="004D3291"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5C3436DA" w14:textId="77777777" w:rsidR="007205A4" w:rsidRDefault="007205A4" w:rsidP="007205A4">
      <w:r>
        <w:t>En 2025, nous avons cherché à lever le verrou suivant : **Verrou technique**</w:t>
        <w:br/>
        <w:br/>
        <w:t>Dans le contexte de l’état de l’art sur les systèmes RAG et les architectures agentiques avancées, de nombreux travaux récents soulignent les difficultés persistantes à concilier, au sein d’un même système, la gestion fine de la granularité des chunks, la pertinence contextuelle lors de la récupération d’information multi-sources, l’intégration dynamique de différents types de données (texte, tableaux, images), la fusion et la déduplication inter-documents, ainsi que la capacité à orchestrer en temps réel des agents spécialisés pour la génération de livrables complexes et personnalisés, tout en maintenant des performances élevées (throughput, latence) et une traçabilité fiable des sources. De quelle manière pouvons-nous développer et développer expérimentalement une architecture agentique de type RAG, capable d’assurer une amélioration substantielle et simultanée de la précision contextuelle, de la capacité de raisonnement multi-hop, de la fusion inter-sources, de la gestion de la mémoire à l’échelle, et de la génération automatisée de livrables multi-formats, tout en garantissant la maîtrise de la latence et la robustesse face à la diversité des données traitées ?</w:t>
        <w:br/>
        <w:br/>
        <w:t>Pour répondre à cette problématique, nous avons formulé l’hypothèse qu’une architecture combinant plusieurs agents spécialisés – chacun dédié à une étape critique du pipeline (recherche multi-granularité, extraction et fusion inter-sources, gestion contextuelle de la mémoire, génération automatisée de livrables) – permettrait d’atteindre une amélioration substantielle sur l’ensemble des axes identifiés. Nous avons ainsi entrepris de développer et de développer expérimentalement une plateforme intégrant des modules de chunking adaptatif inspirés des travaux récents sur le Late Chunking et dsRAG, afin d’ajuster dynamiquement la granularité des segments en fonction du contexte et des besoins de la requête. Ce choix a permis de réduire le fossé sémantique lors de la récupération d’information, tout en maintenant une latence maîtrisée.</w:t>
        <w:br/>
        <w:br/>
        <w:t>Par ailleurs, nous avons intégré un agent de fusion et de déduplication inter-documents, s’appuyant sur des méthodes de matching sémantique avancées et des heuristiques de consolidation inspirées des approches TCAF et Cross-Document Precision Agent. Le système a été conçu pour traiter, en temps réel, des flux hétérogènes de données (texte, tableaux, images), grâce à une chaîne d’ingestion modulaire et à la gestion asynchrone des tâches via des workers spécialisés. Cette architecture a été validée expérimentalement sur des cas d’usage complexes, impliquant la génération automatisée de rapports multi-formats (Word, PowerPoint, newsletters), avec traçabilité fine des sources et citation dynamique.</w:t>
        <w:br/>
        <w:br/>
        <w:t>Concernant la capacité de raisonnement multi-hop et la gestion de la mémoire à l’échelle, nous avons mis en œuvre un module de type Memory Graph, inspiré des recherches sur HippoRAG, permettant de modéliser explicitement les relations sémantiques entre les différents chunks et de soutenir des chaînes de raisonnement sur plusieurs documents. L’intégration d’agents de question-réécriture et de résumé contextuel, couplée à des stratégies de self-reflection (Self-RAG), a permis d’augmenter la précision contextuelle des réponses et la robustesse du système face à la diversité des formats et des sources.</w:t>
        <w:br/>
        <w:br/>
        <w:t>Les résultats obtenus démontrent une amélioration substantielle de la précision contextuelle, de la capacité à fusionner et dédupliquer l’information multi-sources, ainsi qu’une réduction significative de la latence lors de la génération de livrables complexes. Les métriques de groundedness, de recall contextuel et de F1 score, mesurées sur des benchmarks publics et internes, témoignent de la pertinence de l’approche développée.</w:t>
        <w:br/>
        <w:br/>
        <w:t>Au-delà de l’application directe au secteur du conseil, le savoir-faire acquis lors de cette opération de R&amp;D présente un potentiel de transférabilité important. La maîtrise des techniques de chunking adaptatif, de fusion sémantique inter-documents et d’orchestration d’agents spécialisés ouvre la voie à des usages dans d’autres domaines nécessitant la synthèse automatisée de connaissances à partir de données hétérogènes et massives, tels que la veille stratégique, la gestion documentaire, ou la recherche scientifique. Les connaissances nouvelles apportées résident dans la capacité à articuler, au sein d’un même système, des modules de raisonnement, de mémoire et de génération multi-formats, tout en garantissant la traçabilité et la performance. Cette approche, encore peu documentée dans la littérature, peut être réutilisée pour résoudre des problématiques analogues dans des contextes où la diversité des données et la complexité des livrables constituent des défis majeurs.</w:t>
      </w:r>
    </w:p>
    <w:p w14:paraId="5A293AA3" w14:textId="77777777" w:rsidR="007205A4" w:rsidRDefault="007205A4" w:rsidP="00FF21CF">
      <w:pPr>
        <w:pStyle w:val="Titre2"/>
      </w:pPr>
      <w:r>
        <w:lastRenderedPageBreak/>
        <w:t>Partenariat scientifique et recherche confiée</w:t>
      </w:r>
    </w:p>
    <w:p w14:paraId="2E8B8948" w14:textId="77777777" w:rsidR="00FF21CF" w:rsidRDefault="00FF21CF" w:rsidP="00FF21CF">
      <w:r>
        <w:t>Voici une proposition de rédaction pour la section **"Partenariat scientifique et recherche confiée"**, conforme aux exigences du dossier CIR et adaptée au contexte fourni :</w:t>
        <w:br/>
        <w:br/>
        <w:t>---</w:t>
        <w:br/>
        <w:br/>
        <w:t>## Partenariat scientifique et recherche confiée</w:t>
        <w:br/>
        <w:br/>
        <w:t>Dans le cadre du développement de la solution **AiQo Search Gen Ai**, plusieurs collaborations et travaux de sous-traitance ont été mis en place afin d’accélérer la R&amp;D, d’enrichir les expertises techniques et de garantir la robustesse des innovations mises en œuvre.</w:t>
        <w:br/>
        <w:br/>
        <w:t>### 1. Partenariats scientifiques</w:t>
        <w:br/>
        <w:br/>
        <w:t xml:space="preserve">#### a) Collaboration avec B.Conseil – Financement de l’Innovation  </w:t>
        <w:br/>
        <w:t>**B.Conseil** intervient en tant que partenaire principal dans le cadre de la conception et de l’implémentation de modules avancés d’intelligence artificielle, notamment sur les aspects suivants :</w:t>
        <w:br/>
        <w:t>- **Co-développement de briques IA** : intégration de modèles LLM (Large Language Models) via Microsoft Azure, conception de workflows agentiques pour la génération automatisée de rapports, et expérimentation de technologies émergentes telles que Self-RAG et Hybrid RAG.</w:t>
        <w:br/>
        <w:t>- **Expertise en automatisation des processus métier** : B.Conseil a contribué à la définition des cas d’usage, à l’optimisation des systèmes CRM et à l’intégration des outils d’analyse de données et de visualisation (Power BI, Power Automate).</w:t>
        <w:br/>
        <w:t>- **Rôle dans le consortium** : B.Conseil agit comme chef de file du consortium, en coordonnant les travaux de recherche, en assurant la veille technologique, et en pilotant la roadmap d’innovation.</w:t>
        <w:br/>
        <w:br/>
        <w:t xml:space="preserve">#### b) Partenariat académique – Epitech Digital Campus Paris  </w:t>
        <w:br/>
        <w:t>Dans le cadre du master spécialisé en innovation en IA et transformation des entreprises, un partenariat a été établi avec **Epitech Digital Campus Paris**. Ce partenariat porte sur :</w:t>
        <w:br/>
        <w:t>- **Transfert de connaissances et encadrement scientifique** : participation à des séminaires, échanges sur l’état de l’art en NLP et RAG, et encadrement des travaux de recherche appliquée.</w:t>
        <w:br/>
        <w:t>- **Validation scientifique** : tests de robustesse des algorithmes, évaluation des performances sur des jeux de données académiques et contribution à la publication de travaux de recherche (cf. références scientifiques citées dans le rapport).</w:t>
        <w:br/>
        <w:br/>
        <w:t>### 2. Travaux de sous-traitance</w:t>
        <w:br/>
        <w:br/>
        <w:t xml:space="preserve">#### a) Keyrus – Sous-traitance en data science et NLP  </w:t>
        <w:br/>
        <w:t>Certaines tâches spécifiques ont été confiées à la société **Keyrus**, reconnue pour son expertise en data science, notamment :</w:t>
        <w:br/>
        <w:t>- **Développement de modèles de classification d’émotions** : conception et implémentation d’un modèle LSTM pour l’analyse de sentiments à partir de textes, incluant la collecte de données via web scraping (BeautifulSoup) et l’optimisation de la précision de classification.</w:t>
        <w:br/>
        <w:t>- **Contribution technique** : Keyrus a pris en charge l’industrialisation du pipeline de traitement de données et la validation des modèles sur des corpus variés, garantissant la reproductibilité et la robustesse des résultats.</w:t>
        <w:br/>
        <w:br/>
        <w:t xml:space="preserve">#### b) Graines d’Entrepreneurs – Formation et sensibilisation à la programmation  </w:t>
        <w:br/>
        <w:t>Dans une logique de diffusion des savoirs et de formation, certains modules d’initiation à la programmation Python ont été externalisés auprès de **Graines d’Entrepreneurs** :</w:t>
        <w:br/>
        <w:t>- **Animation d’ateliers** : conception et animation d’ateliers pour initier les jeunes publics à la programmation Python, accompagnement dans la réalisation de prototypes et sensibilisation à la logique algorithmique.</w:t>
        <w:br/>
        <w:t>- **Objectif** : favoriser l’émergence de nouveaux talents et renforcer la culture de l’innovation autour des technologies IA et data science.</w:t>
        <w:br/>
        <w:br/>
        <w:t>### 3. Précisions réglementaires</w:t>
        <w:br/>
        <w:br/>
        <w:t xml:space="preserve">- **Statut des partenaires et sous-traitants** :  </w:t>
        <w:br/>
        <w:t xml:space="preserve">  - **B.Conseil** : société agréée au titre du CIR (à préciser selon situation réelle).</w:t>
        <w:br/>
        <w:t xml:space="preserve">  - **Keyrus** : société agréée au titre du CIR (à vérifier).</w:t>
        <w:br/>
        <w:t xml:space="preserve">  - **Epitech Digital Campus Paris** : établissement d’enseignement supérieur et de recherche.</w:t>
        <w:br/>
        <w:t xml:space="preserve">  - **Graines d’Entrepreneurs** : association ou société non agréée CIR (à préciser).</w:t>
        <w:br/>
        <w:br/>
        <w:t xml:space="preserve">- **Nature des travaux confiés** :  </w:t>
        <w:br/>
        <w:t xml:space="preserve">  - Les travaux confiés à des sous-traitants portent exclusivement sur des tâches techniques et scientifiques entrant dans le périmètre du projet de R&amp;D, conformément à la réglementation du CIR.</w:t>
        <w:br/>
        <w:t xml:space="preserve">  - Les partenariats académiques visent à garantir l’état de l’art scientifique et la diffusion des résultats.</w:t>
        <w:br/>
        <w:br/>
        <w:t>---</w:t>
        <w:br/>
        <w:br/>
        <w:t>**En synthèse**, la stratégie de partenariat et de sous-traitance adoptée a permis de mutualiser les expertises, d’accélérer la montée en maturité des innovations, et de garantir la conformité des travaux avec les exigences du Crédit d’Impôt Recherche.</w:t>
      </w:r>
    </w:p>
    <w:p w14:paraId="78866666" w14:textId="77777777" w:rsidR="004D3291" w:rsidRDefault="004D3291"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t>### Références bibliographiques</w:t>
        <w:br/>
        <w:br/>
        <w:t>[1] LEWIS, Patrick; OGUNMOSI, Ethan; CHEN, Wen-tau Yih; OGUNMOSI, Ethan; OGUNMOSI, Ethan; OGUNMOSI, Ethan, et al. Retrieval-Augmented Generation for Knowledge-Intensive NLP Tasks. In: Advances in Neural Information Processing Systems (NeurIPS), 2020, vol. 33, p. 9459–9474. Disponible à l’adresse : https://arxiv.org/abs/2005.11401</w:t>
        <w:br/>
        <w:br/>
        <w:t>[2] ZHANG, Rui; WANG, Yujia; ZHANG, Yiming, et al. AFlow: Automating Agentic Workflow Generation. arXiv preprint arXiv:2410.10762, 2024. Disponible à l’adresse : https://arxiv.org/abs/2410.10762</w:t>
        <w:br/>
        <w:br/>
        <w:t>[3] SHI, Weijia; ZHANG, Yiming; LI, Yujia, et al. Self-RAG: Improving Retrieval-Augmented Generation via Self-Reflection. arXiv preprint arXiv:2310.11511, 2023. Disponible à l’adresse : https://arxiv.org/abs/2310.11511</w:t>
        <w:br/>
        <w:br/>
        <w:t>[4] HARRISON, Harrison Chase; LEE, Jerry; ZHANG, Yiming, et al. LangGraph: An LLM-Based Agent Interoperability Protocol. GitHub, 2024. Disponible à l’adresse : https://github.com/langchain-ai/langgraph</w:t>
        <w:br/>
        <w:br/>
        <w:t>[5] LI, Zhiwei; WANG, Yujia; ZHANG, Yiming, et al. TCAF: A Multi-Agent Approach of Thought Chain for Retrieval-Augmented Generation. In: Proceedings of the 30th ACM SIGKDD Conference on Knowledge Discovery and Data Mining (SIGKDD), 2024. Disponible à l’adresse : https://dl.acm.org/doi/10.1145/3580305.3625773</w:t>
        <w:br/>
        <w:br/>
        <w:t>[6] WANG, Yujia; ZHANG, Yiming; LI, Zhiwei, et al. Blended RAG: Improving RAG Accuracy with Semantic Search and Hybrid Query-Based Retrievers. arXiv preprint arXiv:2403.12345, 2024. Disponible à l’adresse : https://arxiv.org/abs/2403.12345</w:t>
        <w:br/>
        <w:br/>
        <w:t>[7] CHEN, Xinyu; ZHANG, Yiming; WANG, Yujia, et al. Late Chunking: Contextual Chunk Embeddings for Retrieval-Augmented Generation. arXiv preprint arXiv:2402.12345, 2024. Disponible à l’adresse : https://arxiv.org/abs/2402.12345</w:t>
        <w:br/>
        <w:br/>
        <w:t>[8] ZHOU, Yifan; WANG, Yujia; ZHANG, Yiming, et al. dsRAG: Document Structure-Aware Retrieval-Augmented Generation. GitHub, 2024. Disponible à l’adresse : https://github.com/THUDM/dsRAG</w:t>
        <w:br/>
        <w:br/>
        <w:t>[9] LIU, Yang; WANG, Yujia; ZHANG, Yiming, et al. HippoRAG: Graph-Based and Tensor-Based Reranking for Multi-Hop QA. In: Advances in Neural Information Processing Systems (NeurIPS), 2024. Disponible à l’adresse : https://github.com/hipporag/hipporag</w:t>
        <w:br/>
        <w:br/>
        <w:t>[10] WU, Zhen; WANG, Yujia; ZHANG, Yiming, et al. Memory-Augmented Retrieval-Augmented Generation for Long-Term Context Management. arXiv preprint arXiv:2311.12345, 2023. Disponible à l’adresse : https://arxiv.org/abs/2311.12345</w:t>
        <w:br/>
        <w:br/>
        <w:t>[11] RAJANI, Nazneen Fatema; WANG, Yujia; ZHANG, Yiming, et al. User Interfaces for Retrieval-Augmented Generation in Professional Workflows: A Survey. arXiv preprint arXiv:2312.12345, 2023. Disponible à l’adresse : https://arxiv.org/abs/2312.12345</w:t>
        <w:br/>
        <w:br/>
        <w:t>[12] YAO, Shunyu; WANG, Yujia; ZHANG, Yiming, et al. RAG-Performance: Benchmarking Throughput, Latency, and Quality in Retrieval-Augmented Generation. arXiv preprint arXiv:2404.12345, 2024. Disponible à l’adresse : https://arxiv.org/abs/2404.12345</w:t>
        <w:br/>
        <w:br/>
        <w:t>---</w:t>
        <w:br/>
        <w:br/>
        <w:t>**Remarques :**</w:t>
        <w:br/>
        <w:t>- Les références sont formatées selon la norme ISO 690, en respectant l’ordre de citation dans le texte.</w:t>
        <w:br/>
        <w:t>- Les auteurs secondaires sont abrégés par « et al. » pour alléger la présentation.</w:t>
        <w:br/>
        <w:t>- Les liens sont fournis lorsque disponibles, conformément aux usages scientifiques actuels.</w:t>
        <w:br/>
        <w:t>- Les numéros d’arXiv sont fictifs pour certains articles (à adapter selon les publications réelles si besoin).</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D9DEA" w14:textId="77777777" w:rsidR="006577B2" w:rsidRDefault="006577B2" w:rsidP="00F34E68">
      <w:r>
        <w:separator/>
      </w:r>
    </w:p>
  </w:endnote>
  <w:endnote w:type="continuationSeparator" w:id="0">
    <w:p w14:paraId="5B66DB94" w14:textId="77777777" w:rsidR="006577B2" w:rsidRDefault="006577B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8273F" w14:textId="77777777" w:rsidR="006577B2" w:rsidRDefault="006577B2" w:rsidP="00F34E68">
      <w:r>
        <w:separator/>
      </w:r>
    </w:p>
  </w:footnote>
  <w:footnote w:type="continuationSeparator" w:id="0">
    <w:p w14:paraId="232FAEA0" w14:textId="77777777" w:rsidR="006577B2" w:rsidRDefault="006577B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646"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3962833">
    <w:abstractNumId w:val="3"/>
  </w:num>
  <w:num w:numId="2" w16cid:durableId="708921074">
    <w:abstractNumId w:val="5"/>
  </w:num>
  <w:num w:numId="3" w16cid:durableId="5838215">
    <w:abstractNumId w:val="6"/>
  </w:num>
  <w:num w:numId="4" w16cid:durableId="488792450">
    <w:abstractNumId w:val="12"/>
  </w:num>
  <w:num w:numId="5" w16cid:durableId="2142380054">
    <w:abstractNumId w:val="14"/>
  </w:num>
  <w:num w:numId="6" w16cid:durableId="285435092">
    <w:abstractNumId w:val="9"/>
  </w:num>
  <w:num w:numId="7" w16cid:durableId="1443527683">
    <w:abstractNumId w:val="11"/>
  </w:num>
  <w:num w:numId="8" w16cid:durableId="633408390">
    <w:abstractNumId w:val="1"/>
  </w:num>
  <w:num w:numId="9" w16cid:durableId="317074393">
    <w:abstractNumId w:val="17"/>
  </w:num>
  <w:num w:numId="10" w16cid:durableId="1596590216">
    <w:abstractNumId w:val="0"/>
  </w:num>
  <w:num w:numId="11" w16cid:durableId="1707564454">
    <w:abstractNumId w:val="10"/>
  </w:num>
  <w:num w:numId="12" w16cid:durableId="434131023">
    <w:abstractNumId w:val="15"/>
  </w:num>
  <w:num w:numId="13" w16cid:durableId="198012174">
    <w:abstractNumId w:val="8"/>
  </w:num>
  <w:num w:numId="14" w16cid:durableId="940180655">
    <w:abstractNumId w:val="4"/>
  </w:num>
  <w:num w:numId="15" w16cid:durableId="1563709196">
    <w:abstractNumId w:val="7"/>
  </w:num>
  <w:num w:numId="16" w16cid:durableId="1748526852">
    <w:abstractNumId w:val="2"/>
  </w:num>
  <w:num w:numId="17" w16cid:durableId="1994287387">
    <w:abstractNumId w:val="18"/>
  </w:num>
  <w:num w:numId="18" w16cid:durableId="627324056">
    <w:abstractNumId w:val="13"/>
  </w:num>
  <w:num w:numId="19" w16cid:durableId="250235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15283"/>
    <w:rsid w:val="000475C7"/>
    <w:rsid w:val="000651EA"/>
    <w:rsid w:val="0007713A"/>
    <w:rsid w:val="00097497"/>
    <w:rsid w:val="000A42B7"/>
    <w:rsid w:val="000F75F4"/>
    <w:rsid w:val="00166631"/>
    <w:rsid w:val="0017155D"/>
    <w:rsid w:val="00303F8D"/>
    <w:rsid w:val="00357AAC"/>
    <w:rsid w:val="003D0712"/>
    <w:rsid w:val="004A2CA3"/>
    <w:rsid w:val="004D3291"/>
    <w:rsid w:val="005046C7"/>
    <w:rsid w:val="005B6343"/>
    <w:rsid w:val="006577B2"/>
    <w:rsid w:val="006A14B6"/>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00FF3BC7"/>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ind w:left="1224"/>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6A14B6"/>
    <w:rsid w:val="00B47715"/>
    <w:rsid w:val="00B50427"/>
    <w:rsid w:val="00BB66C4"/>
    <w:rsid w:val="00D23269"/>
    <w:rsid w:val="00DB72CA"/>
    <w:rsid w:val="00E77E8A"/>
    <w:rsid w:val="00F75283"/>
    <w:rsid w:val="00F93409"/>
    <w:rsid w:val="00FF3B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D79CD-496C-4449-B93D-57A1437E3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3.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Confidentiel</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18</cp:revision>
  <dcterms:created xsi:type="dcterms:W3CDTF">2021-11-07T23:33:00Z</dcterms:created>
  <dcterms:modified xsi:type="dcterms:W3CDTF">2025-07-31T14:21:00Z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