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08" w:rsidRDefault="00362208" w:rsidP="00362208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3F7827" w:rsidRPr="006A6A40" w:rsidTr="00E032E0">
        <w:trPr>
          <w:trHeight w:val="360"/>
        </w:trPr>
        <w:tc>
          <w:tcPr>
            <w:tcW w:w="1800" w:type="dxa"/>
            <w:vAlign w:val="center"/>
          </w:tcPr>
          <w:p w:rsidR="003F7827" w:rsidRPr="006A6A40" w:rsidRDefault="003F7827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3F7827" w:rsidRPr="006A6A40" w:rsidRDefault="00A62C8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MR. JINNAPPA CHICHWADE</w:t>
            </w:r>
          </w:p>
        </w:tc>
        <w:tc>
          <w:tcPr>
            <w:tcW w:w="144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3F7827" w:rsidRPr="006A6A40" w:rsidRDefault="00A62C8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84 Yrs./M</w:t>
            </w:r>
          </w:p>
        </w:tc>
      </w:tr>
      <w:tr w:rsidR="003F7827" w:rsidRPr="006A6A40" w:rsidTr="00E032E0">
        <w:trPr>
          <w:trHeight w:val="360"/>
        </w:trPr>
        <w:tc>
          <w:tcPr>
            <w:tcW w:w="180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3F7827" w:rsidRPr="006A6A40" w:rsidRDefault="00A62C8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3F7827" w:rsidRPr="006A6A40" w:rsidRDefault="003F782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3F7827" w:rsidRPr="006A6A40" w:rsidRDefault="00A62C83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3F7827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3F7827" w:rsidRPr="003F7827" w:rsidRDefault="003F7827" w:rsidP="00362208">
      <w:pPr>
        <w:jc w:val="center"/>
        <w:rPr>
          <w:rFonts w:ascii="Bookman Old Style" w:hAnsi="Bookman Old Style" w:cs="Bookman Old Style"/>
          <w:b/>
          <w:bCs/>
          <w:caps/>
          <w:sz w:val="2"/>
          <w:szCs w:val="2"/>
          <w:u w:val="single"/>
        </w:rPr>
      </w:pPr>
    </w:p>
    <w:p w:rsidR="00362208" w:rsidRPr="003F7827" w:rsidRDefault="00362208" w:rsidP="00362208">
      <w:pPr>
        <w:jc w:val="center"/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</w:pPr>
      <w:r w:rsidRPr="003F7827"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  <w:t>USG Neck</w:t>
      </w:r>
    </w:p>
    <w:p w:rsidR="00362208" w:rsidRPr="003F7827" w:rsidRDefault="00362208" w:rsidP="00B306B1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Right lobe of thyroid measures 4.2 x 1.7 x </w:t>
      </w:r>
      <w:smartTag w:uri="urn:schemas-microsoft-com:office:smarttags" w:element="metricconverter">
        <w:smartTagPr>
          <w:attr w:name="ProductID" w:val="4.8 cm"/>
        </w:smartTagPr>
        <w:r w:rsidRPr="003F7827">
          <w:rPr>
            <w:rFonts w:asciiTheme="majorHAnsi" w:hAnsiTheme="majorHAnsi" w:cs="Bookman Old Style"/>
            <w:b/>
            <w:bCs/>
            <w:sz w:val="24"/>
            <w:szCs w:val="24"/>
          </w:rPr>
          <w:t>4.8 cm</w:t>
        </w:r>
      </w:smartTag>
      <w:r w:rsidRPr="003F7827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362208" w:rsidRPr="003F7827" w:rsidRDefault="00362208" w:rsidP="00B306B1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Left lobe of thyroid measures 4.1 x 1.6 x </w:t>
      </w:r>
      <w:smartTag w:uri="urn:schemas-microsoft-com:office:smarttags" w:element="metricconverter">
        <w:smartTagPr>
          <w:attr w:name="ProductID" w:val="1.9 cm"/>
        </w:smartTagPr>
        <w:r w:rsidRPr="003F7827">
          <w:rPr>
            <w:rFonts w:asciiTheme="majorHAnsi" w:hAnsiTheme="majorHAnsi" w:cs="Bookman Old Style"/>
            <w:b/>
            <w:bCs/>
            <w:sz w:val="24"/>
            <w:szCs w:val="24"/>
          </w:rPr>
          <w:t>1.9 cm</w:t>
        </w:r>
      </w:smartTag>
      <w:r w:rsidRPr="003F7827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024AAA" w:rsidRPr="003F7827" w:rsidRDefault="00362208" w:rsidP="00024AAA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Isthmus measures </w:t>
      </w:r>
      <w:smartTag w:uri="urn:schemas-microsoft-com:office:smarttags" w:element="metricconverter">
        <w:smartTagPr>
          <w:attr w:name="ProductID" w:val="5.1 mm"/>
        </w:smartTagPr>
        <w:r w:rsidRPr="003F7827">
          <w:rPr>
            <w:rFonts w:asciiTheme="majorHAnsi" w:hAnsiTheme="majorHAnsi" w:cs="Bookman Old Style"/>
            <w:b/>
            <w:bCs/>
            <w:sz w:val="24"/>
            <w:szCs w:val="24"/>
          </w:rPr>
          <w:t>5.1 mm</w:t>
        </w:r>
      </w:smartTag>
      <w:r w:rsidRPr="003F7827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024AAA" w:rsidRPr="003F7827" w:rsidRDefault="00024AAA" w:rsidP="00024AAA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8"/>
          <w:szCs w:val="28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>There is diffuse enlargement of entire thyroid gland with heterogeneous echotexture having prominent echogenic septae. There is diffuse increase in internal vascularity of entire thyroid gland.</w:t>
      </w:r>
      <w:r w:rsidR="00C142FD"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 No focal lesion is appreciated.</w:t>
      </w:r>
    </w:p>
    <w:p w:rsidR="00024AAA" w:rsidRPr="003F7827" w:rsidRDefault="00024AAA" w:rsidP="00024AAA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>Few enlarged lymph nodes are seen at level VI, just below thyroid gland.</w:t>
      </w:r>
      <w:r w:rsidR="00C142FD"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024AAA" w:rsidRPr="003F7827" w:rsidRDefault="00024AAA" w:rsidP="00024AAA">
      <w:pPr>
        <w:spacing w:after="0" w:line="360" w:lineRule="auto"/>
        <w:ind w:left="720" w:right="194"/>
        <w:rPr>
          <w:rFonts w:asciiTheme="majorHAnsi" w:hAnsiTheme="majorHAnsi" w:cs="Bookman Old Style"/>
          <w:b/>
          <w:bCs/>
          <w:sz w:val="6"/>
          <w:szCs w:val="6"/>
        </w:rPr>
      </w:pPr>
    </w:p>
    <w:p w:rsidR="00024AAA" w:rsidRPr="003F7827" w:rsidRDefault="00024AAA" w:rsidP="00024AAA">
      <w:pPr>
        <w:numPr>
          <w:ilvl w:val="0"/>
          <w:numId w:val="5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sz w:val="24"/>
          <w:szCs w:val="24"/>
        </w:rPr>
        <w:t>No evidence of cervical lymphadenopathy at other cervical levels.</w:t>
      </w:r>
    </w:p>
    <w:p w:rsidR="00362208" w:rsidRPr="003F7827" w:rsidRDefault="00362208" w:rsidP="00362208">
      <w:pPr>
        <w:spacing w:after="0" w:line="240" w:lineRule="auto"/>
        <w:ind w:right="194"/>
        <w:rPr>
          <w:rFonts w:asciiTheme="majorHAnsi" w:hAnsiTheme="majorHAnsi" w:cs="Bookman Old Style"/>
          <w:sz w:val="13"/>
          <w:szCs w:val="13"/>
        </w:rPr>
      </w:pPr>
    </w:p>
    <w:p w:rsidR="00362208" w:rsidRPr="003F7827" w:rsidRDefault="00362208" w:rsidP="00B306B1">
      <w:pPr>
        <w:numPr>
          <w:ilvl w:val="0"/>
          <w:numId w:val="5"/>
        </w:numPr>
        <w:spacing w:after="0" w:line="240" w:lineRule="auto"/>
        <w:rPr>
          <w:rFonts w:asciiTheme="majorHAnsi" w:hAnsiTheme="majorHAnsi" w:cs="Bookman Old Style"/>
          <w:sz w:val="24"/>
          <w:szCs w:val="24"/>
        </w:rPr>
      </w:pPr>
      <w:r w:rsidRPr="003F7827">
        <w:rPr>
          <w:rFonts w:asciiTheme="majorHAnsi" w:hAnsiTheme="majorHAnsi" w:cs="Bookman Old Style"/>
          <w:sz w:val="24"/>
          <w:szCs w:val="24"/>
        </w:rPr>
        <w:t>Major neck vessels are normal.</w:t>
      </w:r>
    </w:p>
    <w:p w:rsidR="00362208" w:rsidRPr="003F7827" w:rsidRDefault="00362208" w:rsidP="00362208">
      <w:pPr>
        <w:pStyle w:val="ListParagraph"/>
        <w:rPr>
          <w:rFonts w:asciiTheme="majorHAnsi" w:hAnsiTheme="majorHAnsi" w:cs="Bookman Old Style"/>
          <w:sz w:val="5"/>
          <w:szCs w:val="5"/>
        </w:rPr>
      </w:pPr>
    </w:p>
    <w:p w:rsidR="00362208" w:rsidRPr="003F7827" w:rsidRDefault="00362208" w:rsidP="00B306B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Bookman Old Style"/>
          <w:sz w:val="24"/>
          <w:szCs w:val="24"/>
        </w:rPr>
      </w:pPr>
      <w:r w:rsidRPr="003F7827">
        <w:rPr>
          <w:rFonts w:asciiTheme="majorHAnsi" w:hAnsiTheme="majorHAnsi" w:cs="Bookman Old Style"/>
          <w:sz w:val="24"/>
          <w:szCs w:val="24"/>
        </w:rPr>
        <w:t>Bilateral submandibular &amp; parotid gland appears normal</w:t>
      </w:r>
    </w:p>
    <w:p w:rsidR="00362208" w:rsidRPr="003F7827" w:rsidRDefault="00362208" w:rsidP="00362208">
      <w:pPr>
        <w:spacing w:after="0" w:line="240" w:lineRule="auto"/>
        <w:rPr>
          <w:rFonts w:asciiTheme="majorHAnsi" w:hAnsiTheme="majorHAnsi" w:cs="Bookman Old Style"/>
          <w:sz w:val="24"/>
          <w:szCs w:val="24"/>
        </w:rPr>
      </w:pPr>
    </w:p>
    <w:p w:rsidR="00362208" w:rsidRPr="003F7827" w:rsidRDefault="00362208" w:rsidP="00B306B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Bookman Old Style"/>
          <w:sz w:val="24"/>
          <w:szCs w:val="24"/>
        </w:rPr>
      </w:pPr>
      <w:r w:rsidRPr="003F7827">
        <w:rPr>
          <w:rFonts w:asciiTheme="majorHAnsi" w:hAnsiTheme="majorHAnsi" w:cs="Bookman Old Style"/>
          <w:sz w:val="24"/>
          <w:szCs w:val="24"/>
        </w:rPr>
        <w:t>No evidence any mass lesion /collection seen in the salivary gland.</w:t>
      </w:r>
    </w:p>
    <w:p w:rsidR="00362208" w:rsidRPr="003F7827" w:rsidRDefault="00362208" w:rsidP="00362208">
      <w:pPr>
        <w:pStyle w:val="ListParagraph"/>
        <w:rPr>
          <w:rFonts w:asciiTheme="majorHAnsi" w:hAnsiTheme="majorHAnsi" w:cs="Bookman Old Style"/>
          <w:sz w:val="14"/>
          <w:szCs w:val="14"/>
        </w:rPr>
      </w:pPr>
    </w:p>
    <w:p w:rsidR="00362208" w:rsidRPr="003F7827" w:rsidRDefault="00362208" w:rsidP="00362208">
      <w:pPr>
        <w:rPr>
          <w:rFonts w:asciiTheme="majorHAnsi" w:hAnsiTheme="majorHAnsi" w:cs="Bookman Old Style"/>
          <w:b/>
          <w:bCs/>
          <w:sz w:val="28"/>
          <w:szCs w:val="28"/>
        </w:rPr>
      </w:pPr>
      <w:r w:rsidRPr="003F7827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3F7827">
        <w:rPr>
          <w:rFonts w:asciiTheme="majorHAnsi" w:hAnsiTheme="majorHAnsi" w:cs="Bookman Old Style"/>
          <w:b/>
          <w:bCs/>
          <w:sz w:val="28"/>
          <w:szCs w:val="28"/>
        </w:rPr>
        <w:t xml:space="preserve"> –</w:t>
      </w:r>
    </w:p>
    <w:p w:rsidR="00024AAA" w:rsidRPr="003F7827" w:rsidRDefault="00024AAA" w:rsidP="00024AAA">
      <w:pPr>
        <w:numPr>
          <w:ilvl w:val="0"/>
          <w:numId w:val="7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>Diffuse enlargement of entire thyroid gland with heterogeneous echotexture having prominent echogenic septae and showing diffuse increase in internal vascularity ………</w:t>
      </w:r>
      <w:r w:rsidRPr="003F7827">
        <w:rPr>
          <w:rFonts w:asciiTheme="majorHAnsi" w:hAnsiTheme="majorHAnsi" w:cs="Bookman Old Style"/>
          <w:b/>
          <w:bCs/>
          <w:sz w:val="24"/>
          <w:szCs w:val="24"/>
          <w:u w:val="single"/>
        </w:rPr>
        <w:t>Acute stage of Hashimoto’s thyroiditis.</w:t>
      </w:r>
    </w:p>
    <w:p w:rsidR="00362208" w:rsidRPr="003F7827" w:rsidRDefault="00362208" w:rsidP="00362208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 xml:space="preserve">Suggest follow up and correlate with thyroid hormonal assay. </w:t>
      </w:r>
    </w:p>
    <w:p w:rsidR="00362208" w:rsidRPr="003F7827" w:rsidRDefault="00362208" w:rsidP="00362208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3F7827">
        <w:rPr>
          <w:rFonts w:asciiTheme="majorHAnsi" w:hAnsiTheme="majorHAnsi" w:cs="Bookman Old Style"/>
          <w:b/>
          <w:bCs/>
          <w:sz w:val="24"/>
          <w:szCs w:val="24"/>
        </w:rPr>
        <w:t>Correlate clinically and advice FNAC for further evaluation.</w:t>
      </w:r>
    </w:p>
    <w:p w:rsidR="00B55E47" w:rsidRPr="00FB38E5" w:rsidRDefault="00B55E47" w:rsidP="00B55E47">
      <w:pPr>
        <w:rPr>
          <w:rFonts w:asciiTheme="majorHAnsi" w:hAnsiTheme="majorHAnsi"/>
          <w:b/>
          <w:i/>
          <w:sz w:val="24"/>
        </w:rPr>
      </w:pPr>
      <w:r w:rsidRPr="00FB38E5">
        <w:rPr>
          <w:rFonts w:asciiTheme="majorHAnsi" w:hAnsiTheme="majorHAnsi"/>
          <w:b/>
          <w:i/>
          <w:sz w:val="24"/>
        </w:rPr>
        <w:t xml:space="preserve">         (</w:t>
      </w:r>
      <w:r w:rsidRPr="00FB38E5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FB38E5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B38E5">
        <w:rPr>
          <w:rFonts w:asciiTheme="majorHAnsi" w:hAnsiTheme="majorHAnsi"/>
          <w:b/>
          <w:i/>
          <w:sz w:val="24"/>
        </w:rPr>
        <w:t>)</w:t>
      </w:r>
    </w:p>
    <w:p w:rsidR="00362208" w:rsidRPr="003F7827" w:rsidRDefault="00362208" w:rsidP="00362208">
      <w:pPr>
        <w:rPr>
          <w:rFonts w:asciiTheme="majorHAnsi" w:hAnsiTheme="majorHAnsi" w:cs="Bookman Old Style"/>
          <w:b/>
          <w:bCs/>
          <w:sz w:val="24"/>
          <w:szCs w:val="24"/>
        </w:rPr>
      </w:pPr>
    </w:p>
    <w:p w:rsidR="00095699" w:rsidRPr="003F7827" w:rsidRDefault="00095699" w:rsidP="00095699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3F7827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095699" w:rsidRPr="003F7827" w:rsidRDefault="00095699" w:rsidP="00095699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3F7827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3F7827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095699" w:rsidRPr="003F7827" w:rsidRDefault="00095699" w:rsidP="00095699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3F7827">
        <w:rPr>
          <w:rFonts w:asciiTheme="majorHAnsi" w:hAnsiTheme="majorHAnsi"/>
          <w:b/>
          <w:sz w:val="28"/>
          <w:szCs w:val="28"/>
        </w:rPr>
        <w:t>(CONSULTANT RADIOLOGIST)</w:t>
      </w:r>
    </w:p>
    <w:p w:rsidR="003850F3" w:rsidRPr="003F7827" w:rsidRDefault="003850F3">
      <w:pPr>
        <w:rPr>
          <w:rFonts w:asciiTheme="majorHAnsi" w:hAnsiTheme="majorHAnsi"/>
        </w:rPr>
      </w:pPr>
    </w:p>
    <w:sectPr w:rsidR="003850F3" w:rsidRPr="003F7827" w:rsidSect="00947D4A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5F8B"/>
    <w:multiLevelType w:val="hybridMultilevel"/>
    <w:tmpl w:val="C80CF7D4"/>
    <w:lvl w:ilvl="0" w:tplc="F6F8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431DA"/>
    <w:multiLevelType w:val="hybridMultilevel"/>
    <w:tmpl w:val="781656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06C5D"/>
    <w:multiLevelType w:val="hybridMultilevel"/>
    <w:tmpl w:val="D348E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92FD9"/>
    <w:multiLevelType w:val="hybridMultilevel"/>
    <w:tmpl w:val="8A84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91561D"/>
    <w:multiLevelType w:val="hybridMultilevel"/>
    <w:tmpl w:val="D25E1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2208"/>
    <w:rsid w:val="00024AAA"/>
    <w:rsid w:val="00095699"/>
    <w:rsid w:val="00133078"/>
    <w:rsid w:val="001C7ED0"/>
    <w:rsid w:val="0028230F"/>
    <w:rsid w:val="00362208"/>
    <w:rsid w:val="003850F3"/>
    <w:rsid w:val="003F7827"/>
    <w:rsid w:val="00542B9C"/>
    <w:rsid w:val="0060663E"/>
    <w:rsid w:val="00695EBD"/>
    <w:rsid w:val="006A3862"/>
    <w:rsid w:val="007C1A6B"/>
    <w:rsid w:val="008044A9"/>
    <w:rsid w:val="00915B7B"/>
    <w:rsid w:val="009C3BDD"/>
    <w:rsid w:val="00A62C83"/>
    <w:rsid w:val="00B306B1"/>
    <w:rsid w:val="00B55E47"/>
    <w:rsid w:val="00C142FD"/>
    <w:rsid w:val="00C65F55"/>
    <w:rsid w:val="00FB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2208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362208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095699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2019-02-06T11:17:00Z</dcterms:created>
  <dcterms:modified xsi:type="dcterms:W3CDTF">2019-10-05T08:10:00Z</dcterms:modified>
</cp:coreProperties>
</file>