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1 AI Paradigms and Scholarship Screening</w:t>
      </w:r>
    </w:p>
    <w:p>
      <w:r>
        <w:t>Artificial Intelligence Lab</w:t>
        <w:br/>
        <w:t>Saad Ahmed  |  Roll No 009  |  BSAI</w:t>
      </w:r>
    </w:p>
    <w:p>
      <w:r>
        <w:t>I compared explicit scholarship rules with a probability threshold, extended the rules with two conditions, and checked the resulting decisions. The comparison shows different behavior; it does not measure prediction accuracy.</w:t>
      </w:r>
    </w:p>
    <w:p>
      <w:pPr>
        <w:pStyle w:val="Heading1"/>
      </w:pPr>
      <w:r>
        <w:t>Problem and assumptions</w:t>
      </w:r>
    </w:p>
    <w:p>
      <w:r>
        <w:t>Review means sending an application to a human reviewer, not awarding a scholarship. Scores and probabilities are invented demonstration inputs. A score of 70 and document completeness are retained from the manual. Attendance of at least 75 percent and disciplinary clearance are the two additional conditions. All thresholds are synthetic lab assumptions, not university policy. Inputs are assumed to have valid numeric and Boolean types.</w:t>
      </w:r>
    </w:p>
    <w:p>
      <w:pPr>
        <w:pStyle w:val="Heading1"/>
      </w:pPr>
      <w:r>
        <w:t>Task 1 AI timeline</w:t>
      </w:r>
    </w:p>
    <w:tbl>
      <w:tblPr>
        <w:tblW w:type="auto" w:w="0"/>
        <w:jc w:val="center"/>
        <w:tblLayout w:type="fixed"/>
        <w:tblLook w:firstColumn="1" w:firstRow="1" w:lastColumn="0" w:lastRow="0" w:noHBand="0" w:noVBand="1" w:val="04A0"/>
      </w:tblPr>
      <w:tblGrid>
        <w:gridCol w:w="1584"/>
        <w:gridCol w:w="7344"/>
        <w:gridCol w:w="1008"/>
      </w:tblGrid>
      <w:tr>
        <w:trPr>
          <w:cantSplit/>
          <w:tblHeader/>
        </w:trPr>
        <w:tc>
          <w:tcPr>
            <w:tcW w:type="dxa" w:w="158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Year or period</w:t>
            </w:r>
          </w:p>
        </w:tc>
        <w:tc>
          <w:tcPr>
            <w:tcW w:type="dxa" w:w="734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Event and significance</w:t>
            </w:r>
          </w:p>
        </w:tc>
        <w:tc>
          <w:tcPr>
            <w:tcW w:type="dxa" w:w="1008"/>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Source</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1950</w:t>
            </w:r>
          </w:p>
        </w:tc>
        <w:tc>
          <w:tcPr>
            <w:tcW w:type="dxa" w:w="73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t>Turing proposed the imitation game, making conversational behavior a testable subject of discussion.</w:t>
            </w:r>
          </w:p>
        </w:tc>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r>
              <w:t>[1]</w:t>
            </w:r>
          </w:p>
        </w:tc>
      </w:tr>
      <w:tr>
        <w:trPr>
          <w:cantSplit/>
        </w:trPr>
        <w:tc>
          <w:tcPr>
            <w:tcW w:type="dxa" w:w="158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1956</w:t>
            </w:r>
          </w:p>
        </w:tc>
        <w:tc>
          <w:tcPr>
            <w:tcW w:type="dxa" w:w="734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The Dartmouth summer project helped establish AI as a named research field, following the 1955 proposal.</w:t>
            </w:r>
          </w:p>
        </w:tc>
        <w:tc>
          <w:tcPr>
            <w:tcW w:type="dxa" w:w="100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r>
              <w:t>[2]</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1970s to early 1980s</w:t>
            </w:r>
          </w:p>
        </w:tc>
        <w:tc>
          <w:tcPr>
            <w:tcW w:type="dxa" w:w="73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An AI winter followed reduced confidence and support; the UK Lighthill controversy illustrates why ambitious claims need evidence.</w:t>
            </w:r>
          </w:p>
        </w:tc>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r>
              <w:t>[3]</w:t>
            </w:r>
          </w:p>
        </w:tc>
      </w:tr>
      <w:tr>
        <w:trPr>
          <w:cantSplit/>
        </w:trPr>
        <w:tc>
          <w:tcPr>
            <w:tcW w:type="dxa" w:w="158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1997</w:t>
            </w:r>
          </w:p>
        </w:tc>
        <w:tc>
          <w:tcPr>
            <w:tcW w:type="dxa" w:w="734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IBM Deep Blue defeated world champion Garry Kasparov in a match, demonstrating strong performance in a narrowly defined search task.</w:t>
            </w:r>
          </w:p>
        </w:tc>
        <w:tc>
          <w:tcPr>
            <w:tcW w:type="dxa" w:w="100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r>
              <w:t>[4]</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2012</w:t>
            </w:r>
          </w:p>
        </w:tc>
        <w:tc>
          <w:tcPr>
            <w:tcW w:type="dxa" w:w="73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AlexNet combined a large labelled image dataset with GPU training, showing the practical impact of data, compute and learning algorithms together.</w:t>
            </w:r>
          </w:p>
        </w:tc>
        <w:tc>
          <w:tcPr>
            <w:tcW w:type="dxa" w:w="100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r>
              <w:t>[5]</w:t>
            </w:r>
          </w:p>
        </w:tc>
      </w:tr>
    </w:tbl>
    <w:p>
      <w:pPr>
        <w:spacing w:after="0"/>
      </w:pPr>
    </w:p>
    <w:p>
      <w:r>
        <w:t>These milestones connect explicit reasoning and search with later data-driven learning. More compute can process more examples, but it cannot decide whether a scholarship objective is fair or whether the recorded documents are correct.</w:t>
      </w:r>
    </w:p>
    <w:p>
      <w:pPr>
        <w:pStyle w:val="Heading1"/>
      </w:pPr>
      <w:r>
        <w:t>Files and execution</w:t>
      </w:r>
    </w:p>
    <w:p>
      <w:r>
        <w:t>Run python Lab1.py from the Lab-1 folder. The file uses Python 3 and requires no extra packages. The actual results are recorded in this report. The program includes the required comparison functions.</w:t>
      </w:r>
    </w:p>
    <w:p>
      <w:r>
        <w:br w:type="page"/>
      </w:r>
    </w:p>
    <w:p>
      <w:pPr>
        <w:pStyle w:val="Heading1"/>
      </w:pPr>
      <w:r>
        <w:t>Baseline implementation</w:t>
      </w:r>
    </w:p>
    <w:p>
      <w:r>
        <w:t>In Lab1.py, the symbolic function(score, complete) uses an AND condition: the documents must be complete and score must be at least 70. threshold(probability) checks only whether the supplied probability is at least 0.70. The loop runs both functions on the same application record and prints whether the flags differ.</w:t>
      </w:r>
    </w:p>
    <w:tbl>
      <w:tblPr>
        <w:tblW w:type="auto" w:w="0"/>
        <w:jc w:val="center"/>
        <w:tblLayout w:type="fixed"/>
        <w:tblLook w:firstColumn="1" w:firstRow="1" w:lastColumn="0" w:lastRow="0" w:noHBand="0" w:noVBand="1" w:val="04A0"/>
      </w:tblPr>
      <w:tblGrid>
        <w:gridCol w:w="2160"/>
        <w:gridCol w:w="3168"/>
        <w:gridCol w:w="1512"/>
        <w:gridCol w:w="1584"/>
        <w:gridCol w:w="1512"/>
      </w:tblGrid>
      <w:tr>
        <w:trPr>
          <w:cantSplit/>
          <w:tblHeader/>
        </w:trPr>
        <w:tc>
          <w:tcPr>
            <w:tcW w:type="dxa" w:w="2160"/>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Case</w:t>
            </w:r>
          </w:p>
        </w:tc>
        <w:tc>
          <w:tcPr>
            <w:tcW w:type="dxa" w:w="3168"/>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Score / complete / probability</w:t>
            </w:r>
          </w:p>
        </w:tc>
        <w:tc>
          <w:tcPr>
            <w:tcW w:type="dxa" w:w="1512"/>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Symbolic</w:t>
            </w:r>
          </w:p>
        </w:tc>
        <w:tc>
          <w:tcPr>
            <w:tcW w:type="dxa" w:w="158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Threshold</w:t>
            </w:r>
          </w:p>
        </w:tc>
        <w:tc>
          <w:tcPr>
            <w:tcW w:type="dxa" w:w="1512"/>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Different</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complete_high</w:t>
            </w:r>
          </w:p>
        </w:tc>
        <w:tc>
          <w:tcPr>
            <w:tcW w:type="dxa" w:w="316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82 / True / 0.81</w:t>
            </w:r>
          </w:p>
        </w:tc>
        <w:tc>
          <w:tcPr>
            <w:tcW w:type="dxa" w:w="151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Review</w:t>
            </w:r>
          </w:p>
        </w:tc>
        <w:tc>
          <w:tcPr>
            <w:tcW w:type="dxa" w:w="15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Review</w:t>
            </w:r>
          </w:p>
        </w:tc>
        <w:tc>
          <w:tcPr>
            <w:tcW w:type="dxa" w:w="151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False</w:t>
            </w:r>
          </w:p>
        </w:tc>
      </w:tr>
      <w:tr>
        <w:trPr>
          <w:cantSplit/>
        </w:trPr>
        <w:tc>
          <w:tcPr>
            <w:tcW w:type="dxa" w:w="216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complete_low</w:t>
            </w:r>
          </w:p>
        </w:tc>
        <w:tc>
          <w:tcPr>
            <w:tcW w:type="dxa" w:w="316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68 / True / 0.74</w:t>
            </w:r>
          </w:p>
        </w:tc>
        <w:tc>
          <w:tcPr>
            <w:tcW w:type="dxa" w:w="151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Hold</w:t>
            </w:r>
          </w:p>
        </w:tc>
        <w:tc>
          <w:tcPr>
            <w:tcW w:type="dxa" w:w="158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Review</w:t>
            </w:r>
          </w:p>
        </w:tc>
        <w:tc>
          <w:tcPr>
            <w:tcW w:type="dxa" w:w="151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True</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incomplete_high</w:t>
            </w:r>
          </w:p>
        </w:tc>
        <w:tc>
          <w:tcPr>
            <w:tcW w:type="dxa" w:w="3168"/>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91 / False / 0.88</w:t>
            </w:r>
          </w:p>
        </w:tc>
        <w:tc>
          <w:tcPr>
            <w:tcW w:type="dxa" w:w="151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Hold</w:t>
            </w:r>
          </w:p>
        </w:tc>
        <w:tc>
          <w:tcPr>
            <w:tcW w:type="dxa" w:w="158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Review</w:t>
            </w:r>
          </w:p>
        </w:tc>
        <w:tc>
          <w:tcPr>
            <w:tcW w:type="dxa" w:w="1512"/>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True</w:t>
            </w:r>
          </w:p>
        </w:tc>
      </w:tr>
      <w:tr>
        <w:trPr>
          <w:cantSplit/>
        </w:trPr>
        <w:tc>
          <w:tcPr>
            <w:tcW w:type="dxa" w:w="2160"/>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boundary</w:t>
            </w:r>
          </w:p>
        </w:tc>
        <w:tc>
          <w:tcPr>
            <w:tcW w:type="dxa" w:w="3168"/>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70 / True / 0.70</w:t>
            </w:r>
          </w:p>
        </w:tc>
        <w:tc>
          <w:tcPr>
            <w:tcW w:type="dxa" w:w="151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Review</w:t>
            </w:r>
          </w:p>
        </w:tc>
        <w:tc>
          <w:tcPr>
            <w:tcW w:type="dxa" w:w="158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Review</w:t>
            </w:r>
          </w:p>
        </w:tc>
        <w:tc>
          <w:tcPr>
            <w:tcW w:type="dxa" w:w="1512"/>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False</w:t>
            </w:r>
          </w:p>
        </w:tc>
      </w:tr>
    </w:tbl>
    <w:p>
      <w:pPr>
        <w:spacing w:after="0"/>
      </w:pPr>
    </w:p>
    <w:p>
      <w:r>
        <w:t>The low-score record fails the explicit score rule but exceeds the supplied probability threshold. The incomplete record fails document completeness even with a high score. Neither disagreement proves one approach more accurate: no ground-truth outcomes or trained model exist in this experiment.</w:t>
      </w:r>
    </w:p>
    <w:p>
      <w:pPr>
        <w:pStyle w:val="Heading1"/>
      </w:pPr>
      <w:r>
        <w:t>Task 2 Extended rule implementation</w:t>
      </w:r>
    </w:p>
    <w:p>
      <w:r>
        <w:t>In Lab1.py, evaluate() builds a list named failed. Each of the four independent if statements appends a clear reason when its condition fails. If the list is not empty, the function returns Hold and the combined reasons; otherwise it returns Review. Checking every condition makes multiple failures visible instead of hiding them behind the first failed branch.</w:t>
      </w:r>
    </w:p>
    <w:p>
      <w:r>
        <w:t>Input order below is score, documents_complete, attendance_percent, disciplinary_clear. The program prints the full input, expected result, actual result and reason, then asserts that actual equals expected.</w:t>
      </w:r>
    </w:p>
    <w:tbl>
      <w:tblPr>
        <w:tblW w:type="auto" w:w="0"/>
        <w:jc w:val="center"/>
        <w:tblLayout w:type="fixed"/>
        <w:tblLook w:firstColumn="1" w:firstRow="1" w:lastColumn="0" w:lastRow="0" w:noHBand="0" w:noVBand="1" w:val="04A0"/>
      </w:tblPr>
      <w:tblGrid>
        <w:gridCol w:w="3744"/>
        <w:gridCol w:w="1224"/>
        <w:gridCol w:w="1224"/>
        <w:gridCol w:w="3744"/>
      </w:tblGrid>
      <w:tr>
        <w:trPr>
          <w:cantSplit/>
          <w:tblHeader/>
        </w:trPr>
        <w:tc>
          <w:tcPr>
            <w:tcW w:type="dxa" w:w="374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Core case and input</w:t>
            </w:r>
          </w:p>
        </w:tc>
        <w:tc>
          <w:tcPr>
            <w:tcW w:type="dxa" w:w="122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Expected</w:t>
            </w:r>
          </w:p>
        </w:tc>
        <w:tc>
          <w:tcPr>
            <w:tcW w:type="dxa" w:w="122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Actual</w:t>
            </w:r>
          </w:p>
        </w:tc>
        <w:tc>
          <w:tcPr>
            <w:tcW w:type="dxa" w:w="3744"/>
            <w:vAlign w:val="center"/>
            <w:tcBorders>
              <w:top w:val="single" w:sz="4" w:color="D9D9D9"/>
              <w:left w:val="single" w:sz="4" w:color="D9D9D9"/>
              <w:bottom w:val="single" w:sz="4" w:color="D9D9D9"/>
              <w:right w:val="single" w:sz="4" w:color="D9D9D9"/>
            </w:tcBorders>
            <w:shd w:fill="DCE6F1"/>
            <w:tcMar>
              <w:top w:w="55" w:type="dxa"/>
              <w:left w:w="55" w:type="dxa"/>
              <w:bottom w:w="55" w:type="dxa"/>
              <w:right w:w="55" w:type="dxa"/>
            </w:tcMar>
          </w:tcPr>
          <w:p>
            <w:pPr>
              <w:spacing w:after="20" w:before="20"/>
            </w:pPr>
            <w:r>
              <w:rPr>
                <w:b/>
                <w:sz w:val="20"/>
              </w:rPr>
              <w:t>Reason</w:t>
            </w:r>
          </w:p>
        </w:tc>
      </w:tr>
      <w:tr>
        <w:trPr>
          <w:cantSplit/>
        </w:trPr>
        <w:tc>
          <w:tcPr>
            <w:tcW w:type="dxa" w:w="37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Pass: (82, True, 90, True)</w:t>
            </w:r>
          </w:p>
        </w:tc>
        <w:tc>
          <w:tcPr>
            <w:tcW w:type="dxa" w:w="122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Review</w:t>
            </w:r>
          </w:p>
        </w:tc>
        <w:tc>
          <w:tcPr>
            <w:tcW w:type="dxa" w:w="122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Review</w:t>
            </w:r>
          </w:p>
        </w:tc>
        <w:tc>
          <w:tcPr>
            <w:tcW w:type="dxa" w:w="37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All four conditions satisfied</w:t>
            </w:r>
          </w:p>
        </w:tc>
      </w:tr>
      <w:tr>
        <w:trPr>
          <w:cantSplit/>
        </w:trPr>
        <w:tc>
          <w:tcPr>
            <w:tcW w:type="dxa" w:w="374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Attendance failure: (82, True, 74, True)</w:t>
            </w:r>
          </w:p>
        </w:tc>
        <w:tc>
          <w:tcPr>
            <w:tcW w:type="dxa" w:w="122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Hold</w:t>
            </w:r>
          </w:p>
        </w:tc>
        <w:tc>
          <w:tcPr>
            <w:tcW w:type="dxa" w:w="122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Hold</w:t>
            </w:r>
          </w:p>
        </w:tc>
        <w:tc>
          <w:tcPr>
            <w:tcW w:type="dxa" w:w="374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Attendance below 75 percent</w:t>
            </w:r>
          </w:p>
        </w:tc>
      </w:tr>
      <w:tr>
        <w:trPr>
          <w:cantSplit/>
        </w:trPr>
        <w:tc>
          <w:tcPr>
            <w:tcW w:type="dxa" w:w="37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Clearance failure: (82, True, 90, False)</w:t>
            </w:r>
          </w:p>
        </w:tc>
        <w:tc>
          <w:tcPr>
            <w:tcW w:type="dxa" w:w="122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Hold</w:t>
            </w:r>
          </w:p>
        </w:tc>
        <w:tc>
          <w:tcPr>
            <w:tcW w:type="dxa" w:w="122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Hold</w:t>
            </w:r>
          </w:p>
        </w:tc>
        <w:tc>
          <w:tcPr>
            <w:tcW w:type="dxa" w:w="3744"/>
            <w:vAlign w:val="center"/>
            <w:tcBorders>
              <w:top w:val="single" w:sz="4" w:color="D9D9D9"/>
              <w:left w:val="single" w:sz="4" w:color="D9D9D9"/>
              <w:bottom w:val="single" w:sz="4" w:color="D9D9D9"/>
              <w:right w:val="single" w:sz="4" w:color="D9D9D9"/>
            </w:tcBorders>
            <w:shd w:fill="FFFFFF"/>
            <w:tcMar>
              <w:top w:w="55" w:type="dxa"/>
              <w:left w:w="55" w:type="dxa"/>
              <w:bottom w:w="55" w:type="dxa"/>
              <w:right w:w="55" w:type="dxa"/>
            </w:tcMar>
          </w:tcPr>
          <w:p>
            <w:pPr>
              <w:spacing w:after="20" w:before="20"/>
            </w:pPr>
            <w:r>
              <w:rPr>
                <w:b w:val="0"/>
                <w:sz w:val="20"/>
              </w:rPr>
              <w:t>Disciplinary clearance missing</w:t>
            </w:r>
          </w:p>
        </w:tc>
      </w:tr>
      <w:tr>
        <w:trPr>
          <w:cantSplit/>
        </w:trPr>
        <w:tc>
          <w:tcPr>
            <w:tcW w:type="dxa" w:w="374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Boundary: (70, True, 75, True)</w:t>
            </w:r>
          </w:p>
        </w:tc>
        <w:tc>
          <w:tcPr>
            <w:tcW w:type="dxa" w:w="122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Review</w:t>
            </w:r>
          </w:p>
        </w:tc>
        <w:tc>
          <w:tcPr>
            <w:tcW w:type="dxa" w:w="122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Review</w:t>
            </w:r>
          </w:p>
        </w:tc>
        <w:tc>
          <w:tcPr>
            <w:tcW w:type="dxa" w:w="3744"/>
            <w:vAlign w:val="center"/>
            <w:tcBorders>
              <w:top w:val="single" w:sz="4" w:color="D9D9D9"/>
              <w:left w:val="single" w:sz="4" w:color="D9D9D9"/>
              <w:bottom w:val="single" w:sz="4" w:color="D9D9D9"/>
              <w:right w:val="single" w:sz="4" w:color="D9D9D9"/>
            </w:tcBorders>
            <w:shd w:fill="F5F7FA"/>
            <w:tcMar>
              <w:top w:w="55" w:type="dxa"/>
              <w:left w:w="55" w:type="dxa"/>
              <w:bottom w:w="55" w:type="dxa"/>
              <w:right w:w="55" w:type="dxa"/>
            </w:tcMar>
          </w:tcPr>
          <w:p>
            <w:pPr>
              <w:spacing w:after="20" w:before="20"/>
            </w:pPr>
            <w:r>
              <w:rPr>
                <w:b w:val="0"/>
                <w:sz w:val="20"/>
              </w:rPr>
              <w:t>All four conditions satisfied</w:t>
            </w:r>
          </w:p>
        </w:tc>
      </w:tr>
    </w:tbl>
    <w:p>
      <w:pPr>
        <w:spacing w:after="0"/>
      </w:pPr>
    </w:p>
    <w:p>
      <w:r>
        <w:t>Exactly four core cases are used. The first establishes a passing baseline. Each of the next two changes only one new condition, isolating its effect. The last verifies that equality is accepted at both numeric thresholds. The captured execution confirms all four pass.</w:t>
      </w:r>
    </w:p>
    <w:p>
      <w:r>
        <w:br w:type="page"/>
      </w:r>
    </w:p>
    <w:p>
      <w:pPr>
        <w:pStyle w:val="Heading1"/>
      </w:pPr>
      <w:r>
        <w:t>Edge cases and failure analysis</w:t>
      </w:r>
    </w:p>
    <w:p>
      <w:r>
        <w:t>In the baseline boundary experiment, changing only score from 70 to 69 while keeping probability 0.70 produces Hold / Review. Changing only probability to 0.69 while keeping score 70 produces Review / Hold. This isolates the two thresholds. For input (91, False, 0.88), the threshold branch returns Review despite missing documents because it never inspects completeness. A possible improvement is a documented completeness gate before any statistical score is used; that would deliberately change the policy.</w:t>
      </w:r>
    </w:p>
    <w:p>
      <w:pPr>
        <w:pStyle w:val="Heading1"/>
      </w:pPr>
      <w:r>
        <w:t>Task 3 Conversation and reliable performance</w:t>
      </w:r>
    </w:p>
    <w:p>
      <w:r>
        <w:t>Turing’s 1950 paper frames the imitation game around an interrogator judging written responses. A conversational test observes whether answers appear human-like under those conditions. It does not by itself establish reliable scholarship decisions, learning across every domain, or general intelligence. This is a task-evaluation distinction, not a claim that language ability is irrelevant.</w:t>
      </w:r>
      <w:r>
        <w:rPr/>
        <w:t xml:space="preserve"> [1]</w:t>
      </w:r>
    </w:p>
    <w:p>
      <w:r>
        <w:t>For example, an assistant might say, “The score is 91, so the application satisfies the screening criteria.” That explanation sounds fluent but is incorrect when documents_complete is False. The explicit policy requires both conditions. A convincing explanation is therefore insufficient evidence that the policy was followed.</w:t>
      </w:r>
    </w:p>
    <w:p>
      <w:r>
        <w:t>An additional reliability test would use unseen application records with manually checked policy labels, including missing documents, exact thresholds and conflicting inputs. Measure correct flags and correct reasons, repeat paraphrased questions, and inspect all policy violations. This would evaluate screening performance more directly than conversational appearance.</w:t>
      </w:r>
    </w:p>
    <w:p>
      <w:pPr>
        <w:pStyle w:val="Heading1"/>
      </w:pPr>
      <w:r>
        <w:t>Reflection and responsible practice</w:t>
      </w:r>
    </w:p>
    <w:p>
      <w:r>
        <w:t>The exercise shows why conditions, thresholds and test inputs must be visible. I would apply the same approach by writing a policy checklist before implementing a real decision system. The incomplete high-score case is the main failure exposed by the comparison. Next, I would add input validation and broader boundary tests. Real use would require approved criteria, proper data, privacy protection, fairness review and human oversight. The invented probabilities must never be presented as measured confidence or proof of accuracy.</w:t>
      </w:r>
    </w:p>
    <w:p>
      <w:pPr>
        <w:pStyle w:val="Heading1"/>
      </w:pPr>
      <w:r>
        <w:rPr>
          <w:color w:val="000000"/>
        </w:rPr>
        <w:t>References</w:t>
      </w:r>
    </w:p>
    <w:p>
      <w:pPr>
        <w:pStyle w:val="ListNumber"/>
        <w:spacing w:after="80"/>
      </w:pPr>
      <w:r>
        <w:t>Turing, A. M. (1950). Computing Machinery and Intelligence. Mind, 59(236), 433-460. https://doi.org/10.1093/mind/LIX.236.433</w:t>
      </w:r>
    </w:p>
    <w:p>
      <w:pPr>
        <w:pStyle w:val="ListNumber"/>
        <w:spacing w:after="80"/>
      </w:pPr>
      <w:r>
        <w:t>McCarthy, J., Minsky, M. L., Rochester, N., and Shannon, C. E. (1955). A Proposal for the Dartmouth Summer Research Project on Artificial Intelligence. http://www-formal.stanford.edu/jmc/history/dartmouth/dartmouth.html</w:t>
      </w:r>
    </w:p>
    <w:p>
      <w:pPr>
        <w:pStyle w:val="ListNumber"/>
        <w:spacing w:after="80"/>
      </w:pPr>
      <w:r>
        <w:t>Lighthill, J. (1973). Artificial Intelligence A General Survey. Science Research Council report.</w:t>
      </w:r>
    </w:p>
    <w:p>
      <w:pPr>
        <w:pStyle w:val="ListNumber"/>
        <w:spacing w:after="80"/>
      </w:pPr>
      <w:r>
        <w:t>IBM. Deep Blue. IBM Icons of Progress. https://www.ibm.com/history/deep-blue</w:t>
      </w:r>
    </w:p>
    <w:p>
      <w:pPr>
        <w:pStyle w:val="ListNumber"/>
        <w:spacing w:after="80"/>
      </w:pPr>
      <w:r>
        <w:t>Krizhevsky, A., Sutskever, I., and Hinton, G. E. (2012). ImageNet Classification with Deep Convolutional Neural Networks. Advances in Neural Information Processing Systems 25.</w:t>
      </w:r>
    </w:p>
    <w:p>
      <w:pPr>
        <w:pStyle w:val="ListNumber"/>
        <w:spacing w:after="80"/>
      </w:pPr>
      <w:r>
        <w:t>Rasikh Ali. CAI601400 Artificial Intelligence Lab Manual, Lab 1 tasks and submission guidelines.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Lab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