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2 Intelligent Agents and PEAS</w:t>
      </w:r>
      <w:r>
        <w:rPr/>
      </w:r>
    </w:p>
    <w:p>
      <w:r>
        <w:t>Artificial Intelligence Lab</w:t>
        <w:br/>
        <w:t>Saad Ahmed  |  Roll No 009  |  BSAI</w:t>
      </w:r>
    </w:p>
    <w:p>
      <w:r>
        <w:t>I specified two agent environments and extended the classroom controller to remember its previous target mode. The stateful version preserves all decisions while reducing six simulated command requests to four on the required sequence.</w:t>
      </w:r>
    </w:p>
    <w:p>
      <w:pPr>
        <w:pStyle w:val="Heading1"/>
      </w:pPr>
      <w:r>
        <w:t>Task 1 Delivery robot PEAS</w:t>
      </w:r>
    </w:p>
    <w:p>
      <w:r>
        <w:t>Assume a low-speed robot moves on mapped campus paths, carries small parcels and stops for people. A camera and range sensor observe nearby obstacles; the map does not reveal every temporary obstruction.</w:t>
      </w:r>
      <w:r>
        <w:rPr/>
        <w:t xml:space="preserve"> [1][2]</w:t>
      </w:r>
    </w:p>
    <w:tbl>
      <w:tblPr>
        <w:tblW w:type="auto" w:w="0"/>
        <w:jc w:val="center"/>
        <w:tblLayout w:type="fixed"/>
        <w:tblLook w:firstColumn="1" w:firstRow="1" w:lastColumn="0" w:lastRow="0" w:noHBand="0" w:noVBand="1" w:val="04A0"/>
      </w:tblPr>
      <w:tblGrid>
        <w:gridCol w:w="1728"/>
        <w:gridCol w:w="8208"/>
      </w:tblGrid>
      <w:tr>
        <w:trPr>
          <w:cantSplit/>
          <w:tblHeader/>
        </w:trPr>
        <w:tc>
          <w:tcPr>
            <w:tcW w:type="dxa" w:w="1728"/>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Component</w:t>
            </w:r>
          </w:p>
        </w:tc>
        <w:tc>
          <w:tcPr>
            <w:tcW w:type="dxa" w:w="8208"/>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Concrete specification</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Performance</w:t>
            </w:r>
          </w:p>
        </w:tc>
        <w:tc>
          <w:tcPr>
            <w:tcW w:type="dxa" w:w="82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t>Deliver to the correct recipient; reduce delay and battery use; avoid collisions and respect pedestrian priority.</w:t>
            </w:r>
          </w:p>
        </w:tc>
      </w:tr>
      <w:tr>
        <w:trPr>
          <w:cantSplit/>
        </w:trPr>
        <w:tc>
          <w:tcPr>
            <w:tcW w:type="dxa" w:w="172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Environment</w:t>
            </w:r>
          </w:p>
        </w:tc>
        <w:tc>
          <w:tcPr>
            <w:tcW w:type="dxa" w:w="820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Campus paths and building entrances; pedestrians, weather, temporary obstacles and charging stations.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Actuators</w:t>
            </w:r>
          </w:p>
        </w:tc>
        <w:tc>
          <w:tcPr>
            <w:tcW w:type="dxa" w:w="82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Wheel motors for movement and steering; brakes, parcel-lock mechanism and warning indicator.</w:t>
            </w:r>
          </w:p>
        </w:tc>
      </w:tr>
      <w:tr>
        <w:trPr>
          <w:cantSplit/>
        </w:trPr>
        <w:tc>
          <w:tcPr>
            <w:tcW w:type="dxa" w:w="172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Sensors</w:t>
            </w:r>
          </w:p>
        </w:tc>
        <w:tc>
          <w:tcPr>
            <w:tcW w:type="dxa" w:w="820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Camera and range sensor; wheel encoders, localisation input and battery-level reading.</w:t>
            </w:r>
          </w:p>
        </w:tc>
      </w:tr>
    </w:tbl>
    <w:p>
      <w:pPr>
        <w:spacing w:after="0"/>
      </w:pPr>
    </w:p>
    <w:p>
      <w:r>
        <w:t>Trade-off: the shortest delivery time must not reward unsafe movement. Collision avoidance and stopping distance take priority over speed; a blocked route may require waiting or replanning.</w:t>
      </w:r>
    </w:p>
    <w:p>
      <w:pPr>
        <w:pStyle w:val="Heading1"/>
      </w:pPr>
      <w:r>
        <w:t>Task 1 Student support agent PEAS</w:t>
      </w:r>
    </w:p>
    <w:p>
      <w:r>
        <w:t>Assume an LLM agent can search approved university FAQs and course policies, read an authenticated student’s own timetable, and create a support ticket after confirmation. It cannot change grades, payments or enrolment records.</w:t>
      </w:r>
    </w:p>
    <w:tbl>
      <w:tblPr>
        <w:tblW w:type="auto" w:w="0"/>
        <w:jc w:val="center"/>
        <w:tblLayout w:type="fixed"/>
        <w:tblLook w:firstColumn="1" w:firstRow="1" w:lastColumn="0" w:lastRow="0" w:noHBand="0" w:noVBand="1" w:val="04A0"/>
      </w:tblPr>
      <w:tblGrid>
        <w:gridCol w:w="1728"/>
        <w:gridCol w:w="8208"/>
      </w:tblGrid>
      <w:tr>
        <w:trPr>
          <w:cantSplit/>
          <w:tblHeader/>
        </w:trPr>
        <w:tc>
          <w:tcPr>
            <w:tcW w:type="dxa" w:w="1728"/>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Component</w:t>
            </w:r>
          </w:p>
        </w:tc>
        <w:tc>
          <w:tcPr>
            <w:tcW w:type="dxa" w:w="8208"/>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Concrete specification</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Performance</w:t>
            </w:r>
          </w:p>
        </w:tc>
        <w:tc>
          <w:tcPr>
            <w:tcW w:type="dxa" w:w="82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Correct and supported answers; protect personal information; useful escalation and acceptable response time.</w:t>
            </w:r>
          </w:p>
        </w:tc>
      </w:tr>
      <w:tr>
        <w:trPr>
          <w:cantSplit/>
        </w:trPr>
        <w:tc>
          <w:tcPr>
            <w:tcW w:type="dxa" w:w="172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Environment</w:t>
            </w:r>
          </w:p>
        </w:tc>
        <w:tc>
          <w:tcPr>
            <w:tcW w:type="dxa" w:w="820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Student chat sessions; university policies, timetable service and the human support queue.</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Actuators</w:t>
            </w:r>
          </w:p>
        </w:tc>
        <w:tc>
          <w:tcPr>
            <w:tcW w:type="dxa" w:w="82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Send an answer with a source; ask for clarification; call approved retrieval tools or create a confirmed support ticket.</w:t>
            </w:r>
          </w:p>
        </w:tc>
      </w:tr>
      <w:tr>
        <w:trPr>
          <w:cantSplit/>
        </w:trPr>
        <w:tc>
          <w:tcPr>
            <w:tcW w:type="dxa" w:w="172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Sensors</w:t>
            </w:r>
          </w:p>
        </w:tc>
        <w:tc>
          <w:tcPr>
            <w:tcW w:type="dxa" w:w="820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Student message and conversation history; retrieved policy passages, timetable responses and tool error messages.</w:t>
            </w:r>
          </w:p>
        </w:tc>
      </w:tr>
    </w:tbl>
    <w:p>
      <w:pPr>
        <w:spacing w:after="0"/>
      </w:pPr>
    </w:p>
    <w:p>
      <w:r>
        <w:t>Trade-off: a quick reply can be wrong if evidence is missing. The agent should ask a question or escalate instead of inventing a policy. Tool access must remain limited to the student’s authorised information.</w:t>
      </w:r>
    </w:p>
    <w:p>
      <w:r>
        <w:br w:type="page"/>
      </w:r>
    </w:p>
    <w:p>
      <w:pPr>
        <w:pStyle w:val="Heading1"/>
      </w:pPr>
      <w:r>
        <w:t>Task 2 Environment classification</w:t>
      </w:r>
    </w:p>
    <w:tbl>
      <w:tblPr>
        <w:tblW w:type="auto" w:w="0"/>
        <w:jc w:val="center"/>
        <w:tblLayout w:type="fixed"/>
        <w:tblLook w:firstColumn="1" w:firstRow="1" w:lastColumn="0" w:lastRow="0" w:noHBand="0" w:noVBand="1" w:val="04A0"/>
      </w:tblPr>
      <w:tblGrid>
        <w:gridCol w:w="1944"/>
        <w:gridCol w:w="3960"/>
        <w:gridCol w:w="4032"/>
      </w:tblGrid>
      <w:tr>
        <w:trPr>
          <w:cantSplit/>
          <w:tblHeader/>
        </w:trPr>
        <w:tc>
          <w:tcPr>
            <w:tcW w:type="dxa" w:w="194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System</w:t>
            </w:r>
          </w:p>
        </w:tc>
        <w:tc>
          <w:tcPr>
            <w:tcW w:type="dxa" w:w="3960"/>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Observability and evidence</w:t>
            </w:r>
          </w:p>
        </w:tc>
        <w:tc>
          <w:tcPr>
            <w:tcW w:type="dxa" w:w="4032"/>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Uncertainty and evidence</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Delivery robot in reality</w:t>
            </w:r>
          </w:p>
        </w:tc>
        <w:tc>
          <w:tcPr>
            <w:tcW w:type="dxa" w:w="396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t>Partly observable: local obstacles and battery are visible; an obstacle behind a corner or a pedestrian’s intention is hidden.</w:t>
            </w:r>
          </w:p>
        </w:tc>
        <w:tc>
          <w:tcPr>
            <w:tcW w:type="dxa" w:w="403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Stochastic: a stop command has a defined intended effect, but wheel slip and pedestrian motion make the resulting position uncertain.</w:t>
            </w:r>
          </w:p>
        </w:tc>
      </w:tr>
      <w:tr>
        <w:trPr>
          <w:cantSplit/>
        </w:trPr>
        <w:tc>
          <w:tcPr>
            <w:tcW w:type="dxa" w:w="194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Student support in reality</w:t>
            </w:r>
          </w:p>
        </w:tc>
        <w:tc>
          <w:tcPr>
            <w:tcW w:type="dxa" w:w="396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t>Partly observable: the message and retrieved policy are visible; unstated intent and unpublished changes may be hidden.</w:t>
            </w:r>
          </w:p>
        </w:tc>
        <w:tc>
          <w:tcPr>
            <w:tcW w:type="dxa" w:w="403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Stochastic: a fixed FAQ lookup can be predictable, but tool availability, student replies and generated answers can be uncertain.</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Simplified simulators</w:t>
            </w:r>
          </w:p>
        </w:tc>
        <w:tc>
          <w:tcPr>
            <w:tcW w:type="dxa" w:w="396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Fully observable if every decision-relevant state variable is supplied to the agent.</w:t>
            </w:r>
          </w:p>
        </w:tc>
        <w:tc>
          <w:tcPr>
            <w:tcW w:type="dxa" w:w="403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t>Predictable if transitions, tool outputs and responses are fixed; these assumptions do not describe the complete real systems.</w:t>
            </w:r>
          </w:p>
        </w:tc>
      </w:tr>
    </w:tbl>
    <w:p>
      <w:pPr>
        <w:spacing w:after="0"/>
      </w:pPr>
    </w:p>
    <w:p>
      <w:pPr>
        <w:pStyle w:val="Heading1"/>
      </w:pPr>
      <w:r>
        <w:t>Classroom policy and internal state</w:t>
      </w:r>
    </w:p>
    <w:p>
      <w:r>
        <w:t>The percept is (temperature in degrees Celsius, occupied Boolean). The policy first checks occupancy: an empty room always targets ECO. Otherwise, a temperature above 26 targets COOL, below 20 targets WARM, and 20 through 26 inclusive targets IDLE. These are simulated labels; no hardware is controlled.</w:t>
      </w:r>
    </w:p>
    <w:p>
      <w:r>
        <w:t>The first section of Lab2.py contains the original reflex policy. The next section defines StatefulClassroomAgent, inheriting that policy so the thresholds cannot diverge. __init__ sets previous_mode to None. act() computes the target, compares it with previous_mode, stores the target, and returns (target, send_command). The first valid percept always requests a command because there is no previous mode.</w:t>
      </w:r>
      <w:r>
        <w:rPr/>
        <w:t xml:space="preserve"> [1][3]</w:t>
      </w:r>
    </w:p>
    <w:p>
      <w:r>
        <w:t>trace() records the old state before calling act(), then stores the input, target and send flag. This is memory of a requested mode, not learning and not proof that equipment actually reached that mode. The simulation assumes commands succeed.</w:t>
      </w:r>
    </w:p>
    <w:p>
      <w:pPr>
        <w:pStyle w:val="Heading1"/>
      </w:pPr>
      <w:r>
        <w:t>Task 3 Complete transition trace</w:t>
      </w:r>
    </w:p>
    <w:tbl>
      <w:tblPr>
        <w:tblW w:type="auto" w:w="0"/>
        <w:jc w:val="center"/>
        <w:tblLayout w:type="fixed"/>
        <w:tblLook w:firstColumn="1" w:firstRow="1" w:lastColumn="0" w:lastRow="0" w:noHBand="0" w:noVBand="1" w:val="04A0"/>
      </w:tblPr>
      <w:tblGrid>
        <w:gridCol w:w="720"/>
        <w:gridCol w:w="1728"/>
        <w:gridCol w:w="2376"/>
        <w:gridCol w:w="1656"/>
        <w:gridCol w:w="3456"/>
      </w:tblGrid>
      <w:tr>
        <w:trPr>
          <w:cantSplit/>
          <w:tblHeader/>
        </w:trPr>
        <w:tc>
          <w:tcPr>
            <w:tcW w:type="dxa" w:w="720"/>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Step</w:t>
            </w:r>
          </w:p>
        </w:tc>
        <w:tc>
          <w:tcPr>
            <w:tcW w:type="dxa" w:w="1728"/>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Previous</w:t>
            </w:r>
          </w:p>
        </w:tc>
        <w:tc>
          <w:tcPr>
            <w:tcW w:type="dxa" w:w="2376"/>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Percept</w:t>
            </w:r>
          </w:p>
        </w:tc>
        <w:tc>
          <w:tcPr>
            <w:tcW w:type="dxa" w:w="1656"/>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Target</w:t>
            </w:r>
          </w:p>
        </w:tc>
        <w:tc>
          <w:tcPr>
            <w:tcW w:type="dxa" w:w="3456"/>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Command</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1</w:t>
            </w:r>
          </w:p>
        </w:tc>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None</w:t>
            </w:r>
          </w:p>
        </w:tc>
        <w:tc>
          <w:tcPr>
            <w:tcW w:type="dxa" w:w="237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(29, True)</w:t>
            </w:r>
          </w:p>
        </w:tc>
        <w:tc>
          <w:tcPr>
            <w:tcW w:type="dxa" w:w="165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COOL</w:t>
            </w:r>
          </w:p>
        </w:tc>
        <w:tc>
          <w:tcPr>
            <w:tcW w:type="dxa" w:w="345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SEND</w:t>
            </w:r>
          </w:p>
        </w:tc>
      </w:tr>
      <w:tr>
        <w:trPr>
          <w:cantSplit/>
        </w:trPr>
        <w:tc>
          <w:tcPr>
            <w:tcW w:type="dxa" w:w="72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2</w:t>
            </w:r>
          </w:p>
        </w:tc>
        <w:tc>
          <w:tcPr>
            <w:tcW w:type="dxa" w:w="172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COOL</w:t>
            </w:r>
          </w:p>
        </w:tc>
        <w:tc>
          <w:tcPr>
            <w:tcW w:type="dxa" w:w="237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(29, True)</w:t>
            </w:r>
          </w:p>
        </w:tc>
        <w:tc>
          <w:tcPr>
            <w:tcW w:type="dxa" w:w="165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COOL</w:t>
            </w:r>
          </w:p>
        </w:tc>
        <w:tc>
          <w:tcPr>
            <w:tcW w:type="dxa" w:w="345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NO COMMAND</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3</w:t>
            </w:r>
          </w:p>
        </w:tc>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COOL</w:t>
            </w:r>
          </w:p>
        </w:tc>
        <w:tc>
          <w:tcPr>
            <w:tcW w:type="dxa" w:w="237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(20, True)</w:t>
            </w:r>
          </w:p>
        </w:tc>
        <w:tc>
          <w:tcPr>
            <w:tcW w:type="dxa" w:w="165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IDLE</w:t>
            </w:r>
          </w:p>
        </w:tc>
        <w:tc>
          <w:tcPr>
            <w:tcW w:type="dxa" w:w="345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SEND</w:t>
            </w:r>
          </w:p>
        </w:tc>
      </w:tr>
      <w:tr>
        <w:trPr>
          <w:cantSplit/>
        </w:trPr>
        <w:tc>
          <w:tcPr>
            <w:tcW w:type="dxa" w:w="72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4</w:t>
            </w:r>
          </w:p>
        </w:tc>
        <w:tc>
          <w:tcPr>
            <w:tcW w:type="dxa" w:w="172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IDLE</w:t>
            </w:r>
          </w:p>
        </w:tc>
        <w:tc>
          <w:tcPr>
            <w:tcW w:type="dxa" w:w="237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(26, True)</w:t>
            </w:r>
          </w:p>
        </w:tc>
        <w:tc>
          <w:tcPr>
            <w:tcW w:type="dxa" w:w="165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IDLE</w:t>
            </w:r>
          </w:p>
        </w:tc>
        <w:tc>
          <w:tcPr>
            <w:tcW w:type="dxa" w:w="345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NO COMMAND</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5</w:t>
            </w:r>
          </w:p>
        </w:tc>
        <w:tc>
          <w:tcPr>
            <w:tcW w:type="dxa" w:w="172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IDLE</w:t>
            </w:r>
          </w:p>
        </w:tc>
        <w:tc>
          <w:tcPr>
            <w:tcW w:type="dxa" w:w="237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(19, True)</w:t>
            </w:r>
          </w:p>
        </w:tc>
        <w:tc>
          <w:tcPr>
            <w:tcW w:type="dxa" w:w="165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WARM</w:t>
            </w:r>
          </w:p>
        </w:tc>
        <w:tc>
          <w:tcPr>
            <w:tcW w:type="dxa" w:w="3456"/>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SEND</w:t>
            </w:r>
          </w:p>
        </w:tc>
      </w:tr>
      <w:tr>
        <w:trPr>
          <w:cantSplit/>
        </w:trPr>
        <w:tc>
          <w:tcPr>
            <w:tcW w:type="dxa" w:w="72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6</w:t>
            </w:r>
          </w:p>
        </w:tc>
        <w:tc>
          <w:tcPr>
            <w:tcW w:type="dxa" w:w="172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WARM</w:t>
            </w:r>
          </w:p>
        </w:tc>
        <w:tc>
          <w:tcPr>
            <w:tcW w:type="dxa" w:w="237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(29, False)</w:t>
            </w:r>
          </w:p>
        </w:tc>
        <w:tc>
          <w:tcPr>
            <w:tcW w:type="dxa" w:w="165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ECO</w:t>
            </w:r>
          </w:p>
        </w:tc>
        <w:tc>
          <w:tcPr>
            <w:tcW w:type="dxa" w:w="3456"/>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SEND</w:t>
            </w:r>
          </w:p>
        </w:tc>
      </w:tr>
    </w:tbl>
    <w:p>
      <w:pPr>
        <w:spacing w:after="0"/>
      </w:pPr>
    </w:p>
    <w:p>
      <w:r>
        <w:t>Both policies produce COOL, COOL, IDLE, IDLE, WARM, ECO. A reflex caller sending every result issues six requests; the stateful caller sends four. Step 2 suppresses an identical percept, and step 4 suppresses a repeated target even though the temperature changes. Both exact boundaries are IDLE.</w:t>
      </w:r>
    </w:p>
    <w:p>
      <w:r>
        <w:br w:type="page"/>
      </w:r>
    </w:p>
    <w:p>
      <w:pPr>
        <w:pStyle w:val="Heading1"/>
      </w:pPr>
      <w:r>
        <w:t>Testing and failure analysis</w:t>
      </w:r>
    </w:p>
    <w:p>
      <w:r>
        <w:t>Lab2.py asserts the six targets and send flags, then tests an empty room at 10 and 35 degrees: both target ECO, and only the first sends a command. All assertions passed in the captured run. This verifies that occupancy retains priority even at unusual temperatures.</w:t>
      </w:r>
    </w:p>
    <w:tbl>
      <w:tblPr>
        <w:tblW w:type="auto" w:w="0"/>
        <w:jc w:val="center"/>
        <w:tblLayout w:type="fixed"/>
        <w:tblLook w:firstColumn="1" w:firstRow="1" w:lastColumn="0" w:lastRow="0" w:noHBand="0" w:noVBand="1" w:val="04A0"/>
      </w:tblPr>
      <w:tblGrid>
        <w:gridCol w:w="2592"/>
        <w:gridCol w:w="2160"/>
        <w:gridCol w:w="2160"/>
        <w:gridCol w:w="3024"/>
      </w:tblGrid>
      <w:tr>
        <w:trPr>
          <w:cantSplit/>
          <w:tblHeader/>
        </w:trPr>
        <w:tc>
          <w:tcPr>
            <w:tcW w:type="dxa" w:w="2592"/>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Noisy temperature</w:t>
            </w:r>
          </w:p>
        </w:tc>
        <w:tc>
          <w:tcPr>
            <w:tcW w:type="dxa" w:w="2160"/>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Previous</w:t>
            </w:r>
          </w:p>
        </w:tc>
        <w:tc>
          <w:tcPr>
            <w:tcW w:type="dxa" w:w="2160"/>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Target</w:t>
            </w:r>
          </w:p>
        </w:tc>
        <w:tc>
          <w:tcPr>
            <w:tcW w:type="dxa" w:w="302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Outcome</w:t>
            </w:r>
          </w:p>
        </w:tc>
      </w:tr>
      <w:tr>
        <w:trPr>
          <w:cantSplit/>
        </w:trPr>
        <w:tc>
          <w:tcPr>
            <w:tcW w:type="dxa" w:w="25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25.9</w:t>
            </w:r>
          </w:p>
        </w:tc>
        <w:tc>
          <w:tcPr>
            <w:tcW w:type="dxa" w:w="216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None</w:t>
            </w:r>
          </w:p>
        </w:tc>
        <w:tc>
          <w:tcPr>
            <w:tcW w:type="dxa" w:w="216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IDLE</w:t>
            </w:r>
          </w:p>
        </w:tc>
        <w:tc>
          <w:tcPr>
            <w:tcW w:type="dxa" w:w="302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SEND</w:t>
            </w:r>
          </w:p>
        </w:tc>
      </w:tr>
      <w:tr>
        <w:trPr>
          <w:cantSplit/>
        </w:trPr>
        <w:tc>
          <w:tcPr>
            <w:tcW w:type="dxa" w:w="259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26.1</w:t>
            </w:r>
          </w:p>
        </w:tc>
        <w:tc>
          <w:tcPr>
            <w:tcW w:type="dxa" w:w="216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IDLE</w:t>
            </w:r>
          </w:p>
        </w:tc>
        <w:tc>
          <w:tcPr>
            <w:tcW w:type="dxa" w:w="216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COOL</w:t>
            </w:r>
          </w:p>
        </w:tc>
        <w:tc>
          <w:tcPr>
            <w:tcW w:type="dxa" w:w="302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SEND</w:t>
            </w:r>
          </w:p>
        </w:tc>
      </w:tr>
      <w:tr>
        <w:trPr>
          <w:cantSplit/>
        </w:trPr>
        <w:tc>
          <w:tcPr>
            <w:tcW w:type="dxa" w:w="259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25.9</w:t>
            </w:r>
          </w:p>
        </w:tc>
        <w:tc>
          <w:tcPr>
            <w:tcW w:type="dxa" w:w="216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COOL</w:t>
            </w:r>
          </w:p>
        </w:tc>
        <w:tc>
          <w:tcPr>
            <w:tcW w:type="dxa" w:w="216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IDLE</w:t>
            </w:r>
          </w:p>
        </w:tc>
        <w:tc>
          <w:tcPr>
            <w:tcW w:type="dxa" w:w="302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SEND</w:t>
            </w:r>
          </w:p>
        </w:tc>
      </w:tr>
      <w:tr>
        <w:trPr>
          <w:cantSplit/>
        </w:trPr>
        <w:tc>
          <w:tcPr>
            <w:tcW w:type="dxa" w:w="259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26.1</w:t>
            </w:r>
          </w:p>
        </w:tc>
        <w:tc>
          <w:tcPr>
            <w:tcW w:type="dxa" w:w="216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IDLE</w:t>
            </w:r>
          </w:p>
        </w:tc>
        <w:tc>
          <w:tcPr>
            <w:tcW w:type="dxa" w:w="216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COOL</w:t>
            </w:r>
          </w:p>
        </w:tc>
        <w:tc>
          <w:tcPr>
            <w:tcW w:type="dxa" w:w="302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SEND</w:t>
            </w:r>
          </w:p>
        </w:tc>
      </w:tr>
    </w:tbl>
    <w:p>
      <w:pPr>
        <w:spacing w:after="0"/>
      </w:pPr>
    </w:p>
    <w:p>
      <w:r>
        <w:t>The noisy test still sends four commands. Remembering the last mode cannot prevent switching when readings cross the threshold every step. A possible improvement is a small safety range, with separate entry and exit thresholds or a minimum dwell time. That improvement is not applied here because the task requires keeping the existing thresholds.</w:t>
      </w:r>
    </w:p>
    <w:p>
      <w:r>
        <w:t>Another limitation is command failure: remembering a requested mode could suppress a needed retry if the actuator never receives it. A hardware implementation should track acknowledgements, actual mode and limited retries. The present code assumes valid sensor inputs and successful simulated commands.</w:t>
      </w:r>
    </w:p>
    <w:p>
      <w:pPr>
        <w:pStyle w:val="Heading1"/>
      </w:pPr>
      <w:r>
        <w:t>Classical and LLM agent comparison</w:t>
      </w:r>
    </w:p>
    <w:p>
      <w:r>
        <w:t>The classroom controller uses written rules and one stored mode; it is predictable for each valid input. An LLM support agent interprets language through a trained model and may use retrieved documents and tools. Conversation history gives context, but does not guarantee correct facts. Tool permissions, source checks and escalation rules are still needed. A PEAS description specifies goals and environment; it does not itself implement the policy.</w:t>
      </w:r>
    </w:p>
    <w:p>
      <w:pPr>
        <w:pStyle w:val="Heading1"/>
      </w:pPr>
      <w:r>
        <w:t>Reflection and responsible practice</w:t>
      </w:r>
    </w:p>
    <w:p>
      <w:r>
        <w:t>This exercise separates target selection from command transmission. I would use that separation to log decisions and avoid unnecessary repeated work. The noisy sequence shows that internal state alone is not a complete control strategy. Next, I would test sensor failures and actuator acknowledgements before proposing a hardware version. Comfort and safety should be constraints alongside energy use; student support should give priority to privacy and supported answers over response speed.</w:t>
      </w:r>
    </w:p>
    <w:p>
      <w:pPr>
        <w:pStyle w:val="Heading1"/>
      </w:pPr>
      <w:r>
        <w:t>Execution and evidence</w:t>
      </w:r>
    </w:p>
    <w:p>
      <w:r>
        <w:t>From Lab-2 run python Lab2.py. Python 3 and its standard library are sufficient. The program prints the complete transition trace and noisy-input results shown in this report.</w:t>
      </w:r>
    </w:p>
    <w:p>
      <w:pPr>
        <w:pStyle w:val="Heading1"/>
      </w:pPr>
      <w:r>
        <w:rPr>
          <w:color w:val="000000"/>
        </w:rPr>
        <w:t>References</w:t>
      </w:r>
    </w:p>
    <w:p>
      <w:pPr>
        <w:pStyle w:val="ListNumber"/>
        <w:spacing w:after="80"/>
      </w:pPr>
      <w:r>
        <w:t>Rasikh Ali. CAI601400 Artificial Intelligence Lab Manual, Lab 2 tasks and supplied model-based agent example.</w:t>
      </w:r>
    </w:p>
    <w:p>
      <w:pPr>
        <w:pStyle w:val="ListNumber"/>
        <w:spacing w:after="80"/>
      </w:pPr>
      <w:r>
        <w:t>Russell, S. J., and Norvig, P. (2021). Artificial Intelligence A Modern Approach, 4th ed. Pearson. Chapters on intelligent agents and task environments.</w:t>
      </w:r>
    </w:p>
    <w:p>
      <w:pPr>
        <w:pStyle w:val="ListNumber"/>
        <w:spacing w:after="80"/>
      </w:pPr>
      <w:r>
        <w:t>Python Software Foundation. Python 3 Documentation. https://docs.python.org/3/</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Lab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