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C7D6B" w14:textId="77777777" w:rsidR="00E14FBF" w:rsidRPr="004E54F1" w:rsidRDefault="00000000">
      <w:pPr>
        <w:pStyle w:val="Title"/>
        <w:spacing w:after="100"/>
        <w:jc w:val="center"/>
        <w:rPr>
          <w:b/>
          <w:bCs/>
          <w:sz w:val="40"/>
          <w:szCs w:val="40"/>
        </w:rPr>
      </w:pPr>
      <w:r w:rsidRPr="004E54F1">
        <w:rPr>
          <w:b/>
          <w:bCs/>
          <w:sz w:val="40"/>
          <w:szCs w:val="40"/>
        </w:rPr>
        <w:t>Literature Review</w:t>
      </w:r>
    </w:p>
    <w:p w14:paraId="3F7A6B52" w14:textId="77777777" w:rsidR="00CF73AB" w:rsidRDefault="00CF73AB">
      <w:pPr>
        <w:spacing w:after="250"/>
        <w:jc w:val="center"/>
        <w:rPr>
          <w:b/>
          <w:bCs/>
          <w:sz w:val="28"/>
          <w:szCs w:val="28"/>
        </w:rPr>
      </w:pPr>
    </w:p>
    <w:p w14:paraId="6B944FC1" w14:textId="55E4A428" w:rsidR="00E14FBF" w:rsidRPr="00CF73AB" w:rsidRDefault="00000000">
      <w:pPr>
        <w:spacing w:after="250"/>
        <w:jc w:val="center"/>
        <w:rPr>
          <w:b/>
          <w:bCs/>
          <w:sz w:val="28"/>
          <w:szCs w:val="28"/>
        </w:rPr>
      </w:pPr>
      <w:r w:rsidRPr="00CF73AB">
        <w:rPr>
          <w:b/>
          <w:bCs/>
          <w:sz w:val="28"/>
          <w:szCs w:val="28"/>
        </w:rPr>
        <w:t>Local NLI Cross-Encoder vs API-Based LLM-as-a-Judge for Hallucination Verification in Healthcare Agentic RAG</w:t>
      </w:r>
    </w:p>
    <w:p w14:paraId="1C838ED2" w14:textId="64863BE4" w:rsidR="00656AC9" w:rsidRPr="00CF73AB" w:rsidRDefault="00000000" w:rsidP="00482291">
      <w:pPr>
        <w:spacing w:after="200" w:line="300" w:lineRule="auto"/>
        <w:jc w:val="center"/>
        <w:rPr>
          <w:b/>
          <w:bCs/>
          <w:sz w:val="28"/>
          <w:szCs w:val="28"/>
        </w:rPr>
      </w:pPr>
      <w:r w:rsidRPr="00F63E13">
        <w:rPr>
          <w:b/>
          <w:bCs/>
          <w:sz w:val="32"/>
          <w:szCs w:val="32"/>
        </w:rPr>
        <w:t>Research Title</w:t>
      </w:r>
      <w:r w:rsidRPr="00CF73AB">
        <w:rPr>
          <w:b/>
          <w:bCs/>
          <w:sz w:val="28"/>
          <w:szCs w:val="28"/>
        </w:rPr>
        <w:t>: Reducing/Removal of Hallucination in Healthcare in Agentic AI by Using RA</w:t>
      </w:r>
      <w:r w:rsidR="00482291" w:rsidRPr="00CF73AB">
        <w:rPr>
          <w:b/>
          <w:bCs/>
          <w:sz w:val="28"/>
          <w:szCs w:val="28"/>
        </w:rPr>
        <w:t>G</w:t>
      </w:r>
    </w:p>
    <w:p w14:paraId="00744242" w14:textId="77777777" w:rsidR="00656AC9" w:rsidRPr="007163C5" w:rsidRDefault="00656AC9">
      <w:pPr>
        <w:pStyle w:val="Heading1"/>
        <w:spacing w:before="300" w:after="150"/>
        <w:rPr>
          <w:sz w:val="24"/>
          <w:szCs w:val="24"/>
        </w:rPr>
      </w:pPr>
    </w:p>
    <w:p w14:paraId="3C217044" w14:textId="01D26EC2" w:rsidR="009473A7" w:rsidRPr="007163C5" w:rsidRDefault="009473A7" w:rsidP="009473A7">
      <w:pPr>
        <w:rPr>
          <w:sz w:val="24"/>
          <w:szCs w:val="24"/>
          <w:lang w:val="en-US"/>
        </w:rPr>
      </w:pPr>
      <w:r w:rsidRPr="007163C5">
        <w:rPr>
          <w:sz w:val="24"/>
          <w:szCs w:val="24"/>
          <w:lang w:val="en-US"/>
        </w:rPr>
        <w:t xml:space="preserve">        </w:t>
      </w:r>
    </w:p>
    <w:p w14:paraId="69DCB346" w14:textId="77777777" w:rsidR="009473A7" w:rsidRPr="007163C5" w:rsidRDefault="009473A7" w:rsidP="009473A7">
      <w:pPr>
        <w:rPr>
          <w:sz w:val="24"/>
          <w:szCs w:val="24"/>
          <w:lang w:val="en-US"/>
        </w:rPr>
      </w:pPr>
    </w:p>
    <w:p w14:paraId="52D664B6" w14:textId="77777777" w:rsidR="009473A7" w:rsidRPr="007163C5" w:rsidRDefault="009473A7" w:rsidP="009473A7">
      <w:pPr>
        <w:spacing w:line="256" w:lineRule="auto"/>
        <w:jc w:val="center"/>
        <w:rPr>
          <w:rFonts w:eastAsia="Calibri"/>
          <w:sz w:val="24"/>
          <w:szCs w:val="24"/>
        </w:rPr>
      </w:pPr>
      <w:r w:rsidRPr="007163C5">
        <w:rPr>
          <w:rFonts w:eastAsia="Calibri"/>
          <w:noProof/>
          <w:sz w:val="24"/>
          <w:szCs w:val="24"/>
        </w:rPr>
        <w:drawing>
          <wp:anchor distT="0" distB="0" distL="114300" distR="114300" simplePos="0" relativeHeight="251659264" behindDoc="0" locked="0" layoutInCell="1" allowOverlap="1" wp14:anchorId="2C1CAB73" wp14:editId="1BA65106">
            <wp:simplePos x="0" y="0"/>
            <wp:positionH relativeFrom="column">
              <wp:posOffset>1873250</wp:posOffset>
            </wp:positionH>
            <wp:positionV relativeFrom="paragraph">
              <wp:posOffset>29210</wp:posOffset>
            </wp:positionV>
            <wp:extent cx="1760220" cy="1600200"/>
            <wp:effectExtent l="0" t="0" r="5080" b="0"/>
            <wp:wrapSquare wrapText="bothSides"/>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anchor>
        </w:drawing>
      </w:r>
    </w:p>
    <w:p w14:paraId="05E2839F" w14:textId="77777777" w:rsidR="009473A7" w:rsidRPr="007163C5" w:rsidRDefault="009473A7" w:rsidP="009473A7">
      <w:pPr>
        <w:spacing w:line="256" w:lineRule="auto"/>
        <w:rPr>
          <w:rFonts w:eastAsia="Calibri"/>
          <w:sz w:val="24"/>
          <w:szCs w:val="24"/>
        </w:rPr>
      </w:pPr>
    </w:p>
    <w:p w14:paraId="5DE014A5" w14:textId="77777777" w:rsidR="009473A7" w:rsidRPr="007163C5" w:rsidRDefault="009473A7" w:rsidP="009473A7">
      <w:pPr>
        <w:rPr>
          <w:rFonts w:eastAsia="Calibri"/>
          <w:sz w:val="24"/>
          <w:szCs w:val="24"/>
        </w:rPr>
      </w:pPr>
    </w:p>
    <w:p w14:paraId="7884EC62" w14:textId="77777777" w:rsidR="009473A7" w:rsidRPr="007163C5" w:rsidRDefault="009473A7" w:rsidP="009473A7">
      <w:pPr>
        <w:rPr>
          <w:rFonts w:eastAsia="Calibri"/>
          <w:sz w:val="24"/>
          <w:szCs w:val="24"/>
        </w:rPr>
      </w:pPr>
    </w:p>
    <w:p w14:paraId="1E6D61C4" w14:textId="77777777" w:rsidR="009473A7" w:rsidRPr="007163C5" w:rsidRDefault="009473A7" w:rsidP="009473A7">
      <w:pPr>
        <w:rPr>
          <w:rFonts w:eastAsia="Calibri"/>
          <w:sz w:val="24"/>
          <w:szCs w:val="24"/>
        </w:rPr>
      </w:pPr>
    </w:p>
    <w:p w14:paraId="654C60E9" w14:textId="77777777" w:rsidR="009473A7" w:rsidRPr="007163C5" w:rsidRDefault="009473A7" w:rsidP="009473A7">
      <w:pPr>
        <w:spacing w:line="256" w:lineRule="auto"/>
        <w:rPr>
          <w:rFonts w:eastAsia="Calibri"/>
          <w:sz w:val="24"/>
          <w:szCs w:val="24"/>
        </w:rPr>
      </w:pPr>
    </w:p>
    <w:p w14:paraId="3E2EBA23" w14:textId="77777777" w:rsidR="009473A7" w:rsidRPr="007163C5" w:rsidRDefault="009473A7" w:rsidP="009473A7">
      <w:pPr>
        <w:spacing w:line="256" w:lineRule="auto"/>
        <w:rPr>
          <w:rFonts w:eastAsia="Calibri"/>
          <w:sz w:val="24"/>
          <w:szCs w:val="24"/>
        </w:rPr>
      </w:pPr>
      <w:r w:rsidRPr="007163C5">
        <w:rPr>
          <w:rFonts w:eastAsia="Calibri"/>
          <w:sz w:val="24"/>
          <w:szCs w:val="24"/>
        </w:rPr>
        <w:br w:type="textWrapping" w:clear="all"/>
      </w:r>
    </w:p>
    <w:p w14:paraId="21A7B559" w14:textId="77777777" w:rsidR="009473A7" w:rsidRPr="007163C5" w:rsidRDefault="009473A7" w:rsidP="009473A7">
      <w:pPr>
        <w:tabs>
          <w:tab w:val="left" w:pos="6670"/>
        </w:tabs>
        <w:spacing w:line="256" w:lineRule="auto"/>
        <w:rPr>
          <w:rFonts w:eastAsia="Calibri"/>
          <w:sz w:val="24"/>
          <w:szCs w:val="24"/>
        </w:rPr>
      </w:pPr>
      <w:r w:rsidRPr="007163C5">
        <w:rPr>
          <w:rFonts w:eastAsia="Calibri"/>
          <w:sz w:val="24"/>
          <w:szCs w:val="24"/>
        </w:rPr>
        <w:t xml:space="preserve">                                            </w:t>
      </w:r>
      <w:r w:rsidRPr="007163C5">
        <w:rPr>
          <w:rFonts w:eastAsia="Calibri"/>
          <w:sz w:val="24"/>
          <w:szCs w:val="24"/>
        </w:rPr>
        <w:tab/>
      </w:r>
    </w:p>
    <w:p w14:paraId="39E4C8A3" w14:textId="77777777" w:rsidR="009473A7" w:rsidRPr="007163C5" w:rsidRDefault="009473A7" w:rsidP="009473A7">
      <w:pPr>
        <w:tabs>
          <w:tab w:val="left" w:pos="7490"/>
        </w:tabs>
        <w:spacing w:line="256" w:lineRule="auto"/>
        <w:rPr>
          <w:rFonts w:eastAsia="Calibri"/>
          <w:sz w:val="24"/>
          <w:szCs w:val="24"/>
        </w:rPr>
      </w:pPr>
      <w:r w:rsidRPr="007163C5">
        <w:rPr>
          <w:rFonts w:eastAsia="Calibri"/>
          <w:sz w:val="24"/>
          <w:szCs w:val="24"/>
        </w:rPr>
        <w:t xml:space="preserve">  </w:t>
      </w:r>
      <w:r w:rsidRPr="007163C5">
        <w:rPr>
          <w:rFonts w:eastAsia="Calibri"/>
          <w:sz w:val="24"/>
          <w:szCs w:val="24"/>
        </w:rPr>
        <w:tab/>
      </w:r>
    </w:p>
    <w:tbl>
      <w:tblPr>
        <w:tblStyle w:val="TableGrid"/>
        <w:tblW w:w="0" w:type="auto"/>
        <w:tblInd w:w="0" w:type="dxa"/>
        <w:tblLook w:val="04A0" w:firstRow="1" w:lastRow="0" w:firstColumn="1" w:lastColumn="0" w:noHBand="0" w:noVBand="1"/>
      </w:tblPr>
      <w:tblGrid>
        <w:gridCol w:w="4675"/>
        <w:gridCol w:w="4675"/>
      </w:tblGrid>
      <w:tr w:rsidR="009473A7" w:rsidRPr="00CF73AB" w14:paraId="330ED3C4" w14:textId="77777777" w:rsidTr="00CE2105">
        <w:trPr>
          <w:trHeight w:val="50"/>
        </w:trPr>
        <w:tc>
          <w:tcPr>
            <w:tcW w:w="4675" w:type="dxa"/>
            <w:tcBorders>
              <w:top w:val="single" w:sz="4" w:space="0" w:color="auto"/>
              <w:left w:val="single" w:sz="4" w:space="0" w:color="auto"/>
              <w:bottom w:val="single" w:sz="4" w:space="0" w:color="auto"/>
              <w:right w:val="single" w:sz="4" w:space="0" w:color="auto"/>
            </w:tcBorders>
            <w:hideMark/>
          </w:tcPr>
          <w:p w14:paraId="18F1DCA0"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Teacher</w:t>
            </w:r>
          </w:p>
        </w:tc>
        <w:tc>
          <w:tcPr>
            <w:tcW w:w="4675" w:type="dxa"/>
            <w:tcBorders>
              <w:top w:val="single" w:sz="4" w:space="0" w:color="auto"/>
              <w:left w:val="single" w:sz="4" w:space="0" w:color="auto"/>
              <w:bottom w:val="single" w:sz="4" w:space="0" w:color="auto"/>
              <w:right w:val="single" w:sz="4" w:space="0" w:color="auto"/>
            </w:tcBorders>
            <w:hideMark/>
          </w:tcPr>
          <w:p w14:paraId="11A99D93"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 xml:space="preserve">Sir Dr Laeeq Ahmed </w:t>
            </w:r>
          </w:p>
        </w:tc>
      </w:tr>
      <w:tr w:rsidR="009473A7" w:rsidRPr="00CF73AB" w14:paraId="182441FC" w14:textId="77777777" w:rsidTr="00CE2105">
        <w:tc>
          <w:tcPr>
            <w:tcW w:w="4675" w:type="dxa"/>
            <w:tcBorders>
              <w:top w:val="single" w:sz="4" w:space="0" w:color="auto"/>
              <w:left w:val="single" w:sz="4" w:space="0" w:color="auto"/>
              <w:bottom w:val="single" w:sz="4" w:space="0" w:color="auto"/>
              <w:right w:val="single" w:sz="4" w:space="0" w:color="auto"/>
            </w:tcBorders>
            <w:hideMark/>
          </w:tcPr>
          <w:p w14:paraId="5ADEC4FE"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Student Name</w:t>
            </w:r>
          </w:p>
        </w:tc>
        <w:tc>
          <w:tcPr>
            <w:tcW w:w="4675" w:type="dxa"/>
            <w:tcBorders>
              <w:top w:val="single" w:sz="4" w:space="0" w:color="auto"/>
              <w:left w:val="single" w:sz="4" w:space="0" w:color="auto"/>
              <w:bottom w:val="single" w:sz="4" w:space="0" w:color="auto"/>
              <w:right w:val="single" w:sz="4" w:space="0" w:color="auto"/>
            </w:tcBorders>
          </w:tcPr>
          <w:p w14:paraId="2F38265B"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Muhammad Saad, Rabia Qaiser</w:t>
            </w:r>
          </w:p>
        </w:tc>
      </w:tr>
      <w:tr w:rsidR="009473A7" w:rsidRPr="00CF73AB" w14:paraId="247F19F7" w14:textId="77777777" w:rsidTr="00CE2105">
        <w:tc>
          <w:tcPr>
            <w:tcW w:w="4675" w:type="dxa"/>
            <w:tcBorders>
              <w:top w:val="single" w:sz="4" w:space="0" w:color="auto"/>
              <w:left w:val="single" w:sz="4" w:space="0" w:color="auto"/>
              <w:bottom w:val="single" w:sz="4" w:space="0" w:color="auto"/>
              <w:right w:val="single" w:sz="4" w:space="0" w:color="auto"/>
            </w:tcBorders>
            <w:hideMark/>
          </w:tcPr>
          <w:p w14:paraId="42041A9E"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Registration No</w:t>
            </w:r>
          </w:p>
        </w:tc>
        <w:tc>
          <w:tcPr>
            <w:tcW w:w="4675" w:type="dxa"/>
            <w:tcBorders>
              <w:top w:val="single" w:sz="4" w:space="0" w:color="auto"/>
              <w:left w:val="single" w:sz="4" w:space="0" w:color="auto"/>
              <w:bottom w:val="single" w:sz="4" w:space="0" w:color="auto"/>
              <w:right w:val="single" w:sz="4" w:space="0" w:color="auto"/>
            </w:tcBorders>
          </w:tcPr>
          <w:p w14:paraId="327DF079" w14:textId="77777777" w:rsidR="009473A7" w:rsidRPr="00CF73AB" w:rsidRDefault="009473A7" w:rsidP="00CE2105">
            <w:pPr>
              <w:jc w:val="center"/>
              <w:rPr>
                <w:rFonts w:ascii="Times New Roman" w:hAnsi="Times New Roman"/>
                <w:b/>
                <w:bCs/>
                <w:sz w:val="28"/>
                <w:szCs w:val="28"/>
              </w:rPr>
            </w:pPr>
            <w:r w:rsidRPr="00CF73AB">
              <w:rPr>
                <w:rFonts w:ascii="Times New Roman" w:hAnsi="Times New Roman"/>
                <w:b/>
                <w:bCs/>
                <w:sz w:val="28"/>
                <w:szCs w:val="28"/>
              </w:rPr>
              <w:t>23JZBCS0232, 23jzbcs0245</w:t>
            </w:r>
          </w:p>
        </w:tc>
      </w:tr>
    </w:tbl>
    <w:p w14:paraId="3B13E190" w14:textId="77777777" w:rsidR="009473A7" w:rsidRPr="00CF73AB" w:rsidRDefault="009473A7" w:rsidP="009473A7">
      <w:pPr>
        <w:spacing w:line="256" w:lineRule="auto"/>
        <w:jc w:val="center"/>
        <w:rPr>
          <w:rFonts w:eastAsia="Calibri"/>
          <w:b/>
          <w:bCs/>
          <w:sz w:val="28"/>
          <w:szCs w:val="28"/>
        </w:rPr>
      </w:pPr>
    </w:p>
    <w:p w14:paraId="04C11A12" w14:textId="77777777" w:rsidR="009473A7" w:rsidRPr="00CF73AB" w:rsidRDefault="009473A7" w:rsidP="009473A7">
      <w:pPr>
        <w:spacing w:line="256" w:lineRule="auto"/>
        <w:jc w:val="center"/>
        <w:rPr>
          <w:rFonts w:eastAsia="Calibri"/>
          <w:b/>
          <w:bCs/>
          <w:sz w:val="28"/>
          <w:szCs w:val="28"/>
        </w:rPr>
      </w:pPr>
    </w:p>
    <w:p w14:paraId="7F11E653" w14:textId="77777777" w:rsidR="009473A7" w:rsidRPr="004E54F1" w:rsidRDefault="009473A7" w:rsidP="009473A7">
      <w:pPr>
        <w:spacing w:line="256" w:lineRule="auto"/>
        <w:jc w:val="center"/>
        <w:rPr>
          <w:rFonts w:eastAsia="Calibri"/>
          <w:b/>
          <w:bCs/>
          <w:sz w:val="32"/>
          <w:szCs w:val="32"/>
        </w:rPr>
      </w:pPr>
      <w:r w:rsidRPr="004E54F1">
        <w:rPr>
          <w:rFonts w:eastAsia="Calibri"/>
          <w:b/>
          <w:bCs/>
          <w:sz w:val="32"/>
          <w:szCs w:val="32"/>
        </w:rPr>
        <w:t>Department of CS&amp;IT</w:t>
      </w:r>
    </w:p>
    <w:p w14:paraId="6CBDEA6C" w14:textId="77777777" w:rsidR="009473A7" w:rsidRPr="004E54F1" w:rsidRDefault="009473A7" w:rsidP="009473A7">
      <w:pPr>
        <w:spacing w:line="256" w:lineRule="auto"/>
        <w:jc w:val="center"/>
        <w:rPr>
          <w:rFonts w:eastAsia="Calibri"/>
          <w:b/>
          <w:bCs/>
          <w:sz w:val="32"/>
          <w:szCs w:val="32"/>
        </w:rPr>
      </w:pPr>
      <w:r w:rsidRPr="004E54F1">
        <w:rPr>
          <w:rFonts w:eastAsia="Calibri"/>
          <w:b/>
          <w:bCs/>
          <w:sz w:val="32"/>
          <w:szCs w:val="32"/>
        </w:rPr>
        <w:t>University of Engineering and Technology Peshawar</w:t>
      </w:r>
    </w:p>
    <w:p w14:paraId="4CD71D35" w14:textId="77777777" w:rsidR="009473A7" w:rsidRPr="004E54F1" w:rsidRDefault="009473A7" w:rsidP="009473A7">
      <w:pPr>
        <w:spacing w:line="256" w:lineRule="auto"/>
        <w:jc w:val="center"/>
        <w:rPr>
          <w:rFonts w:eastAsia="Calibri"/>
          <w:b/>
          <w:bCs/>
          <w:sz w:val="32"/>
          <w:szCs w:val="32"/>
        </w:rPr>
      </w:pPr>
      <w:r w:rsidRPr="004E54F1">
        <w:rPr>
          <w:rFonts w:eastAsia="Calibri"/>
          <w:b/>
          <w:bCs/>
          <w:sz w:val="32"/>
          <w:szCs w:val="32"/>
        </w:rPr>
        <w:t>(Jalozai Campus)</w:t>
      </w:r>
    </w:p>
    <w:p w14:paraId="73884A59" w14:textId="77777777" w:rsidR="009473A7" w:rsidRPr="00CF73AB" w:rsidRDefault="009473A7" w:rsidP="009473A7">
      <w:pPr>
        <w:rPr>
          <w:b/>
          <w:bCs/>
          <w:sz w:val="28"/>
          <w:szCs w:val="28"/>
        </w:rPr>
      </w:pPr>
    </w:p>
    <w:p w14:paraId="4E993F34" w14:textId="77777777" w:rsidR="009473A7" w:rsidRPr="007163C5" w:rsidRDefault="009473A7" w:rsidP="009473A7">
      <w:pPr>
        <w:rPr>
          <w:sz w:val="24"/>
          <w:szCs w:val="24"/>
        </w:rPr>
      </w:pPr>
    </w:p>
    <w:p w14:paraId="681A85EE" w14:textId="77777777" w:rsidR="009473A7" w:rsidRPr="007163C5" w:rsidRDefault="009473A7" w:rsidP="009473A7">
      <w:pPr>
        <w:rPr>
          <w:sz w:val="24"/>
          <w:szCs w:val="24"/>
        </w:rPr>
      </w:pPr>
    </w:p>
    <w:p w14:paraId="5C90E5B5" w14:textId="77777777" w:rsidR="009473A7" w:rsidRPr="007163C5" w:rsidRDefault="009473A7" w:rsidP="009473A7">
      <w:pPr>
        <w:rPr>
          <w:sz w:val="24"/>
          <w:szCs w:val="24"/>
        </w:rPr>
      </w:pPr>
    </w:p>
    <w:p w14:paraId="3DC94053" w14:textId="77777777" w:rsidR="009473A7" w:rsidRPr="007163C5" w:rsidRDefault="009473A7" w:rsidP="009473A7">
      <w:pPr>
        <w:rPr>
          <w:sz w:val="24"/>
          <w:szCs w:val="24"/>
        </w:rPr>
      </w:pPr>
    </w:p>
    <w:p w14:paraId="6CB57562" w14:textId="77777777" w:rsidR="009473A7" w:rsidRPr="007163C5" w:rsidRDefault="009473A7" w:rsidP="009473A7">
      <w:pPr>
        <w:rPr>
          <w:sz w:val="24"/>
          <w:szCs w:val="24"/>
        </w:rPr>
      </w:pPr>
    </w:p>
    <w:p w14:paraId="08652A83" w14:textId="77777777" w:rsidR="009473A7" w:rsidRPr="007163C5" w:rsidRDefault="009473A7" w:rsidP="009473A7">
      <w:pPr>
        <w:rPr>
          <w:sz w:val="24"/>
          <w:szCs w:val="24"/>
        </w:rPr>
      </w:pPr>
    </w:p>
    <w:p w14:paraId="6689C635" w14:textId="4C94EC44" w:rsidR="00E14FBF" w:rsidRPr="0074618D" w:rsidRDefault="00000000">
      <w:pPr>
        <w:pStyle w:val="Heading1"/>
        <w:spacing w:before="300" w:after="150"/>
        <w:rPr>
          <w:b/>
          <w:bCs/>
          <w:color w:val="000000" w:themeColor="text1"/>
        </w:rPr>
      </w:pPr>
      <w:r w:rsidRPr="0074618D">
        <w:rPr>
          <w:b/>
          <w:bCs/>
          <w:color w:val="000000" w:themeColor="text1"/>
        </w:rPr>
        <w:lastRenderedPageBreak/>
        <w:t>1. Introduction</w:t>
      </w:r>
    </w:p>
    <w:p w14:paraId="4E85D185" w14:textId="60E85D12" w:rsidR="00E14FBF" w:rsidRPr="007163C5" w:rsidRDefault="00000000">
      <w:pPr>
        <w:spacing w:after="200" w:line="300" w:lineRule="auto"/>
        <w:rPr>
          <w:sz w:val="24"/>
          <w:szCs w:val="24"/>
        </w:rPr>
      </w:pPr>
      <w:r w:rsidRPr="007163C5">
        <w:rPr>
          <w:sz w:val="24"/>
          <w:szCs w:val="24"/>
        </w:rPr>
        <w:t>Large Language Models (LLMs) applied to healthcare tasks such as medical question answering are prone to hallucination  generating fluent but factually unsupported statements. Retrieval-Augmented Generation (RAG) mitigates this by grounding generation in retrieved external evidence [1], [2], and recent work extends this further into agentic architectures capable of multi-step retrieval and reasoning. Within these systems, a recurring but under-examined design decision is how the system verifies that a generated answer is actually supported by the evidence it retrieved. This review examines that specific decision: the choice between a large, API-based LLM acting as a "judge," and a small, local Natural Language Inference (NLI) cross-encoder performing the same check offline. Section 2 establishes why verification is needed at all in agentic healthcare RAG. Section 3 reviews the LLM-as-a-judge approach and its documented costs. Section 4 reviews NLI-based and other lightweight alternatives. Section 5 synthesizes what is known  and what remains unmeasured about the trade-off between them, including domain-specific nuances relevant to clinical text. Section 6 states the resulting research gap.</w:t>
      </w:r>
    </w:p>
    <w:p w14:paraId="15E43139" w14:textId="77777777" w:rsidR="00507D1A" w:rsidRDefault="00507D1A">
      <w:pPr>
        <w:pStyle w:val="Heading1"/>
        <w:spacing w:before="300" w:after="150"/>
        <w:rPr>
          <w:b/>
          <w:bCs/>
          <w:color w:val="000000" w:themeColor="text1"/>
          <w:sz w:val="28"/>
          <w:szCs w:val="28"/>
        </w:rPr>
      </w:pPr>
    </w:p>
    <w:p w14:paraId="7EC3B53A" w14:textId="62CAB73B" w:rsidR="00E14FBF" w:rsidRPr="00133966" w:rsidRDefault="00000000">
      <w:pPr>
        <w:pStyle w:val="Heading1"/>
        <w:spacing w:before="300" w:after="150"/>
        <w:rPr>
          <w:b/>
          <w:bCs/>
          <w:color w:val="000000" w:themeColor="text1"/>
          <w:sz w:val="28"/>
          <w:szCs w:val="28"/>
        </w:rPr>
      </w:pPr>
      <w:r w:rsidRPr="00133966">
        <w:rPr>
          <w:b/>
          <w:bCs/>
          <w:color w:val="000000" w:themeColor="text1"/>
          <w:sz w:val="28"/>
          <w:szCs w:val="28"/>
        </w:rPr>
        <w:t>2. Why Verification Is Needed in Agentic Healthcare RAG</w:t>
      </w:r>
    </w:p>
    <w:p w14:paraId="350C7113" w14:textId="73FB9A87" w:rsidR="00E14FBF" w:rsidRPr="007163C5" w:rsidRDefault="00000000">
      <w:pPr>
        <w:spacing w:after="200" w:line="300" w:lineRule="auto"/>
        <w:rPr>
          <w:sz w:val="24"/>
          <w:szCs w:val="24"/>
        </w:rPr>
      </w:pPr>
      <w:r w:rsidRPr="007163C5">
        <w:rPr>
          <w:sz w:val="24"/>
          <w:szCs w:val="24"/>
        </w:rPr>
        <w:t>RAG reduces hallucination by conditioning generation on retrieved passages rather than relying solely on a model’s internal parameters [1], [2]. However, healthcare-specific evidence shows that retrieval alone does not guarantee faithful output. A 2026 study comparing raw clinical-text retrieval against structured patient representations found that naive RAG over unstructured clinical notes could actually increase hallucination relative to a no-retrieval baseline, and that only a workflow including an explicit agentic verification step reliably reduced it [3]. A separate facet-level tracing study of medical RAG errors found that the dominant cause of wrong answers was not failed retrieval, but evidence override  the model retrieving correct evidence and then ignoring it in favor of its own incorrect prior knowledge occurring in 28.4% of error cases, four to seven times more often than genuine retrieval failure [4].</w:t>
      </w:r>
    </w:p>
    <w:p w14:paraId="395ABB3F" w14:textId="6851A84D" w:rsidR="00E14FBF" w:rsidRPr="007163C5" w:rsidRDefault="00000000">
      <w:pPr>
        <w:spacing w:after="200" w:line="300" w:lineRule="auto"/>
        <w:rPr>
          <w:sz w:val="24"/>
          <w:szCs w:val="24"/>
        </w:rPr>
      </w:pPr>
      <w:r w:rsidRPr="007163C5">
        <w:rPr>
          <w:sz w:val="24"/>
          <w:szCs w:val="24"/>
        </w:rPr>
        <w:t>These findings establish that a dedicated verification step, independent of retrieval quality itself, is a necessary component of agentic healthcare RAG. The CHARM framework for cascading hallucination in agentic RAG reinforces this from a different angle: it shows that errors introduced early in a multi-step reasoning pipeline can compound into confidently wrong final answers, and that naive self-correction (an agent reviewing its own output) tends to fail due to confirmation bias, since later reasoning steps appear internally consistent with earlier, already-incorrect ones [5]. This motivates using an independent verification signal  a separate checking mechanism, not the generating model judging itself.</w:t>
      </w:r>
    </w:p>
    <w:p w14:paraId="68CE3574" w14:textId="77777777" w:rsidR="00E14FBF" w:rsidRPr="00133966" w:rsidRDefault="00000000">
      <w:pPr>
        <w:pStyle w:val="Heading1"/>
        <w:spacing w:before="300" w:after="150"/>
        <w:rPr>
          <w:b/>
          <w:bCs/>
          <w:color w:val="000000" w:themeColor="text1"/>
          <w:sz w:val="28"/>
          <w:szCs w:val="28"/>
        </w:rPr>
      </w:pPr>
      <w:r w:rsidRPr="00133966">
        <w:rPr>
          <w:b/>
          <w:bCs/>
          <w:color w:val="000000" w:themeColor="text1"/>
          <w:sz w:val="28"/>
          <w:szCs w:val="28"/>
        </w:rPr>
        <w:lastRenderedPageBreak/>
        <w:t>3. LLM-as-a-Judge: The Default but Costly Choice</w:t>
      </w:r>
    </w:p>
    <w:p w14:paraId="49E58D9D" w14:textId="1FB28849" w:rsidR="00E14FBF" w:rsidRPr="007163C5" w:rsidRDefault="00000000">
      <w:pPr>
        <w:spacing w:after="200" w:line="300" w:lineRule="auto"/>
        <w:rPr>
          <w:sz w:val="24"/>
          <w:szCs w:val="24"/>
        </w:rPr>
      </w:pPr>
      <w:r w:rsidRPr="007163C5">
        <w:rPr>
          <w:sz w:val="24"/>
          <w:szCs w:val="24"/>
        </w:rPr>
        <w:t>The most common way to implement this independent check is to call a separate LLM and ask it directly whether the retrieved context supports the generated answer  the "LLM-as-a-judge" paradigm [6]. This pattern appears throughout recent agentic healthcare-RAG systems, including multi-agent verification and audit-style architectures for clinical decision support.</w:t>
      </w:r>
    </w:p>
    <w:p w14:paraId="06769E26" w14:textId="031EB3BC" w:rsidR="00E14FBF" w:rsidRPr="007163C5" w:rsidRDefault="00000000">
      <w:pPr>
        <w:spacing w:after="200" w:line="300" w:lineRule="auto"/>
        <w:rPr>
          <w:sz w:val="24"/>
          <w:szCs w:val="24"/>
        </w:rPr>
      </w:pPr>
      <w:r w:rsidRPr="007163C5">
        <w:rPr>
          <w:sz w:val="24"/>
          <w:szCs w:val="24"/>
        </w:rPr>
        <w:t>A separate body of work documents why this default becomes problematic once cost and speed matter. Work on low-latency hallucination detection notes that frontier-scale API models introduce multi-second latency per call, and that this is particularly costly in an agentic setting, where a verifier may need to be called repeatedly across a multi-step reasoning chain rather than once per query [7]. A 2026 benchmarking study of judge models further found that latency does not scale predictably with a model’s size or "tier"  a lightweight-labeled model showed the highest latency in one comparison despite comparable accuracy to slower models  indicating the cost/latency trade-off must be measured directly for a given deployment rather than assumed.</w:t>
      </w:r>
    </w:p>
    <w:p w14:paraId="0F9DD0AE" w14:textId="77777777" w:rsidR="00E14FBF" w:rsidRPr="00507D1A" w:rsidRDefault="00000000">
      <w:pPr>
        <w:pStyle w:val="Heading1"/>
        <w:spacing w:before="300" w:after="150"/>
        <w:rPr>
          <w:b/>
          <w:bCs/>
          <w:color w:val="000000" w:themeColor="text1"/>
          <w:sz w:val="28"/>
          <w:szCs w:val="28"/>
        </w:rPr>
      </w:pPr>
      <w:r w:rsidRPr="00507D1A">
        <w:rPr>
          <w:b/>
          <w:bCs/>
          <w:color w:val="000000" w:themeColor="text1"/>
          <w:sz w:val="28"/>
          <w:szCs w:val="28"/>
        </w:rPr>
        <w:t>4. NLI Cross-Encoders and Other Lightweight Alternatives</w:t>
      </w:r>
    </w:p>
    <w:p w14:paraId="345B5185" w14:textId="5A9AE3B6" w:rsidR="00E14FBF" w:rsidRPr="007163C5" w:rsidRDefault="00000000">
      <w:pPr>
        <w:spacing w:after="200" w:line="300" w:lineRule="auto"/>
        <w:rPr>
          <w:sz w:val="24"/>
          <w:szCs w:val="24"/>
        </w:rPr>
      </w:pPr>
      <w:r w:rsidRPr="007163C5">
        <w:rPr>
          <w:sz w:val="24"/>
          <w:szCs w:val="24"/>
        </w:rPr>
        <w:t>A parallel line of work reformulates faithfulness checking as a Natural Language Inference problem: does the retrieved context (premise) entail the generated claim (hypothesis)? SummaC showed that repurposed, off-the-shelf NLI models could serve as practical inconsistency detectors for summarization [8]. AlignScore generalized this into a single alignment function trained jointly across NLI, fact-verification, and QA-style tasks [9]. MiniCheck trained compact fact-checking models  as small as roughly 770 million parameters  on LLM-generated synthetic data, and found they could approach the factual-consistency judgment quality of frontier LLMs at a fraction of the compute cost [10]. Luna and VERITAS make the cost/latency motivation an explicit design goal: Luna, a fine-tuned DeBERTa-large encoder, reports a 97% cost reduction and roughly 91% latency reduction relative to GPT-3.5 while remaining competitive on detection accuracy [11]; VERITAS similarly reports performance approaching GPT-4-turbo-as-judge while minimizing latency and cost [12].</w:t>
      </w:r>
    </w:p>
    <w:p w14:paraId="2E531889" w14:textId="31B5CA41" w:rsidR="00E14FBF" w:rsidRPr="007163C5" w:rsidRDefault="00000000">
      <w:pPr>
        <w:spacing w:after="200" w:line="300" w:lineRule="auto"/>
        <w:rPr>
          <w:sz w:val="24"/>
          <w:szCs w:val="24"/>
        </w:rPr>
      </w:pPr>
      <w:r w:rsidRPr="007163C5">
        <w:rPr>
          <w:sz w:val="24"/>
          <w:szCs w:val="24"/>
        </w:rPr>
        <w:t>Within the clinical literature specifically, CHARM and Self-MedRAG both adopt a lightweight local NLI cross-encoder (of the DeBERTa-v3-small family) as their verification mechanism, citing computational efficiency as the rationale [5], [13]. Self-MedRAG reports that adding a self-reflective, NLI-based verification loop improved accuracy from 80.00% to 83.33% on MedQA and from 69.10% to 79.82% on PubMedQA relative to a non-reflective baseline [13] a strong result for the value of verification in general, but not a comparison against what an API-based judge would have achieved on the same cases, nor any reporting of cost or latency for that alternative.</w:t>
      </w:r>
    </w:p>
    <w:p w14:paraId="44E1029B" w14:textId="77777777" w:rsidR="00E14FBF" w:rsidRPr="00507D1A" w:rsidRDefault="00000000">
      <w:pPr>
        <w:pStyle w:val="Heading1"/>
        <w:spacing w:before="300" w:after="150"/>
        <w:rPr>
          <w:b/>
          <w:bCs/>
          <w:color w:val="000000" w:themeColor="text1"/>
          <w:sz w:val="28"/>
          <w:szCs w:val="28"/>
        </w:rPr>
      </w:pPr>
      <w:r w:rsidRPr="00507D1A">
        <w:rPr>
          <w:b/>
          <w:bCs/>
          <w:color w:val="000000" w:themeColor="text1"/>
          <w:sz w:val="28"/>
          <w:szCs w:val="28"/>
        </w:rPr>
        <w:lastRenderedPageBreak/>
        <w:t>5. What Is Known, and What Remains Unmeasured, About the Trade-off</w:t>
      </w:r>
    </w:p>
    <w:p w14:paraId="072DCF0D" w14:textId="261CFB41" w:rsidR="00E14FBF" w:rsidRPr="007163C5" w:rsidRDefault="00000000">
      <w:pPr>
        <w:spacing w:after="200" w:line="300" w:lineRule="auto"/>
        <w:rPr>
          <w:sz w:val="24"/>
          <w:szCs w:val="24"/>
        </w:rPr>
      </w:pPr>
      <w:r w:rsidRPr="007163C5">
        <w:rPr>
          <w:sz w:val="24"/>
          <w:szCs w:val="24"/>
        </w:rPr>
        <w:t>The literature reviewed above establishes, almost by convention, that lightweight NLI-style checkers are assumed "good enough" and API-based judges are assumed "too expensive" for repeated or real-time use  but this assumption is rarely tested directly, and has not been tested in a clinical setting, where the cost of a missed hallucination differs in kind from a missed error in summarization or open-domain QA. Several further nuances in the literature complicate a simple "NLI is cheaper, LLM is more accurate" narrative:</w:t>
      </w:r>
    </w:p>
    <w:p w14:paraId="036CD7EE" w14:textId="40DFA5B5" w:rsidR="00E14FBF" w:rsidRPr="007163C5" w:rsidRDefault="00000000">
      <w:pPr>
        <w:pStyle w:val="ListParagraph"/>
        <w:numPr>
          <w:ilvl w:val="0"/>
          <w:numId w:val="1"/>
        </w:numPr>
        <w:spacing w:after="150" w:line="300" w:lineRule="auto"/>
        <w:rPr>
          <w:sz w:val="24"/>
          <w:szCs w:val="24"/>
        </w:rPr>
      </w:pPr>
      <w:r w:rsidRPr="007163C5">
        <w:rPr>
          <w:sz w:val="24"/>
          <w:szCs w:val="24"/>
        </w:rPr>
        <w:t>NLI-based methods have documented weaknesses beyond raw accuracy. Follow-up analysis on MiniCheck-style models found they struggle on multi-step claims and provide no explanation for their verdict, and that decomposing an answer into atomic claims before checking (rather than checking the whole answer at once) improved F1 by roughly 12–18 points [10]  implying that the naive, single-pass NLI check used by CHARM and Self-MedRAG may leave measurable accuracy on the table.</w:t>
      </w:r>
    </w:p>
    <w:p w14:paraId="01A46D67" w14:textId="77777777" w:rsidR="00E14FBF" w:rsidRPr="007163C5" w:rsidRDefault="00000000">
      <w:pPr>
        <w:pStyle w:val="ListParagraph"/>
        <w:numPr>
          <w:ilvl w:val="0"/>
          <w:numId w:val="1"/>
        </w:numPr>
        <w:spacing w:after="150" w:line="300" w:lineRule="auto"/>
        <w:rPr>
          <w:sz w:val="24"/>
          <w:szCs w:val="24"/>
        </w:rPr>
      </w:pPr>
      <w:r w:rsidRPr="007163C5">
        <w:rPr>
          <w:sz w:val="24"/>
          <w:szCs w:val="24"/>
        </w:rPr>
        <w:t>Evaluation methodology itself can distort conclusions. A 2025 study found that several established hallucination-detection methods showed accuracy drops of up to 45.9 percentage points when re-evaluated with human-aligned judgment instead of automatic metrics like ROUGE, and that a simple lexical-overlap heuristic could rival more sophisticated detectors under weaker evaluation protocols [14]. This is a direct methodological caution for any study comparing detection methods: conclusions must rest on carefully validated, ideally human-adjudicated, ground truth.</w:t>
      </w:r>
    </w:p>
    <w:p w14:paraId="1C05B4C7" w14:textId="5EE4FA54" w:rsidR="00E14FBF" w:rsidRPr="007163C5" w:rsidRDefault="00000000">
      <w:pPr>
        <w:pStyle w:val="ListParagraph"/>
        <w:numPr>
          <w:ilvl w:val="0"/>
          <w:numId w:val="1"/>
        </w:numPr>
        <w:spacing w:after="150" w:line="300" w:lineRule="auto"/>
        <w:rPr>
          <w:sz w:val="24"/>
          <w:szCs w:val="24"/>
        </w:rPr>
      </w:pPr>
      <w:r w:rsidRPr="007163C5">
        <w:rPr>
          <w:sz w:val="24"/>
          <w:szCs w:val="24"/>
        </w:rPr>
        <w:t>Judge reliability is domain- and dataset-sensitive. Evidence from hallucination-detection studies outside the medical domain shows recall for a fixed detection method can vary drastically between datasets using an identical method  arguing against generalizing performance from a single benchmark.</w:t>
      </w:r>
    </w:p>
    <w:p w14:paraId="21F4FE27" w14:textId="77777777" w:rsidR="00E14FBF" w:rsidRPr="007163C5" w:rsidRDefault="00000000">
      <w:pPr>
        <w:pStyle w:val="ListParagraph"/>
        <w:numPr>
          <w:ilvl w:val="0"/>
          <w:numId w:val="1"/>
        </w:numPr>
        <w:spacing w:after="150" w:line="300" w:lineRule="auto"/>
        <w:rPr>
          <w:sz w:val="24"/>
          <w:szCs w:val="24"/>
        </w:rPr>
      </w:pPr>
      <w:r w:rsidRPr="007163C5">
        <w:rPr>
          <w:sz w:val="24"/>
          <w:szCs w:val="24"/>
        </w:rPr>
        <w:t>Clinical NLI has domain-specific characteristics that generic NLI training data does not cover. MedNLI, a physician-annotated entailment dataset built from real clinical notes, was created specifically because general-domain NLI models struggle with clinical language and reasoning patterns [15]. However, a follow-up study found MedNLI itself contains annotation artifacts: many "contradiction" examples rely heavily on explicit negation cues, meaning models can learn to exploit these shortcuts rather than perform genuine clinical reasoning [16]. This has two implications: a generic NLI cross-encoder (trained only on general-domain data, as used by CHARM and Self-MedRAG) is not guaranteed to transfer well to clinical entailment, and negation handling specifically is a documented weak point warranting isolated testing.</w:t>
      </w:r>
    </w:p>
    <w:p w14:paraId="4EC6E490" w14:textId="77777777" w:rsidR="00E14FBF" w:rsidRPr="007163C5" w:rsidRDefault="00000000">
      <w:pPr>
        <w:pStyle w:val="ListParagraph"/>
        <w:numPr>
          <w:ilvl w:val="0"/>
          <w:numId w:val="1"/>
        </w:numPr>
        <w:spacing w:after="150" w:line="300" w:lineRule="auto"/>
        <w:rPr>
          <w:sz w:val="24"/>
          <w:szCs w:val="24"/>
        </w:rPr>
      </w:pPr>
      <w:r w:rsidRPr="007163C5">
        <w:rPr>
          <w:sz w:val="24"/>
          <w:szCs w:val="24"/>
        </w:rPr>
        <w:lastRenderedPageBreak/>
        <w:t>No study reports the joint cost–latency–accuracy trade-off specifically for clinical RAG verification. SummaC, AlignScore, MiniCheck, Luna, and VERITAS are evaluated on general-domain or summarization-style benchmarks, not clinical QA [8]–[12]. CHARM and Self-MedRAG use local NLI models in a clinical setting but do not report what an equivalent API-judge would have cost, in dollars or latency, on the same test cases [5], [13]. No paper in this literature reports detection accuracy, latency, and dollar cost together as a single, decision-relevant comparison specifically for a clinical RAG safety filter.</w:t>
      </w:r>
    </w:p>
    <w:p w14:paraId="3F3B47F5" w14:textId="77777777" w:rsidR="00E14FBF" w:rsidRPr="00507D1A" w:rsidRDefault="00000000">
      <w:pPr>
        <w:pStyle w:val="Heading1"/>
        <w:spacing w:before="300" w:after="150"/>
        <w:rPr>
          <w:b/>
          <w:bCs/>
          <w:color w:val="000000" w:themeColor="text1"/>
          <w:sz w:val="28"/>
          <w:szCs w:val="28"/>
        </w:rPr>
      </w:pPr>
      <w:r w:rsidRPr="00507D1A">
        <w:rPr>
          <w:b/>
          <w:bCs/>
          <w:color w:val="000000" w:themeColor="text1"/>
          <w:sz w:val="28"/>
          <w:szCs w:val="28"/>
        </w:rPr>
        <w:t>6. The Research Gap</w:t>
      </w:r>
    </w:p>
    <w:p w14:paraId="604469DA" w14:textId="77777777" w:rsidR="00E14FBF" w:rsidRPr="007163C5" w:rsidRDefault="00000000">
      <w:pPr>
        <w:spacing w:after="200" w:line="300" w:lineRule="auto"/>
        <w:rPr>
          <w:sz w:val="24"/>
          <w:szCs w:val="24"/>
        </w:rPr>
      </w:pPr>
      <w:r w:rsidRPr="007163C5">
        <w:rPr>
          <w:sz w:val="24"/>
          <w:szCs w:val="24"/>
        </w:rPr>
        <w:t>Synthesizing Sections 2 through 5, the following gap is well supported by the literature reviewed:</w:t>
      </w:r>
    </w:p>
    <w:p w14:paraId="3B9DC6F5" w14:textId="77777777" w:rsidR="00E14FBF" w:rsidRPr="007163C5" w:rsidRDefault="00000000">
      <w:pPr>
        <w:spacing w:after="200" w:line="300" w:lineRule="auto"/>
        <w:ind w:left="720"/>
        <w:rPr>
          <w:sz w:val="24"/>
          <w:szCs w:val="24"/>
        </w:rPr>
      </w:pPr>
      <w:r w:rsidRPr="007163C5">
        <w:rPr>
          <w:sz w:val="24"/>
          <w:szCs w:val="24"/>
        </w:rPr>
        <w:t>While local NLI cross-encoders have already been adopted as a practical design choice in recent agentic healthcare-RAG systems [5], [13], no existing study directly and empirically compares their hallucination-detection accuracy, latency, and cost against an API-based LLM-judge [6] on the same clinical question-answering test cases. The choice between the two is currently inherited as a design assumption from general-domain literature [8]–[12], not demonstrated as a finding in the clinical setting where it is actually being deployed.</w:t>
      </w:r>
    </w:p>
    <w:p w14:paraId="2EE67B06" w14:textId="21F88D14" w:rsidR="00E14FBF" w:rsidRPr="007163C5" w:rsidRDefault="00000000">
      <w:pPr>
        <w:spacing w:after="200" w:line="300" w:lineRule="auto"/>
        <w:rPr>
          <w:sz w:val="24"/>
          <w:szCs w:val="24"/>
        </w:rPr>
      </w:pPr>
      <w:r w:rsidRPr="007163C5">
        <w:rPr>
          <w:sz w:val="24"/>
          <w:szCs w:val="24"/>
        </w:rPr>
        <w:t>This gap is modest but genuine: it does not require inventing a new detection technique, but it does require producing a controlled, joint measurement  across accuracy, latency, and cost simultaneously, on clinical data specifically that the existing literature has not yet produced.</w:t>
      </w:r>
    </w:p>
    <w:p w14:paraId="5B0A5CBC" w14:textId="5E942CD0" w:rsidR="00E14FBF" w:rsidRPr="00507D1A" w:rsidRDefault="00000000">
      <w:pPr>
        <w:pStyle w:val="Heading1"/>
        <w:spacing w:before="300" w:after="150"/>
        <w:rPr>
          <w:b/>
          <w:bCs/>
          <w:color w:val="000000" w:themeColor="text1"/>
          <w:sz w:val="28"/>
          <w:szCs w:val="28"/>
        </w:rPr>
      </w:pPr>
      <w:r w:rsidRPr="00507D1A">
        <w:rPr>
          <w:b/>
          <w:bCs/>
          <w:color w:val="000000" w:themeColor="text1"/>
          <w:sz w:val="28"/>
          <w:szCs w:val="28"/>
        </w:rPr>
        <w:t>7. Reference</w:t>
      </w:r>
      <w:r w:rsidR="00CF73AB">
        <w:rPr>
          <w:b/>
          <w:bCs/>
          <w:color w:val="000000" w:themeColor="text1"/>
          <w:sz w:val="28"/>
          <w:szCs w:val="28"/>
        </w:rPr>
        <w:t>s</w:t>
      </w:r>
    </w:p>
    <w:p w14:paraId="3794840B" w14:textId="77777777" w:rsidR="00E14FBF" w:rsidRPr="007163C5" w:rsidRDefault="00000000">
      <w:pPr>
        <w:spacing w:after="150" w:line="276" w:lineRule="auto"/>
        <w:ind w:left="720" w:hanging="720"/>
        <w:rPr>
          <w:sz w:val="24"/>
          <w:szCs w:val="24"/>
        </w:rPr>
      </w:pPr>
      <w:r w:rsidRPr="007163C5">
        <w:rPr>
          <w:sz w:val="24"/>
          <w:szCs w:val="24"/>
        </w:rPr>
        <w:t>[1] P. Lewis et al., "Retrieval-Augmented Generation for Knowledge-Intensive NLP Tasks," in Proc. NeurIPS, 2020.</w:t>
      </w:r>
    </w:p>
    <w:p w14:paraId="579A7B7A" w14:textId="77777777" w:rsidR="00E14FBF" w:rsidRPr="007163C5" w:rsidRDefault="00000000">
      <w:pPr>
        <w:spacing w:after="150" w:line="276" w:lineRule="auto"/>
        <w:ind w:left="720" w:hanging="720"/>
        <w:rPr>
          <w:sz w:val="24"/>
          <w:szCs w:val="24"/>
        </w:rPr>
      </w:pPr>
      <w:r w:rsidRPr="007163C5">
        <w:rPr>
          <w:sz w:val="24"/>
          <w:szCs w:val="24"/>
        </w:rPr>
        <w:t>[2] Y. Gao, Y. Xiong, X. Gao, et al., "Retrieval-Augmented Generation for Large Language Models: A Survey," arXiv:2312.10997, 2023.</w:t>
      </w:r>
    </w:p>
    <w:p w14:paraId="5C7FDD39" w14:textId="77777777" w:rsidR="00E14FBF" w:rsidRPr="007163C5" w:rsidRDefault="00000000">
      <w:pPr>
        <w:spacing w:after="150" w:line="276" w:lineRule="auto"/>
        <w:ind w:left="720" w:hanging="720"/>
        <w:rPr>
          <w:sz w:val="24"/>
          <w:szCs w:val="24"/>
        </w:rPr>
      </w:pPr>
      <w:r w:rsidRPr="007163C5">
        <w:rPr>
          <w:sz w:val="24"/>
          <w:szCs w:val="24"/>
        </w:rPr>
        <w:t>[3] Authors, "Representation Before Retrieval: Structured Patient Artifacts Reduce Hallucination in Clinical AI Systems," medRxiv, 2026.</w:t>
      </w:r>
    </w:p>
    <w:p w14:paraId="3056AEBF" w14:textId="77777777" w:rsidR="00E14FBF" w:rsidRPr="007163C5" w:rsidRDefault="00000000">
      <w:pPr>
        <w:spacing w:after="150" w:line="276" w:lineRule="auto"/>
        <w:ind w:left="720" w:hanging="720"/>
        <w:rPr>
          <w:sz w:val="24"/>
          <w:szCs w:val="24"/>
        </w:rPr>
      </w:pPr>
      <w:r w:rsidRPr="007163C5">
        <w:rPr>
          <w:sz w:val="24"/>
          <w:szCs w:val="24"/>
        </w:rPr>
        <w:t>[4] Authors, "Facet-Level Tracing of Evidence Uncertainty and Hallucination in RAG," arXiv:2604.09174, 2026.</w:t>
      </w:r>
    </w:p>
    <w:p w14:paraId="087AA377" w14:textId="77777777" w:rsidR="00E14FBF" w:rsidRPr="007163C5" w:rsidRDefault="00000000">
      <w:pPr>
        <w:spacing w:after="150" w:line="276" w:lineRule="auto"/>
        <w:ind w:left="720" w:hanging="720"/>
        <w:rPr>
          <w:sz w:val="24"/>
          <w:szCs w:val="24"/>
        </w:rPr>
      </w:pPr>
      <w:r w:rsidRPr="007163C5">
        <w:rPr>
          <w:sz w:val="24"/>
          <w:szCs w:val="24"/>
        </w:rPr>
        <w:t>[5] S. Mishra, "Cascading Hallucination in Agentic RAG: The CHARM Framework for Detection and Mitigation," arXiv:2606.04435, 2026.</w:t>
      </w:r>
    </w:p>
    <w:p w14:paraId="63DDCA0B" w14:textId="77777777" w:rsidR="00E14FBF" w:rsidRPr="007163C5" w:rsidRDefault="00000000">
      <w:pPr>
        <w:spacing w:after="150" w:line="276" w:lineRule="auto"/>
        <w:ind w:left="720" w:hanging="720"/>
        <w:rPr>
          <w:sz w:val="24"/>
          <w:szCs w:val="24"/>
        </w:rPr>
      </w:pPr>
      <w:r w:rsidRPr="007163C5">
        <w:rPr>
          <w:sz w:val="24"/>
          <w:szCs w:val="24"/>
        </w:rPr>
        <w:lastRenderedPageBreak/>
        <w:t>[6] L. Zheng et al., "Judging LLM-as-a-Judge with MT-Bench and Chatbot Arena," arXiv:2306.05685, 2023.</w:t>
      </w:r>
    </w:p>
    <w:p w14:paraId="4E9D0294" w14:textId="77777777" w:rsidR="00E14FBF" w:rsidRPr="007163C5" w:rsidRDefault="00000000">
      <w:pPr>
        <w:spacing w:after="150" w:line="276" w:lineRule="auto"/>
        <w:ind w:left="720" w:hanging="720"/>
        <w:rPr>
          <w:sz w:val="24"/>
          <w:szCs w:val="24"/>
        </w:rPr>
      </w:pPr>
      <w:r w:rsidRPr="007163C5">
        <w:rPr>
          <w:sz w:val="24"/>
          <w:szCs w:val="24"/>
        </w:rPr>
        <w:t>[7] P. Agand, "Neuro-Symbolic Financial Reasoning via Deterministic Fact Ledgers and Adversarial Low-Latency Hallucination Detector," arXiv:2603.04663, 2026. (Finance-domain paper; cited only for its documented finding on API-judge latency, not for medical content.)</w:t>
      </w:r>
    </w:p>
    <w:p w14:paraId="7878C7E5" w14:textId="77777777" w:rsidR="00E14FBF" w:rsidRPr="007163C5" w:rsidRDefault="00000000">
      <w:pPr>
        <w:spacing w:after="150" w:line="276" w:lineRule="auto"/>
        <w:ind w:left="720" w:hanging="720"/>
        <w:rPr>
          <w:sz w:val="24"/>
          <w:szCs w:val="24"/>
        </w:rPr>
      </w:pPr>
      <w:r w:rsidRPr="007163C5">
        <w:rPr>
          <w:sz w:val="24"/>
          <w:szCs w:val="24"/>
        </w:rPr>
        <w:t>[8] P. Laban, T. Schnabel, P. N. Bennett, and M. A. Hearst, "SummaC: Re-Visiting NLI-based Models for Inconsistency Detection in Summarization," Trans. Assoc. Comput. Linguistics, 2022.</w:t>
      </w:r>
    </w:p>
    <w:p w14:paraId="4C999E1E" w14:textId="77777777" w:rsidR="00E14FBF" w:rsidRPr="007163C5" w:rsidRDefault="00000000">
      <w:pPr>
        <w:spacing w:after="150" w:line="276" w:lineRule="auto"/>
        <w:ind w:left="720" w:hanging="720"/>
        <w:rPr>
          <w:sz w:val="24"/>
          <w:szCs w:val="24"/>
        </w:rPr>
      </w:pPr>
      <w:r w:rsidRPr="007163C5">
        <w:rPr>
          <w:sz w:val="24"/>
          <w:szCs w:val="24"/>
        </w:rPr>
        <w:t>[9] Y. Zha et al., "AlignScore: Evaluating Factual Consistency with a Unified Alignment Function," in Proc. ACL, 2023.</w:t>
      </w:r>
    </w:p>
    <w:p w14:paraId="3C53BD8A" w14:textId="77777777" w:rsidR="00E14FBF" w:rsidRPr="007163C5" w:rsidRDefault="00000000">
      <w:pPr>
        <w:spacing w:after="150" w:line="276" w:lineRule="auto"/>
        <w:ind w:left="720" w:hanging="720"/>
        <w:rPr>
          <w:sz w:val="24"/>
          <w:szCs w:val="24"/>
        </w:rPr>
      </w:pPr>
      <w:r w:rsidRPr="007163C5">
        <w:rPr>
          <w:sz w:val="24"/>
          <w:szCs w:val="24"/>
        </w:rPr>
        <w:t>[10] L. Tang et al., "MiniCheck: Efficient Fact-Checking of LLMs on Grounding Documents," arXiv:2404.10774, 2024.</w:t>
      </w:r>
    </w:p>
    <w:p w14:paraId="739B2C66" w14:textId="77777777" w:rsidR="00E14FBF" w:rsidRPr="007163C5" w:rsidRDefault="00000000">
      <w:pPr>
        <w:spacing w:after="150" w:line="276" w:lineRule="auto"/>
        <w:ind w:left="720" w:hanging="720"/>
        <w:rPr>
          <w:sz w:val="24"/>
          <w:szCs w:val="24"/>
        </w:rPr>
      </w:pPr>
      <w:r w:rsidRPr="007163C5">
        <w:rPr>
          <w:sz w:val="24"/>
          <w:szCs w:val="24"/>
        </w:rPr>
        <w:t>[11] M. Belyi et al., "Luna: An Evaluation Foundation Model to Catch Language Model Hallucinations with High Accuracy and Low Cost," arXiv:2406.00975, 2024.</w:t>
      </w:r>
    </w:p>
    <w:p w14:paraId="23033A05" w14:textId="77777777" w:rsidR="00E14FBF" w:rsidRPr="007163C5" w:rsidRDefault="00000000">
      <w:pPr>
        <w:spacing w:after="150" w:line="276" w:lineRule="auto"/>
        <w:ind w:left="720" w:hanging="720"/>
        <w:rPr>
          <w:sz w:val="24"/>
          <w:szCs w:val="24"/>
        </w:rPr>
      </w:pPr>
      <w:r w:rsidRPr="007163C5">
        <w:rPr>
          <w:sz w:val="24"/>
          <w:szCs w:val="24"/>
        </w:rPr>
        <w:t>[12] Authors, "VERITAS: A Unified Approach to Reliability Evaluation," arXiv:2411.03300, 2024. (Paper confirmed to exist at this arXiv ID; full author list should be verified directly on arXiv before final submission.)</w:t>
      </w:r>
    </w:p>
    <w:p w14:paraId="4DD59A1F" w14:textId="77777777" w:rsidR="00E14FBF" w:rsidRPr="007163C5" w:rsidRDefault="00000000">
      <w:pPr>
        <w:spacing w:after="150" w:line="276" w:lineRule="auto"/>
        <w:ind w:left="720" w:hanging="720"/>
        <w:rPr>
          <w:sz w:val="24"/>
          <w:szCs w:val="24"/>
        </w:rPr>
      </w:pPr>
      <w:r w:rsidRPr="007163C5">
        <w:rPr>
          <w:sz w:val="24"/>
          <w:szCs w:val="24"/>
        </w:rPr>
        <w:t>[13] J. Ryan et al., "Self-MedRAG: A Self-Reflective Hybrid Retrieval-Augmented Generation Framework for Reliable Medical Question Answering," arXiv:2601.04531, 2026.</w:t>
      </w:r>
    </w:p>
    <w:p w14:paraId="16867BF8" w14:textId="77777777" w:rsidR="00E14FBF" w:rsidRPr="007163C5" w:rsidRDefault="00000000">
      <w:pPr>
        <w:spacing w:after="150" w:line="276" w:lineRule="auto"/>
        <w:ind w:left="720" w:hanging="720"/>
        <w:rPr>
          <w:sz w:val="24"/>
          <w:szCs w:val="24"/>
        </w:rPr>
      </w:pPr>
      <w:r w:rsidRPr="007163C5">
        <w:rPr>
          <w:sz w:val="24"/>
          <w:szCs w:val="24"/>
        </w:rPr>
        <w:t>[14] D. Janiak, J. Binkowski, A. Sawczyn, B. Gabrys, R. Shwartz-Ziv, and T. Kajdanowicz, "The Illusion of Progress: Re-evaluating Hallucination Detection in LLMs," in Proc. EMNLP, 2025.</w:t>
      </w:r>
    </w:p>
    <w:p w14:paraId="404E915D" w14:textId="77777777" w:rsidR="00E14FBF" w:rsidRPr="007163C5" w:rsidRDefault="00000000">
      <w:pPr>
        <w:spacing w:after="150" w:line="276" w:lineRule="auto"/>
        <w:ind w:left="720" w:hanging="720"/>
        <w:rPr>
          <w:sz w:val="24"/>
          <w:szCs w:val="24"/>
        </w:rPr>
      </w:pPr>
      <w:r w:rsidRPr="007163C5">
        <w:rPr>
          <w:sz w:val="24"/>
          <w:szCs w:val="24"/>
        </w:rPr>
        <w:t>[15] A. Romanov and C. Shivade, "Lessons from Natural Language Inference in the Clinical Domain," in Proc. EMNLP, 2018. (Introduces the MedNLI dataset.)</w:t>
      </w:r>
    </w:p>
    <w:p w14:paraId="212B8670" w14:textId="77777777" w:rsidR="00E14FBF" w:rsidRPr="007163C5" w:rsidRDefault="00000000">
      <w:pPr>
        <w:spacing w:after="150" w:line="276" w:lineRule="auto"/>
        <w:ind w:left="720" w:hanging="720"/>
        <w:rPr>
          <w:sz w:val="24"/>
          <w:szCs w:val="24"/>
        </w:rPr>
      </w:pPr>
      <w:r w:rsidRPr="007163C5">
        <w:rPr>
          <w:sz w:val="24"/>
          <w:szCs w:val="24"/>
        </w:rPr>
        <w:t>[16] C. Herlihy and R. Rudinger, "MedNLI Is Not Immune: Natural Language Inference Artifacts in the Clinical Domain," arXiv:2106.01491, 2021.</w:t>
      </w:r>
    </w:p>
    <w:sectPr w:rsidR="00E14FBF" w:rsidRPr="007163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187C6C"/>
    <w:multiLevelType w:val="hybridMultilevel"/>
    <w:tmpl w:val="11F66736"/>
    <w:lvl w:ilvl="0" w:tplc="E0F01354">
      <w:start w:val="1"/>
      <w:numFmt w:val="bullet"/>
      <w:lvlText w:val="●"/>
      <w:lvlJc w:val="left"/>
      <w:pPr>
        <w:ind w:left="720" w:hanging="360"/>
      </w:pPr>
    </w:lvl>
    <w:lvl w:ilvl="1" w:tplc="04105518">
      <w:start w:val="1"/>
      <w:numFmt w:val="bullet"/>
      <w:lvlText w:val="○"/>
      <w:lvlJc w:val="left"/>
      <w:pPr>
        <w:ind w:left="1440" w:hanging="360"/>
      </w:pPr>
    </w:lvl>
    <w:lvl w:ilvl="2" w:tplc="FB36E488">
      <w:start w:val="1"/>
      <w:numFmt w:val="bullet"/>
      <w:lvlText w:val="■"/>
      <w:lvlJc w:val="left"/>
      <w:pPr>
        <w:ind w:left="2160" w:hanging="360"/>
      </w:pPr>
    </w:lvl>
    <w:lvl w:ilvl="3" w:tplc="F2B8032A">
      <w:start w:val="1"/>
      <w:numFmt w:val="bullet"/>
      <w:lvlText w:val="●"/>
      <w:lvlJc w:val="left"/>
      <w:pPr>
        <w:ind w:left="2880" w:hanging="360"/>
      </w:pPr>
    </w:lvl>
    <w:lvl w:ilvl="4" w:tplc="E5A6D5AC">
      <w:start w:val="1"/>
      <w:numFmt w:val="bullet"/>
      <w:lvlText w:val="○"/>
      <w:lvlJc w:val="left"/>
      <w:pPr>
        <w:ind w:left="3600" w:hanging="360"/>
      </w:pPr>
    </w:lvl>
    <w:lvl w:ilvl="5" w:tplc="B51A249E">
      <w:start w:val="1"/>
      <w:numFmt w:val="bullet"/>
      <w:lvlText w:val="■"/>
      <w:lvlJc w:val="left"/>
      <w:pPr>
        <w:ind w:left="4320" w:hanging="360"/>
      </w:pPr>
    </w:lvl>
    <w:lvl w:ilvl="6" w:tplc="3BF47084">
      <w:start w:val="1"/>
      <w:numFmt w:val="bullet"/>
      <w:lvlText w:val="●"/>
      <w:lvlJc w:val="left"/>
      <w:pPr>
        <w:ind w:left="5040" w:hanging="360"/>
      </w:pPr>
    </w:lvl>
    <w:lvl w:ilvl="7" w:tplc="E72E725C">
      <w:start w:val="1"/>
      <w:numFmt w:val="bullet"/>
      <w:lvlText w:val="●"/>
      <w:lvlJc w:val="left"/>
      <w:pPr>
        <w:ind w:left="5760" w:hanging="360"/>
      </w:pPr>
    </w:lvl>
    <w:lvl w:ilvl="8" w:tplc="BB7883B6">
      <w:start w:val="1"/>
      <w:numFmt w:val="bullet"/>
      <w:lvlText w:val="●"/>
      <w:lvlJc w:val="left"/>
      <w:pPr>
        <w:ind w:left="6480" w:hanging="360"/>
      </w:pPr>
    </w:lvl>
  </w:abstractNum>
  <w:num w:numId="1" w16cid:durableId="19081096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BF"/>
    <w:rsid w:val="00000556"/>
    <w:rsid w:val="00133966"/>
    <w:rsid w:val="00482291"/>
    <w:rsid w:val="004E54F1"/>
    <w:rsid w:val="00507D1A"/>
    <w:rsid w:val="005D3378"/>
    <w:rsid w:val="00656AC9"/>
    <w:rsid w:val="007163C5"/>
    <w:rsid w:val="0074618D"/>
    <w:rsid w:val="00765154"/>
    <w:rsid w:val="009473A7"/>
    <w:rsid w:val="009F4EA7"/>
    <w:rsid w:val="00A4198E"/>
    <w:rsid w:val="00C17593"/>
    <w:rsid w:val="00CF73AB"/>
    <w:rsid w:val="00E14FBF"/>
    <w:rsid w:val="00F63E1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3AF74839"/>
  <w15:docId w15:val="{470616F6-0B53-964F-9EB7-B0C7C630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73A7"/>
    <w:rPr>
      <w:rFonts w:ascii="Calibri" w:eastAsia="Calibri" w:hAnsi="Calibr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1959</Words>
  <Characters>11170</Characters>
  <Application>Microsoft Office Word</Application>
  <DocSecurity>0</DocSecurity>
  <Lines>93</Lines>
  <Paragraphs>26</Paragraphs>
  <ScaleCrop>false</ScaleCrop>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23JZBCS0232</cp:lastModifiedBy>
  <cp:revision>16</cp:revision>
  <dcterms:created xsi:type="dcterms:W3CDTF">2026-09-10T09:54:00Z</dcterms:created>
  <dcterms:modified xsi:type="dcterms:W3CDTF">2026-09-10T10:05:00Z</dcterms:modified>
</cp:coreProperties>
</file>