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ACA9C" w14:textId="77777777" w:rsidR="00ED0984" w:rsidRPr="00D659E9" w:rsidRDefault="00ED0984" w:rsidP="00ED0984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before="120" w:after="120" w:line="288" w:lineRule="auto"/>
        <w:jc w:val="both"/>
        <w:rPr>
          <w:u w:val="single"/>
        </w:rPr>
      </w:pPr>
      <w:r w:rsidRPr="00D659E9">
        <w:rPr>
          <w:color w:val="000000"/>
          <w:u w:val="single"/>
        </w:rPr>
        <w:t>For books, record in this standard order:</w:t>
      </w:r>
    </w:p>
    <w:p w14:paraId="338B9ADD" w14:textId="77777777" w:rsidR="00ED0984" w:rsidRDefault="00ED0984" w:rsidP="00ED0984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before="120" w:after="120"/>
        <w:ind w:left="806"/>
        <w:jc w:val="both"/>
        <w:rPr>
          <w:color w:val="000000"/>
        </w:rPr>
      </w:pPr>
      <w:r>
        <w:rPr>
          <w:color w:val="000000"/>
        </w:rPr>
        <w:t>Author(s) or Editor(s)</w:t>
      </w:r>
    </w:p>
    <w:p w14:paraId="0DC0E21C" w14:textId="77777777" w:rsidR="00ED0984" w:rsidRDefault="00ED0984" w:rsidP="00ED0984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before="120" w:after="120"/>
        <w:ind w:left="806"/>
        <w:jc w:val="both"/>
        <w:rPr>
          <w:color w:val="000000"/>
        </w:rPr>
      </w:pPr>
      <w:r>
        <w:rPr>
          <w:color w:val="000000"/>
        </w:rPr>
        <w:t>Year of Publication</w:t>
      </w:r>
    </w:p>
    <w:p w14:paraId="3BAF0D23" w14:textId="77777777" w:rsidR="00ED0984" w:rsidRDefault="00ED0984" w:rsidP="00ED0984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before="120" w:after="120"/>
        <w:ind w:left="806"/>
        <w:jc w:val="both"/>
        <w:rPr>
          <w:color w:val="000000"/>
        </w:rPr>
      </w:pPr>
      <w:r>
        <w:rPr>
          <w:color w:val="000000"/>
        </w:rPr>
        <w:t>Title, Edition</w:t>
      </w:r>
    </w:p>
    <w:p w14:paraId="4597BDB3" w14:textId="77777777" w:rsidR="00ED0984" w:rsidRDefault="00ED0984" w:rsidP="00ED0984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before="120" w:after="120"/>
        <w:ind w:left="806"/>
        <w:jc w:val="both"/>
        <w:rPr>
          <w:color w:val="000000"/>
        </w:rPr>
      </w:pPr>
      <w:r>
        <w:rPr>
          <w:color w:val="000000"/>
        </w:rPr>
        <w:t>Place of Publication</w:t>
      </w:r>
    </w:p>
    <w:p w14:paraId="69554887" w14:textId="77777777" w:rsidR="00ED0984" w:rsidRDefault="00ED0984" w:rsidP="00ED0984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before="120" w:after="120"/>
        <w:ind w:left="806"/>
        <w:jc w:val="both"/>
        <w:rPr>
          <w:color w:val="000000"/>
        </w:rPr>
      </w:pPr>
      <w:r>
        <w:rPr>
          <w:color w:val="000000"/>
        </w:rPr>
        <w:t>Publisher</w:t>
      </w:r>
    </w:p>
    <w:p w14:paraId="07CC4E58" w14:textId="77777777" w:rsidR="00ED0984" w:rsidRDefault="00ED0984" w:rsidP="00ED0984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ind w:left="1080" w:firstLine="720"/>
        <w:jc w:val="both"/>
        <w:rPr>
          <w:color w:val="000000"/>
        </w:rPr>
      </w:pPr>
    </w:p>
    <w:p w14:paraId="43E63DA4" w14:textId="77777777" w:rsidR="00ED0984" w:rsidRDefault="00ED0984" w:rsidP="00ED0984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before="120" w:after="120" w:line="288" w:lineRule="auto"/>
        <w:ind w:left="720" w:hanging="720"/>
        <w:jc w:val="both"/>
        <w:rPr>
          <w:color w:val="000000"/>
        </w:rPr>
      </w:pPr>
      <w:r>
        <w:rPr>
          <w:color w:val="000000"/>
        </w:rPr>
        <w:t>E.g.</w:t>
      </w:r>
      <w:r>
        <w:rPr>
          <w:color w:val="000000"/>
        </w:rPr>
        <w:tab/>
        <w:t>Pressman, R.S., (2014</w:t>
      </w:r>
      <w:r>
        <w:rPr>
          <w:i/>
          <w:color w:val="000000"/>
        </w:rPr>
        <w:t>). Software Engineering: a practitioner’s approach</w:t>
      </w:r>
      <w:r>
        <w:rPr>
          <w:color w:val="000000"/>
        </w:rPr>
        <w:t>. 8</w:t>
      </w:r>
      <w:r w:rsidRPr="00642A84">
        <w:rPr>
          <w:color w:val="000000"/>
          <w:vertAlign w:val="superscript"/>
        </w:rPr>
        <w:t>th</w:t>
      </w:r>
      <w:r>
        <w:rPr>
          <w:color w:val="000000"/>
        </w:rPr>
        <w:t xml:space="preserve"> ed., London: McGraw-Hill Education.</w:t>
      </w:r>
    </w:p>
    <w:p w14:paraId="72D794D7" w14:textId="77777777" w:rsidR="00ED0984" w:rsidRDefault="00ED0984" w:rsidP="00ED0984">
      <w:pPr>
        <w:tabs>
          <w:tab w:val="left" w:pos="540"/>
        </w:tabs>
        <w:spacing w:before="120" w:after="120" w:line="288" w:lineRule="auto"/>
        <w:ind w:left="60"/>
        <w:jc w:val="both"/>
      </w:pPr>
    </w:p>
    <w:p w14:paraId="5375FB42" w14:textId="77777777" w:rsidR="00ED0984" w:rsidRPr="00D659E9" w:rsidRDefault="00ED0984" w:rsidP="00ED0984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before="120" w:after="120" w:line="288" w:lineRule="auto"/>
        <w:jc w:val="both"/>
        <w:rPr>
          <w:color w:val="000000"/>
          <w:u w:val="single"/>
        </w:rPr>
      </w:pPr>
      <w:r w:rsidRPr="00D659E9">
        <w:rPr>
          <w:color w:val="000000"/>
          <w:u w:val="single"/>
        </w:rPr>
        <w:t>For periodical articles:</w:t>
      </w:r>
    </w:p>
    <w:p w14:paraId="7034F641" w14:textId="77777777" w:rsidR="00ED0984" w:rsidRDefault="00ED0984" w:rsidP="00ED0984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before="120" w:after="120"/>
        <w:ind w:left="806"/>
        <w:jc w:val="both"/>
        <w:rPr>
          <w:color w:val="000000"/>
        </w:rPr>
      </w:pPr>
      <w:r>
        <w:rPr>
          <w:color w:val="000000"/>
        </w:rPr>
        <w:t>Author</w:t>
      </w:r>
    </w:p>
    <w:p w14:paraId="3AD80F4E" w14:textId="77777777" w:rsidR="00ED0984" w:rsidRDefault="00ED0984" w:rsidP="00ED0984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before="120" w:after="120"/>
        <w:ind w:left="806"/>
        <w:jc w:val="both"/>
        <w:rPr>
          <w:color w:val="000000"/>
        </w:rPr>
      </w:pPr>
      <w:r>
        <w:rPr>
          <w:color w:val="000000"/>
        </w:rPr>
        <w:t>Year of publication</w:t>
      </w:r>
    </w:p>
    <w:p w14:paraId="0DCFE833" w14:textId="77777777" w:rsidR="00ED0984" w:rsidRDefault="00ED0984" w:rsidP="00ED0984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before="120" w:after="120"/>
        <w:ind w:left="806"/>
        <w:jc w:val="both"/>
        <w:rPr>
          <w:color w:val="000000"/>
        </w:rPr>
      </w:pPr>
      <w:r>
        <w:rPr>
          <w:color w:val="000000"/>
        </w:rPr>
        <w:t>Title of article</w:t>
      </w:r>
    </w:p>
    <w:p w14:paraId="7C0B9D3A" w14:textId="77777777" w:rsidR="00ED0984" w:rsidRDefault="00ED0984" w:rsidP="00ED0984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before="120" w:after="120"/>
        <w:ind w:left="806"/>
        <w:jc w:val="both"/>
        <w:rPr>
          <w:color w:val="000000"/>
        </w:rPr>
      </w:pPr>
      <w:r>
        <w:rPr>
          <w:color w:val="000000"/>
        </w:rPr>
        <w:t>Name of journal</w:t>
      </w:r>
    </w:p>
    <w:p w14:paraId="649BBCD1" w14:textId="77777777" w:rsidR="00ED0984" w:rsidRDefault="00ED0984" w:rsidP="00ED0984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before="120" w:after="120"/>
        <w:ind w:left="806"/>
        <w:jc w:val="both"/>
        <w:rPr>
          <w:color w:val="000000"/>
        </w:rPr>
      </w:pPr>
      <w:r>
        <w:rPr>
          <w:color w:val="000000"/>
        </w:rPr>
        <w:t xml:space="preserve">Volume, </w:t>
      </w:r>
      <w:proofErr w:type="gramStart"/>
      <w:r>
        <w:rPr>
          <w:color w:val="000000"/>
        </w:rPr>
        <w:t>issue</w:t>
      </w:r>
      <w:proofErr w:type="gramEnd"/>
      <w:r>
        <w:rPr>
          <w:color w:val="000000"/>
        </w:rPr>
        <w:t xml:space="preserve"> or part number (or day and month), page number</w:t>
      </w:r>
    </w:p>
    <w:p w14:paraId="45A79CC8" w14:textId="77777777" w:rsidR="00ED0984" w:rsidRDefault="00ED0984" w:rsidP="00ED0984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ind w:left="1080" w:firstLine="720"/>
        <w:jc w:val="both"/>
        <w:rPr>
          <w:color w:val="000000"/>
        </w:rPr>
      </w:pPr>
    </w:p>
    <w:p w14:paraId="4A366BFD" w14:textId="77777777" w:rsidR="00ED0984" w:rsidRDefault="00ED0984" w:rsidP="00ED0984">
      <w:pPr>
        <w:tabs>
          <w:tab w:val="left" w:pos="540"/>
        </w:tabs>
        <w:spacing w:before="120" w:after="120" w:line="288" w:lineRule="auto"/>
        <w:ind w:left="720" w:hanging="720"/>
        <w:jc w:val="both"/>
        <w:rPr>
          <w:color w:val="000000"/>
        </w:rPr>
      </w:pPr>
      <w:r>
        <w:rPr>
          <w:color w:val="000000"/>
        </w:rPr>
        <w:t>E.g.</w:t>
      </w:r>
      <w:r>
        <w:rPr>
          <w:color w:val="000000"/>
        </w:rPr>
        <w:tab/>
      </w:r>
      <w:proofErr w:type="spellStart"/>
      <w:r w:rsidRPr="006900FE">
        <w:rPr>
          <w:color w:val="000000"/>
        </w:rPr>
        <w:t>Schcolnik</w:t>
      </w:r>
      <w:proofErr w:type="spellEnd"/>
      <w:r>
        <w:rPr>
          <w:color w:val="000000"/>
        </w:rPr>
        <w:t xml:space="preserve">, M., (2018). Digital tools in academic writing. </w:t>
      </w:r>
      <w:r w:rsidRPr="006900FE">
        <w:rPr>
          <w:i/>
          <w:color w:val="000000"/>
        </w:rPr>
        <w:t>Journal of Academic Writing</w:t>
      </w:r>
      <w:r>
        <w:rPr>
          <w:color w:val="000000"/>
        </w:rPr>
        <w:t>. 8 (1), 121-130.</w:t>
      </w:r>
    </w:p>
    <w:p w14:paraId="24D99FC1" w14:textId="77777777" w:rsidR="00ED0984" w:rsidRDefault="00ED0984" w:rsidP="00ED0984">
      <w:pPr>
        <w:tabs>
          <w:tab w:val="left" w:pos="540"/>
        </w:tabs>
        <w:spacing w:before="120" w:after="120" w:line="288" w:lineRule="auto"/>
        <w:jc w:val="both"/>
        <w:rPr>
          <w:color w:val="000000"/>
        </w:rPr>
      </w:pPr>
    </w:p>
    <w:p w14:paraId="4BD27698" w14:textId="77777777" w:rsidR="00ED0984" w:rsidRPr="00D659E9" w:rsidRDefault="00ED0984" w:rsidP="00ED0984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before="120" w:after="120" w:line="288" w:lineRule="auto"/>
        <w:jc w:val="both"/>
        <w:rPr>
          <w:color w:val="000000"/>
          <w:u w:val="single"/>
        </w:rPr>
      </w:pPr>
      <w:r w:rsidRPr="00D659E9">
        <w:rPr>
          <w:color w:val="000000"/>
          <w:u w:val="single"/>
        </w:rPr>
        <w:t>For online sources (</w:t>
      </w:r>
      <w:proofErr w:type="gramStart"/>
      <w:r w:rsidRPr="00D659E9">
        <w:rPr>
          <w:color w:val="000000"/>
          <w:u w:val="single"/>
        </w:rPr>
        <w:t>e.g.</w:t>
      </w:r>
      <w:proofErr w:type="gramEnd"/>
      <w:r w:rsidRPr="00D659E9">
        <w:rPr>
          <w:color w:val="000000"/>
          <w:u w:val="single"/>
        </w:rPr>
        <w:t xml:space="preserve"> websites)</w:t>
      </w:r>
    </w:p>
    <w:p w14:paraId="641C89FF" w14:textId="77777777" w:rsidR="00ED0984" w:rsidRDefault="00ED0984" w:rsidP="00ED0984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before="120" w:after="120"/>
        <w:ind w:left="806"/>
        <w:jc w:val="both"/>
        <w:rPr>
          <w:color w:val="000000"/>
        </w:rPr>
      </w:pPr>
      <w:r>
        <w:rPr>
          <w:color w:val="000000"/>
        </w:rPr>
        <w:t>Author</w:t>
      </w:r>
    </w:p>
    <w:p w14:paraId="35E6E13E" w14:textId="77777777" w:rsidR="00ED0984" w:rsidRDefault="00ED0984" w:rsidP="00ED0984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before="120" w:after="120"/>
        <w:ind w:left="806"/>
        <w:jc w:val="both"/>
        <w:rPr>
          <w:color w:val="000000"/>
        </w:rPr>
      </w:pPr>
      <w:r>
        <w:rPr>
          <w:color w:val="000000"/>
        </w:rPr>
        <w:t>Year of publication</w:t>
      </w:r>
    </w:p>
    <w:p w14:paraId="755BC6AF" w14:textId="77777777" w:rsidR="00ED0984" w:rsidRDefault="00ED0984" w:rsidP="00ED0984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before="120" w:after="120"/>
        <w:ind w:left="806"/>
        <w:jc w:val="both"/>
        <w:rPr>
          <w:color w:val="000000"/>
        </w:rPr>
      </w:pPr>
      <w:r>
        <w:rPr>
          <w:color w:val="000000"/>
        </w:rPr>
        <w:t>Title of document</w:t>
      </w:r>
    </w:p>
    <w:p w14:paraId="5CE22C7F" w14:textId="77777777" w:rsidR="00ED0984" w:rsidRDefault="00ED0984" w:rsidP="00ED0984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before="120" w:after="120"/>
        <w:ind w:left="806"/>
        <w:jc w:val="both"/>
        <w:rPr>
          <w:color w:val="000000"/>
        </w:rPr>
      </w:pPr>
      <w:r>
        <w:rPr>
          <w:color w:val="000000"/>
        </w:rPr>
        <w:t>URL</w:t>
      </w:r>
    </w:p>
    <w:p w14:paraId="6BD1E6F7" w14:textId="77777777" w:rsidR="00ED0984" w:rsidRDefault="00ED0984" w:rsidP="00ED0984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before="120" w:after="120"/>
        <w:ind w:left="806"/>
        <w:jc w:val="both"/>
        <w:rPr>
          <w:color w:val="000000"/>
        </w:rPr>
      </w:pPr>
      <w:r>
        <w:rPr>
          <w:color w:val="000000"/>
        </w:rPr>
        <w:t>Date accessed</w:t>
      </w:r>
    </w:p>
    <w:p w14:paraId="6E9681F8" w14:textId="77777777" w:rsidR="00ED0984" w:rsidRDefault="00ED0984" w:rsidP="00ED0984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ind w:left="1080" w:firstLine="720"/>
        <w:jc w:val="both"/>
      </w:pPr>
    </w:p>
    <w:p w14:paraId="1F050B32" w14:textId="77777777" w:rsidR="00ED0984" w:rsidRDefault="00ED0984" w:rsidP="00ED0984">
      <w:pPr>
        <w:tabs>
          <w:tab w:val="left" w:pos="540"/>
        </w:tabs>
        <w:spacing w:before="120" w:after="120" w:line="288" w:lineRule="auto"/>
        <w:ind w:left="720" w:hanging="720"/>
        <w:rPr>
          <w:color w:val="000000"/>
        </w:rPr>
      </w:pPr>
      <w:r>
        <w:rPr>
          <w:color w:val="000000"/>
        </w:rPr>
        <w:t> E.g.</w:t>
      </w:r>
      <w:r>
        <w:rPr>
          <w:color w:val="000000"/>
        </w:rPr>
        <w:tab/>
        <w:t xml:space="preserve">University of Westminster (2021). </w:t>
      </w:r>
      <w:r>
        <w:rPr>
          <w:i/>
          <w:color w:val="000000"/>
        </w:rPr>
        <w:t>Citation and Referencing Guide</w:t>
      </w:r>
      <w:r>
        <w:rPr>
          <w:color w:val="000000"/>
        </w:rPr>
        <w:t xml:space="preserve">. [Online]. Available from: </w:t>
      </w:r>
      <w:hyperlink r:id="rId4">
        <w:r>
          <w:rPr>
            <w:color w:val="0000FF"/>
            <w:u w:val="single"/>
          </w:rPr>
          <w:t>https://libguides.westminster.ac.uk/c.php?g=666541&amp;p=4733712</w:t>
        </w:r>
      </w:hyperlink>
      <w:r>
        <w:rPr>
          <w:color w:val="000000"/>
        </w:rPr>
        <w:t>. [Accessed 15 September 2022].</w:t>
      </w:r>
    </w:p>
    <w:p w14:paraId="4276577C" w14:textId="77777777" w:rsidR="00912EE9" w:rsidRDefault="00912EE9"/>
    <w:sectPr w:rsidR="00912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984"/>
    <w:rsid w:val="00912EE9"/>
    <w:rsid w:val="00A87C67"/>
    <w:rsid w:val="00ED0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5743B"/>
  <w15:chartTrackingRefBased/>
  <w15:docId w15:val="{516EE255-F877-4069-B075-CF5494818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D09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ibguides.westminster.ac.uk/c.php?g=666541&amp;p=47337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Hettiaratchy, Antoinette</dc:creator>
  <cp:keywords/>
  <dc:description/>
  <cp:lastModifiedBy>Hettiaratchy, Antoinette</cp:lastModifiedBy>
  <cp:revision>1</cp:revision>
  <dcterms:created xsi:type="dcterms:W3CDTF">2022-07-22T05:31:00Z</dcterms:created>
  <dcterms:modified xsi:type="dcterms:W3CDTF">2022-07-22T06:29:00Z</dcterms:modified>
</cp:coreProperties>
</file>