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6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2E2E" w:sz="12"/>
              <w:left w:val="single" w:color="8B2E2E" w:sz="12"/>
              <w:bottom w:val="single" w:color="8B2E2E" w:sz="12"/>
              <w:right w:val="single" w:color="8B2E2E" w:sz="12"/>
            </w:tcBorders>
            <w:shd w:fill="F8E6E6" w:color="auto" w:val="clear"/>
            <w:tcMar>
              <w:top w:type="dxa" w:w="160"/>
              <w:left w:type="dxa" w:w="200"/>
              <w:bottom w:type="dxa" w:w="160"/>
              <w:right w:type="dxa" w:w="200"/>
            </w:tcMar>
          </w:tcPr>
          <w:p>
            <w:pPr>
              <w:jc w:val="center"/>
            </w:pPr>
            <w:r>
              <w:rPr>
                <w:rFonts w:ascii="Calibri" w:cs="Calibri" w:eastAsia="Calibri" w:hAnsi="Calibri"/>
                <w:b/>
                <w:bCs/>
                <w:color w:val="8B2E2E"/>
                <w:sz w:val="32"/>
                <w:szCs w:val="32"/>
              </w:rPr>
              <w:t xml:space="preserve">CONFIDENTIEL  —  DIFFUSION RESTREINTE</w:t>
            </w:r>
          </w:p>
        </w:tc>
      </w:tr>
    </w:tbl>
    <w:p>
      <w:pPr>
        <w:spacing w:after="600" w:before="600"/>
      </w:pPr>
      <w:r>
        <w:t xml:space="preserve"/>
      </w:r>
    </w:p>
    <w:p>
      <w:pPr>
        <w:spacing w:after="100" w:before="100"/>
        <w:jc w:val="center"/>
      </w:pPr>
      <w:r>
        <w:rPr>
          <w:rFonts w:ascii="Calibri" w:cs="Calibri" w:eastAsia="Calibri" w:hAnsi="Calibri"/>
          <w:b/>
          <w:bCs/>
          <w:color w:val="54606F"/>
          <w:sz w:val="28"/>
          <w:szCs w:val="28"/>
        </w:rPr>
        <w:t xml:space="preserve">NOTE TECHNIQUE</w:t>
      </w:r>
    </w:p>
    <w:p>
      <w:pPr>
        <w:spacing w:after="100" w:before="100"/>
      </w:pPr>
      <w:r>
        <w:t xml:space="preserve"/>
      </w:r>
    </w:p>
    <w:p>
      <w:pPr>
        <w:spacing w:after="100" w:before="100"/>
        <w:jc w:val="center"/>
      </w:pPr>
      <w:r>
        <w:rPr>
          <w:rFonts w:ascii="Calibri" w:cs="Calibri" w:eastAsia="Calibri" w:hAnsi="Calibri"/>
          <w:b/>
          <w:bCs/>
          <w:color w:val="0B2A4A"/>
          <w:sz w:val="56"/>
          <w:szCs w:val="56"/>
        </w:rPr>
        <w:t xml:space="preserve">ARCHITECTURE SÉCURISÉE</w:t>
      </w:r>
    </w:p>
    <w:p>
      <w:pPr>
        <w:spacing w:after="100" w:before="100"/>
        <w:jc w:val="center"/>
      </w:pPr>
      <w:r>
        <w:rPr>
          <w:rFonts w:ascii="Calibri" w:cs="Calibri" w:eastAsia="Calibri" w:hAnsi="Calibri"/>
          <w:b/>
          <w:bCs/>
          <w:color w:val="17406B"/>
          <w:sz w:val="36"/>
          <w:szCs w:val="36"/>
        </w:rPr>
        <w:t xml:space="preserve">Messagerie chiffrée &amp; capacité OSINT</w:t>
      </w:r>
    </w:p>
    <w:p>
      <w:pPr>
        <w:spacing w:after="400" w:before="400"/>
      </w:pPr>
      <w:r>
        <w:t xml:space="preserve"/>
      </w:r>
    </w:p>
    <w:p>
      <w:pPr>
        <w:spacing w:after="100" w:before="100"/>
        <w:jc w:val="center"/>
      </w:pPr>
      <w:r>
        <w:rPr>
          <w:rFonts w:ascii="Calibri" w:cs="Calibri" w:eastAsia="Calibri" w:hAnsi="Calibri"/>
          <w:color w:val="54606F"/>
          <w:sz w:val="24"/>
          <w:szCs w:val="24"/>
        </w:rPr>
        <w:t xml:space="preserve">Recommandations opérationnelles pour une structure sensible</w:t>
      </w:r>
    </w:p>
    <w:p>
      <w:pPr>
        <w:spacing w:after="1200" w:before="1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7DCE3" w:sz="4"/>
              <w:left w:val="single" w:color="D7DCE3" w:sz="4"/>
              <w:bottom w:val="single" w:color="D7DCE3" w:sz="4"/>
              <w:right w:val="single" w:color="D7DCE3" w:sz="4"/>
            </w:tcBorders>
            <w:shd w:fill="F4F6F9" w:color="auto" w:val="clear"/>
            <w:tcMar>
              <w:top w:type="dxa" w:w="100"/>
              <w:left w:type="dxa" w:w="140"/>
              <w:bottom w:type="dxa" w:w="100"/>
              <w:right w:type="dxa" w:w="140"/>
            </w:tcMar>
          </w:tcPr>
          <w:p>
            <w:pPr>
              <w:jc w:val="left"/>
            </w:pPr>
            <w:r>
              <w:rPr>
                <w:rFonts w:ascii="Calibri" w:cs="Calibri" w:eastAsia="Calibri" w:hAnsi="Calibri"/>
                <w:b/>
                <w:bCs/>
                <w:sz w:val="20"/>
                <w:szCs w:val="20"/>
              </w:rPr>
              <w:t xml:space="preserve">Destinataire</w:t>
            </w:r>
          </w:p>
        </w:tc>
        <w:tc>
          <w:tcPr>
            <w:tcW w:type="dxa" w:w="6240"/>
            <w:tcBorders>
              <w:top w:val="single" w:color="D7DCE3" w:sz="4"/>
              <w:left w:val="single" w:color="D7DCE3" w:sz="4"/>
              <w:bottom w:val="single" w:color="D7DCE3" w:sz="4"/>
              <w:right w:val="single" w:color="D7DCE3" w:sz="4"/>
            </w:tcBorders>
            <w:tcMar>
              <w:top w:type="dxa" w:w="100"/>
              <w:left w:type="dxa" w:w="140"/>
              <w:bottom w:type="dxa" w:w="100"/>
              <w:right w:type="dxa" w:w="140"/>
            </w:tcMar>
          </w:tcPr>
          <w:p>
            <w:pPr>
              <w:jc w:val="left"/>
            </w:pPr>
            <w:r>
              <w:rPr>
                <w:rFonts w:ascii="Calibri" w:cs="Calibri" w:eastAsia="Calibri" w:hAnsi="Calibri"/>
                <w:sz w:val="20"/>
                <w:szCs w:val="20"/>
              </w:rPr>
              <w:t xml:space="preserve">Haut responsable — À l’attention exclusive</w:t>
            </w:r>
          </w:p>
        </w:tc>
      </w:tr>
      <w:tr>
        <w:tc>
          <w:tcPr>
            <w:tcW w:type="dxa" w:w="3120"/>
            <w:tcBorders>
              <w:top w:val="single" w:color="D7DCE3" w:sz="4"/>
              <w:left w:val="single" w:color="D7DCE3" w:sz="4"/>
              <w:bottom w:val="single" w:color="D7DCE3" w:sz="4"/>
              <w:right w:val="single" w:color="D7DCE3" w:sz="4"/>
            </w:tcBorders>
            <w:shd w:fill="F4F6F9" w:color="auto" w:val="clear"/>
            <w:tcMar>
              <w:top w:type="dxa" w:w="100"/>
              <w:left w:type="dxa" w:w="140"/>
              <w:bottom w:type="dxa" w:w="100"/>
              <w:right w:type="dxa" w:w="140"/>
            </w:tcMar>
          </w:tcPr>
          <w:p>
            <w:pPr>
              <w:jc w:val="left"/>
            </w:pPr>
            <w:r>
              <w:rPr>
                <w:rFonts w:ascii="Calibri" w:cs="Calibri" w:eastAsia="Calibri" w:hAnsi="Calibri"/>
                <w:b/>
                <w:bCs/>
                <w:sz w:val="20"/>
                <w:szCs w:val="20"/>
              </w:rPr>
              <w:t xml:space="preserve">Commanditaire</w:t>
            </w:r>
          </w:p>
        </w:tc>
        <w:tc>
          <w:tcPr>
            <w:tcW w:type="dxa" w:w="6240"/>
            <w:tcBorders>
              <w:top w:val="single" w:color="D7DCE3" w:sz="4"/>
              <w:left w:val="single" w:color="D7DCE3" w:sz="4"/>
              <w:bottom w:val="single" w:color="D7DCE3" w:sz="4"/>
              <w:right w:val="single" w:color="D7DCE3" w:sz="4"/>
            </w:tcBorders>
            <w:tcMar>
              <w:top w:type="dxa" w:w="100"/>
              <w:left w:type="dxa" w:w="140"/>
              <w:bottom w:type="dxa" w:w="100"/>
              <w:right w:type="dxa" w:w="140"/>
            </w:tcMar>
          </w:tcPr>
          <w:p>
            <w:pPr>
              <w:jc w:val="left"/>
            </w:pPr>
            <w:r>
              <w:rPr>
                <w:rFonts w:ascii="Calibri" w:cs="Calibri" w:eastAsia="Calibri" w:hAnsi="Calibri"/>
                <w:sz w:val="20"/>
                <w:szCs w:val="20"/>
              </w:rPr>
              <w:t xml:space="preserve">Organisation étatique commanditaire</w:t>
            </w:r>
          </w:p>
        </w:tc>
      </w:tr>
      <w:tr>
        <w:tc>
          <w:tcPr>
            <w:tcW w:type="dxa" w:w="3120"/>
            <w:tcBorders>
              <w:top w:val="single" w:color="D7DCE3" w:sz="4"/>
              <w:left w:val="single" w:color="D7DCE3" w:sz="4"/>
              <w:bottom w:val="single" w:color="D7DCE3" w:sz="4"/>
              <w:right w:val="single" w:color="D7DCE3" w:sz="4"/>
            </w:tcBorders>
            <w:shd w:fill="F4F6F9" w:color="auto" w:val="clear"/>
            <w:tcMar>
              <w:top w:type="dxa" w:w="100"/>
              <w:left w:type="dxa" w:w="140"/>
              <w:bottom w:type="dxa" w:w="100"/>
              <w:right w:type="dxa" w:w="140"/>
            </w:tcMar>
          </w:tcPr>
          <w:p>
            <w:pPr>
              <w:jc w:val="left"/>
            </w:pPr>
            <w:r>
              <w:rPr>
                <w:rFonts w:ascii="Calibri" w:cs="Calibri" w:eastAsia="Calibri" w:hAnsi="Calibri"/>
                <w:b/>
                <w:bCs/>
                <w:sz w:val="20"/>
                <w:szCs w:val="20"/>
              </w:rPr>
              <w:t xml:space="preserve">Rédacteur</w:t>
            </w:r>
          </w:p>
        </w:tc>
        <w:tc>
          <w:tcPr>
            <w:tcW w:type="dxa" w:w="6240"/>
            <w:tcBorders>
              <w:top w:val="single" w:color="D7DCE3" w:sz="4"/>
              <w:left w:val="single" w:color="D7DCE3" w:sz="4"/>
              <w:bottom w:val="single" w:color="D7DCE3" w:sz="4"/>
              <w:right w:val="single" w:color="D7DCE3" w:sz="4"/>
            </w:tcBorders>
            <w:tcMar>
              <w:top w:type="dxa" w:w="100"/>
              <w:left w:type="dxa" w:w="140"/>
              <w:bottom w:type="dxa" w:w="100"/>
              <w:right w:type="dxa" w:w="140"/>
            </w:tcMar>
          </w:tcPr>
          <w:p>
            <w:pPr>
              <w:jc w:val="left"/>
            </w:pPr>
            <w:r>
              <w:rPr>
                <w:rFonts w:ascii="Calibri" w:cs="Calibri" w:eastAsia="Calibri" w:hAnsi="Calibri"/>
                <w:sz w:val="20"/>
                <w:szCs w:val="20"/>
              </w:rPr>
              <w:t xml:space="preserve">Cellule technique — rapporteur désigné</w:t>
            </w:r>
          </w:p>
        </w:tc>
      </w:tr>
      <w:tr>
        <w:tc>
          <w:tcPr>
            <w:tcW w:type="dxa" w:w="3120"/>
            <w:tcBorders>
              <w:top w:val="single" w:color="D7DCE3" w:sz="4"/>
              <w:left w:val="single" w:color="D7DCE3" w:sz="4"/>
              <w:bottom w:val="single" w:color="D7DCE3" w:sz="4"/>
              <w:right w:val="single" w:color="D7DCE3" w:sz="4"/>
            </w:tcBorders>
            <w:shd w:fill="F4F6F9" w:color="auto" w:val="clear"/>
            <w:tcMar>
              <w:top w:type="dxa" w:w="100"/>
              <w:left w:type="dxa" w:w="140"/>
              <w:bottom w:type="dxa" w:w="100"/>
              <w:right w:type="dxa" w:w="140"/>
            </w:tcMar>
          </w:tcPr>
          <w:p>
            <w:pPr>
              <w:jc w:val="left"/>
            </w:pPr>
            <w:r>
              <w:rPr>
                <w:rFonts w:ascii="Calibri" w:cs="Calibri" w:eastAsia="Calibri" w:hAnsi="Calibri"/>
                <w:b/>
                <w:bCs/>
                <w:sz w:val="20"/>
                <w:szCs w:val="20"/>
              </w:rPr>
              <w:t xml:space="preserve">Contribution</w:t>
            </w:r>
          </w:p>
        </w:tc>
        <w:tc>
          <w:tcPr>
            <w:tcW w:type="dxa" w:w="6240"/>
            <w:tcBorders>
              <w:top w:val="single" w:color="D7DCE3" w:sz="4"/>
              <w:left w:val="single" w:color="D7DCE3" w:sz="4"/>
              <w:bottom w:val="single" w:color="D7DCE3" w:sz="4"/>
              <w:right w:val="single" w:color="D7DCE3" w:sz="4"/>
            </w:tcBorders>
            <w:tcMar>
              <w:top w:type="dxa" w:w="100"/>
              <w:left w:type="dxa" w:w="140"/>
              <w:bottom w:type="dxa" w:w="100"/>
              <w:right w:type="dxa" w:w="140"/>
            </w:tcMar>
          </w:tcPr>
          <w:p>
            <w:pPr>
              <w:jc w:val="left"/>
            </w:pPr>
            <w:r>
              <w:rPr>
                <w:rFonts w:ascii="Calibri" w:cs="Calibri" w:eastAsia="Calibri" w:hAnsi="Calibri"/>
                <w:sz w:val="20"/>
                <w:szCs w:val="20"/>
              </w:rPr>
              <w:t xml:space="preserve">MTNMA — Ministère de la Transformation Numérique (flux Shadowserver, CTM360)</w:t>
            </w:r>
          </w:p>
        </w:tc>
      </w:tr>
      <w:tr>
        <w:tc>
          <w:tcPr>
            <w:tcW w:type="dxa" w:w="3120"/>
            <w:tcBorders>
              <w:top w:val="single" w:color="D7DCE3" w:sz="4"/>
              <w:left w:val="single" w:color="D7DCE3" w:sz="4"/>
              <w:bottom w:val="single" w:color="D7DCE3" w:sz="4"/>
              <w:right w:val="single" w:color="D7DCE3" w:sz="4"/>
            </w:tcBorders>
            <w:shd w:fill="F4F6F9" w:color="auto" w:val="clear"/>
            <w:tcMar>
              <w:top w:type="dxa" w:w="100"/>
              <w:left w:type="dxa" w:w="140"/>
              <w:bottom w:type="dxa" w:w="100"/>
              <w:right w:type="dxa" w:w="140"/>
            </w:tcMar>
          </w:tcPr>
          <w:p>
            <w:pPr>
              <w:jc w:val="left"/>
            </w:pPr>
            <w:r>
              <w:rPr>
                <w:rFonts w:ascii="Calibri" w:cs="Calibri" w:eastAsia="Calibri" w:hAnsi="Calibri"/>
                <w:b/>
                <w:bCs/>
                <w:sz w:val="20"/>
                <w:szCs w:val="20"/>
              </w:rPr>
              <w:t xml:space="preserve">Classification</w:t>
            </w:r>
          </w:p>
        </w:tc>
        <w:tc>
          <w:tcPr>
            <w:tcW w:type="dxa" w:w="6240"/>
            <w:tcBorders>
              <w:top w:val="single" w:color="D7DCE3" w:sz="4"/>
              <w:left w:val="single" w:color="D7DCE3" w:sz="4"/>
              <w:bottom w:val="single" w:color="D7DCE3" w:sz="4"/>
              <w:right w:val="single" w:color="D7DCE3" w:sz="4"/>
            </w:tcBorders>
            <w:tcMar>
              <w:top w:type="dxa" w:w="100"/>
              <w:left w:type="dxa" w:w="140"/>
              <w:bottom w:type="dxa" w:w="100"/>
              <w:right w:type="dxa" w:w="140"/>
            </w:tcMar>
          </w:tcPr>
          <w:p>
            <w:pPr>
              <w:jc w:val="left"/>
            </w:pPr>
            <w:r>
              <w:rPr>
                <w:rFonts w:ascii="Calibri" w:cs="Calibri" w:eastAsia="Calibri" w:hAnsi="Calibri"/>
                <w:b/>
                <w:bCs/>
                <w:color w:val="8B2E2E"/>
                <w:sz w:val="22"/>
                <w:szCs w:val="22"/>
              </w:rPr>
              <w:t xml:space="preserve">CONFIDENTIEL — Diffusion restreinte</w:t>
            </w:r>
          </w:p>
        </w:tc>
      </w:tr>
      <w:tr>
        <w:tc>
          <w:tcPr>
            <w:tcW w:type="dxa" w:w="3120"/>
            <w:tcBorders>
              <w:top w:val="single" w:color="D7DCE3" w:sz="4"/>
              <w:left w:val="single" w:color="D7DCE3" w:sz="4"/>
              <w:bottom w:val="single" w:color="D7DCE3" w:sz="4"/>
              <w:right w:val="single" w:color="D7DCE3" w:sz="4"/>
            </w:tcBorders>
            <w:shd w:fill="F4F6F9" w:color="auto" w:val="clear"/>
            <w:tcMar>
              <w:top w:type="dxa" w:w="100"/>
              <w:left w:type="dxa" w:w="140"/>
              <w:bottom w:type="dxa" w:w="100"/>
              <w:right w:type="dxa" w:w="140"/>
            </w:tcMar>
          </w:tcPr>
          <w:p>
            <w:pPr>
              <w:jc w:val="left"/>
            </w:pPr>
            <w:r>
              <w:rPr>
                <w:rFonts w:ascii="Calibri" w:cs="Calibri" w:eastAsia="Calibri" w:hAnsi="Calibri"/>
                <w:b/>
                <w:bCs/>
                <w:sz w:val="20"/>
                <w:szCs w:val="20"/>
              </w:rPr>
              <w:t xml:space="preserve">Version</w:t>
            </w:r>
          </w:p>
        </w:tc>
        <w:tc>
          <w:tcPr>
            <w:tcW w:type="dxa" w:w="6240"/>
            <w:tcBorders>
              <w:top w:val="single" w:color="D7DCE3" w:sz="4"/>
              <w:left w:val="single" w:color="D7DCE3" w:sz="4"/>
              <w:bottom w:val="single" w:color="D7DCE3" w:sz="4"/>
              <w:right w:val="single" w:color="D7DCE3" w:sz="4"/>
            </w:tcBorders>
            <w:tcMar>
              <w:top w:type="dxa" w:w="100"/>
              <w:left w:type="dxa" w:w="140"/>
              <w:bottom w:type="dxa" w:w="100"/>
              <w:right w:type="dxa" w:w="140"/>
            </w:tcMar>
          </w:tcPr>
          <w:p>
            <w:pPr>
              <w:jc w:val="left"/>
            </w:pPr>
            <w:r>
              <w:rPr>
                <w:rFonts w:ascii="Calibri" w:cs="Calibri" w:eastAsia="Calibri" w:hAnsi="Calibri"/>
                <w:sz w:val="20"/>
                <w:szCs w:val="20"/>
              </w:rPr>
              <w:t xml:space="preserve">1.0 — Document initial</w:t>
            </w:r>
          </w:p>
        </w:tc>
      </w:tr>
      <w:tr>
        <w:tc>
          <w:tcPr>
            <w:tcW w:type="dxa" w:w="3120"/>
            <w:tcBorders>
              <w:top w:val="single" w:color="D7DCE3" w:sz="4"/>
              <w:left w:val="single" w:color="D7DCE3" w:sz="4"/>
              <w:bottom w:val="single" w:color="D7DCE3" w:sz="4"/>
              <w:right w:val="single" w:color="D7DCE3" w:sz="4"/>
            </w:tcBorders>
            <w:shd w:fill="F4F6F9" w:color="auto" w:val="clear"/>
            <w:tcMar>
              <w:top w:type="dxa" w:w="100"/>
              <w:left w:type="dxa" w:w="140"/>
              <w:bottom w:type="dxa" w:w="100"/>
              <w:right w:type="dxa" w:w="140"/>
            </w:tcMar>
          </w:tcPr>
          <w:p>
            <w:pPr>
              <w:jc w:val="left"/>
            </w:pPr>
            <w:r>
              <w:rPr>
                <w:rFonts w:ascii="Calibri" w:cs="Calibri" w:eastAsia="Calibri" w:hAnsi="Calibri"/>
                <w:b/>
                <w:bCs/>
                <w:sz w:val="20"/>
                <w:szCs w:val="20"/>
              </w:rPr>
              <w:t xml:space="preserve">Date</w:t>
            </w:r>
          </w:p>
        </w:tc>
        <w:tc>
          <w:tcPr>
            <w:tcW w:type="dxa" w:w="6240"/>
            <w:tcBorders>
              <w:top w:val="single" w:color="D7DCE3" w:sz="4"/>
              <w:left w:val="single" w:color="D7DCE3" w:sz="4"/>
              <w:bottom w:val="single" w:color="D7DCE3" w:sz="4"/>
              <w:right w:val="single" w:color="D7DCE3" w:sz="4"/>
            </w:tcBorders>
            <w:tcMar>
              <w:top w:type="dxa" w:w="100"/>
              <w:left w:type="dxa" w:w="140"/>
              <w:bottom w:type="dxa" w:w="100"/>
              <w:right w:type="dxa" w:w="140"/>
            </w:tcMar>
          </w:tcPr>
          <w:p>
            <w:pPr>
              <w:jc w:val="left"/>
            </w:pPr>
            <w:r>
              <w:rPr>
                <w:rFonts w:ascii="Calibri" w:cs="Calibri" w:eastAsia="Calibri" w:hAnsi="Calibri"/>
                <w:sz w:val="20"/>
                <w:szCs w:val="20"/>
              </w:rPr>
              <w:t xml:space="preserve">Avril 2026 — Nouakchott</w:t>
            </w:r>
          </w:p>
        </w:tc>
      </w:tr>
    </w:tbl>
    <w:p>
      <w:pPr>
        <w:spacing w:after="600" w:before="600"/>
      </w:pPr>
      <w:r>
        <w:t xml:space="preserve"/>
      </w:r>
    </w:p>
    <w:p>
      <w:pPr>
        <w:jc w:val="center"/>
      </w:pPr>
      <w:r>
        <w:rPr>
          <w:rFonts w:ascii="Calibri" w:cs="Calibri" w:eastAsia="Calibri" w:hAnsi="Calibri"/>
          <w:i/>
          <w:iCs/>
          <w:color w:val="54606F"/>
          <w:sz w:val="18"/>
          <w:szCs w:val="18"/>
        </w:rPr>
        <w:t xml:space="preserve">Ce document contient des informations sensibles. Toute reproduction, diffusion ou communication à un tiers non autorisé est strictement prohibée.</w:t>
      </w:r>
    </w:p>
    <w:p>
      <w:r>
        <w:br w:type="page"/>
      </w:r>
    </w:p>
    <w:p>
      <w:pPr>
        <w:sectPr>
          <w:pgSz w:w="12240" w:h="15840" w:orient="portrait"/>
          <w:pgMar w:top="1200" w:right="1200" w:bottom="1200" w:left="1200" w:header="708" w:footer="708" w:gutter="0"/>
          <w:pgNumType/>
          <w:titlePg/>
          <w:docGrid w:linePitch="360"/>
        </w:sectPr>
      </w:pPr>
    </w:p>
    <w:p>
      <w:pPr>
        <w:pStyle w:val="Heading1"/>
        <w:spacing w:after="120" w:before="360"/>
      </w:pPr>
      <w:r>
        <w:rPr>
          <w:rFonts w:ascii="Calibri" w:cs="Calibri" w:eastAsia="Calibri" w:hAnsi="Calibri"/>
          <w:b/>
          <w:bCs/>
          <w:color w:val="0B2A4A"/>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360"/>
      </w:pPr>
      <w:r>
        <w:rPr>
          <w:rFonts w:ascii="Calibri" w:cs="Calibri" w:eastAsia="Calibri" w:hAnsi="Calibri"/>
          <w:b/>
          <w:bCs/>
          <w:color w:val="0B2A4A"/>
        </w:rPr>
        <w:t xml:space="preserve">Avertissement</w:t>
      </w:r>
    </w:p>
    <w:p>
      <w:pPr>
        <w:spacing w:after="60" w:before="60" w:line="300"/>
        <w:jc w:val="both"/>
      </w:pPr>
      <w:r>
        <w:rPr>
          <w:rFonts w:ascii="Calibri" w:cs="Calibri" w:eastAsia="Calibri" w:hAnsi="Calibri"/>
        </w:rPr>
        <w:t xml:space="preserve">Le présent document constitue une note d’orientation technique à destination d’un haut responsable. Il expose des recommandations d’architecture pour la mise en place d’une communication chiffrée résiliente et d’une capacité de renseignement en sources ouvertes (OSINT). Les choix technologiques qui y figurent sont présentés à titre indicatif ; toute décision d’acquisition ou de déploiement devra faire l’objet d’une validation par l’autorité compétente, après analyse juridique et étude d’impact.</w:t>
      </w:r>
    </w:p>
    <w:p>
      <w:pPr>
        <w:spacing w:after="60" w:before="60" w:line="300"/>
        <w:jc w:val="both"/>
      </w:pPr>
      <w:r>
        <w:rPr>
          <w:rFonts w:ascii="Calibri" w:cs="Calibri" w:eastAsia="Calibri" w:hAnsi="Calibri"/>
        </w:rPr>
        <w:t xml:space="preserve">L’ensemble du document est classifié CONFIDENTIEL. Sa lecture, sa reproduction et sa diffusion sont strictement réservées aux personnes nommément habilitées par le commanditaire.</w:t>
      </w:r>
    </w:p>
    <w:p>
      <w:pPr>
        <w:pStyle w:val="Heading1"/>
        <w:spacing w:after="120" w:before="360"/>
      </w:pPr>
      <w:r>
        <w:rPr>
          <w:rFonts w:ascii="Calibri" w:cs="Calibri" w:eastAsia="Calibri" w:hAnsi="Calibri"/>
          <w:b/>
          <w:bCs/>
          <w:color w:val="0B2A4A"/>
        </w:rPr>
        <w:t xml:space="preserve">1. Synthèse exécutive</w:t>
      </w:r>
    </w:p>
    <w:p>
      <w:pPr>
        <w:spacing w:after="60" w:before="60" w:line="300"/>
        <w:jc w:val="both"/>
      </w:pPr>
      <w:r>
        <w:rPr>
          <w:rFonts w:ascii="Calibri" w:cs="Calibri" w:eastAsia="Calibri" w:hAnsi="Calibri"/>
        </w:rPr>
        <w:t xml:space="preserve">La souveraineté informationnelle d’une structure étatique sensible repose sur deux piliers indissociables : la capacité à communiquer en toute confidentialité, et la capacité à comprendre l’environnement de menace au travers d’un dispositif de veille en sources ouvertes. Le présent document propose une architecture complète articulant ces deux volets, avec un niveau élevé de confidentialité, de contrôle et de résilience.</w:t>
      </w:r>
    </w:p>
    <w:p>
      <w:pPr>
        <w:spacing w:after="60" w:before="60" w:line="300"/>
        <w:jc w:val="both"/>
      </w:pPr>
      <w:r>
        <w:rPr>
          <w:rFonts w:ascii="Calibri" w:cs="Calibri" w:eastAsia="Calibri" w:hAnsi="Calibri"/>
        </w:rPr>
        <w:t xml:space="preserve">Les recommandations s’organisent autour de quatre leviers : (i) une messagerie chiffrée de bout-en-bout reposant sur un socle technologique mûr et maîtrisé ; (ii) un parc de terminaux durcis et compartimentés dédiés aux communications sensibles ; (iii) une cellule OSINT resserrée (trois à cinq agents) dotée d’outils libres et professionnels ; (iv) une gouvernance structurée autour d’habilitations, de procédures et d’une sensibilisation continue.</w:t>
      </w:r>
    </w:p>
    <w:p>
      <w:pPr>
        <w:spacing w:after="60" w:before="60" w:line="300"/>
        <w:jc w:val="both"/>
      </w:pPr>
      <w:r>
        <w:rPr>
          <w:rFonts w:ascii="Calibri" w:cs="Calibri" w:eastAsia="Calibri" w:hAnsi="Calibri"/>
        </w:rPr>
        <w:t xml:space="preserve">Le coût d’entrée est raisonnable et la montée en charge progressive — une phase pilote peut être opérationnelle en 60 jours. Les bénéfices attendus sont immédiats : réduction drastique de la surface d’exposition, amélioration du temps de détection des menaces, et capacité de restitution adaptée au niveau stratégique.</w:t>
      </w:r>
    </w:p>
    <w:p>
      <w:pPr>
        <w:pStyle w:val="Heading1"/>
        <w:spacing w:after="120" w:before="360"/>
      </w:pPr>
      <w:r>
        <w:rPr>
          <w:rFonts w:ascii="Calibri" w:cs="Calibri" w:eastAsia="Calibri" w:hAnsi="Calibri"/>
          <w:b/>
          <w:bCs/>
          <w:color w:val="0B2A4A"/>
        </w:rPr>
        <w:t xml:space="preserve">2. Contexte et enjeux</w:t>
      </w:r>
    </w:p>
    <w:p>
      <w:pPr>
        <w:pStyle w:val="Heading2"/>
        <w:spacing w:after="120" w:before="240"/>
      </w:pPr>
      <w:r>
        <w:rPr>
          <w:rFonts w:ascii="Calibri" w:cs="Calibri" w:eastAsia="Calibri" w:hAnsi="Calibri"/>
          <w:b/>
          <w:bCs/>
          <w:color w:val="0B2A4A"/>
        </w:rPr>
        <w:t xml:space="preserve">2.1. Environnement de menace</w:t>
      </w:r>
    </w:p>
    <w:p>
      <w:pPr>
        <w:spacing w:after="60" w:before="60" w:line="300"/>
        <w:jc w:val="both"/>
      </w:pPr>
      <w:r>
        <w:rPr>
          <w:rFonts w:ascii="Calibri" w:cs="Calibri" w:eastAsia="Calibri" w:hAnsi="Calibri"/>
        </w:rPr>
        <w:t xml:space="preserve">Les structures sensibles font face à un spectre de menaces qui s’est considérablement élargi au cours des dernières années. Aux risques classiques d’interception et de fuite s’ajoutent aujourd’hui des campagnes d’ingénierie sociale ciblée, des opérations d’influence via les réseaux sociaux, une industrialisation des fuites de données (leaks) et une sophistication croissante des logiciels espions commerciaux capables de compromettre un terminal mobile à partir d’un simple message.</w:t>
      </w:r>
    </w:p>
    <w:p>
      <w:pPr>
        <w:spacing w:after="60" w:before="60" w:line="300"/>
        <w:jc w:val="both"/>
      </w:pPr>
      <w:r>
        <w:rPr>
          <w:rFonts w:ascii="Calibri" w:cs="Calibri" w:eastAsia="Calibri" w:hAnsi="Calibri"/>
        </w:rPr>
        <w:t xml:space="preserve">Dans ce contexte, le recours à des messageries grand public non-auditées ou hébergées dans des juridictions non-coopératives constitue un angle mort de sécurité. De la même manière, l’absence de capacité de veille et d’investigation en sources ouvertes prive la décision d’un signal faible crucial, accessible librement à qui sait le chercher.</w:t>
      </w:r>
    </w:p>
    <w:p>
      <w:pPr>
        <w:pStyle w:val="Heading2"/>
        <w:spacing w:after="120" w:before="240"/>
      </w:pPr>
      <w:r>
        <w:rPr>
          <w:rFonts w:ascii="Calibri" w:cs="Calibri" w:eastAsia="Calibri" w:hAnsi="Calibri"/>
          <w:b/>
          <w:bCs/>
          <w:color w:val="0B2A4A"/>
        </w:rPr>
        <w:t xml:space="preserve">2.2. Objectifs recherchés</w:t>
      </w:r>
    </w:p>
    <w:p>
      <w:pPr>
        <w:pStyle w:val="ListParagraph"/>
        <w:numPr>
          <w:ilvl w:val="0"/>
          <w:numId w:val="2"/>
        </w:numPr>
        <w:spacing w:after="40" w:before="40" w:line="280"/>
      </w:pPr>
      <w:r>
        <w:rPr>
          <w:rFonts w:ascii="Calibri" w:cs="Calibri" w:eastAsia="Calibri" w:hAnsi="Calibri"/>
          <w:sz w:val="22"/>
          <w:szCs w:val="22"/>
        </w:rPr>
        <w:t xml:space="preserve">Confidentialité des échanges sensibles, y compris face à des acteurs étatiques sophistiqués.</w:t>
      </w:r>
    </w:p>
    <w:p>
      <w:pPr>
        <w:pStyle w:val="ListParagraph"/>
        <w:numPr>
          <w:ilvl w:val="0"/>
          <w:numId w:val="2"/>
        </w:numPr>
        <w:spacing w:after="40" w:before="40" w:line="280"/>
      </w:pPr>
      <w:r>
        <w:rPr>
          <w:rFonts w:ascii="Calibri" w:cs="Calibri" w:eastAsia="Calibri" w:hAnsi="Calibri"/>
          <w:sz w:val="22"/>
          <w:szCs w:val="22"/>
        </w:rPr>
        <w:t xml:space="preserve">Intégrité et authenticité des communications : certitude sur l’identité des interlocuteurs.</w:t>
      </w:r>
    </w:p>
    <w:p>
      <w:pPr>
        <w:pStyle w:val="ListParagraph"/>
        <w:numPr>
          <w:ilvl w:val="0"/>
          <w:numId w:val="2"/>
        </w:numPr>
        <w:spacing w:after="40" w:before="40" w:line="280"/>
      </w:pPr>
      <w:r>
        <w:rPr>
          <w:rFonts w:ascii="Calibri" w:cs="Calibri" w:eastAsia="Calibri" w:hAnsi="Calibri"/>
          <w:sz w:val="22"/>
          <w:szCs w:val="22"/>
        </w:rPr>
        <w:t xml:space="preserve">Résilience du dispositif : capacité à continuer d’opérer en situation dégradée.</w:t>
      </w:r>
    </w:p>
    <w:p>
      <w:pPr>
        <w:pStyle w:val="ListParagraph"/>
        <w:numPr>
          <w:ilvl w:val="0"/>
          <w:numId w:val="2"/>
        </w:numPr>
        <w:spacing w:after="40" w:before="40" w:line="280"/>
      </w:pPr>
      <w:r>
        <w:rPr>
          <w:rFonts w:ascii="Calibri" w:cs="Calibri" w:eastAsia="Calibri" w:hAnsi="Calibri"/>
          <w:sz w:val="22"/>
          <w:szCs w:val="22"/>
        </w:rPr>
        <w:t xml:space="preserve">Souveraineté : maîtrise des données, des clés, et à terme de l’hébergement.</w:t>
      </w:r>
    </w:p>
    <w:p>
      <w:pPr>
        <w:pStyle w:val="ListParagraph"/>
        <w:numPr>
          <w:ilvl w:val="0"/>
          <w:numId w:val="2"/>
        </w:numPr>
        <w:spacing w:after="40" w:before="40" w:line="280"/>
      </w:pPr>
      <w:r>
        <w:rPr>
          <w:rFonts w:ascii="Calibri" w:cs="Calibri" w:eastAsia="Calibri" w:hAnsi="Calibri"/>
          <w:sz w:val="22"/>
          <w:szCs w:val="22"/>
        </w:rPr>
        <w:t xml:space="preserve">Capacité d’anticipation par la veille continue de l’environnement informationnel.</w:t>
      </w:r>
    </w:p>
    <w:p>
      <w:pPr>
        <w:pStyle w:val="Heading1"/>
        <w:spacing w:after="120" w:before="360"/>
      </w:pPr>
      <w:r>
        <w:rPr>
          <w:rFonts w:ascii="Calibri" w:cs="Calibri" w:eastAsia="Calibri" w:hAnsi="Calibri"/>
          <w:b/>
          <w:bCs/>
          <w:color w:val="0B2A4A"/>
        </w:rPr>
        <w:t xml:space="preserve">3. Volet 1 — Messagerie sécurisée</w:t>
      </w:r>
    </w:p>
    <w:p>
      <w:pPr>
        <w:pStyle w:val="Heading2"/>
        <w:spacing w:after="120" w:before="240"/>
      </w:pPr>
      <w:r>
        <w:rPr>
          <w:rFonts w:ascii="Calibri" w:cs="Calibri" w:eastAsia="Calibri" w:hAnsi="Calibri"/>
          <w:b/>
          <w:bCs/>
          <w:color w:val="0B2A4A"/>
        </w:rPr>
        <w:t xml:space="preserve">3.1. Principes directeurs</w:t>
      </w:r>
    </w:p>
    <w:p>
      <w:pPr>
        <w:spacing w:after="60" w:before="60" w:line="300"/>
        <w:jc w:val="both"/>
      </w:pPr>
      <w:r>
        <w:rPr>
          <w:rFonts w:ascii="Calibri" w:cs="Calibri" w:eastAsia="Calibri" w:hAnsi="Calibri"/>
        </w:rPr>
        <w:t xml:space="preserve">Une messagerie sécurisée digne de ce nom doit réunir plusieurs propriétés non-négociables : un chiffrement de bout-en-bout éprouvé (protocole Signal ou équivalent), un minimum de métadonnées conservées, une implémentation open-source auditée, et une politique de conservation alignée sur la sensibilité des échanges. Le choix ne peut se réduire à une seule application : il convient au contraire d’articuler plusieurs solutions selon le niveau de sensibilité et le profil des utilisateurs.</w:t>
      </w:r>
    </w:p>
    <w:p>
      <w:pPr>
        <w:pStyle w:val="Heading2"/>
        <w:spacing w:after="120" w:before="240"/>
      </w:pPr>
      <w:r>
        <w:rPr>
          <w:rFonts w:ascii="Calibri" w:cs="Calibri" w:eastAsia="Calibri" w:hAnsi="Calibri"/>
          <w:b/>
          <w:bCs/>
          <w:color w:val="0B2A4A"/>
        </w:rPr>
        <w:t xml:space="preserve">3.2. Options recommandées</w:t>
      </w:r>
    </w:p>
    <w:p>
      <w:pPr>
        <w:spacing w:after="60" w:before="60" w:line="300"/>
        <w:jc w:val="center"/>
      </w:pPr>
      <w:r>
        <w:rPr>
          <w:rFonts w:ascii="Calibri" w:cs="Calibri" w:eastAsia="Calibri" w:hAnsi="Calibri"/>
          <w:i/>
          <w:iCs/>
          <w:color w:val="54606F"/>
          <w:sz w:val="20"/>
          <w:szCs w:val="20"/>
        </w:rPr>
        <w:t xml:space="preserve">Comparatif des messageries candidates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2000"/>
        <w:gridCol w:w="2000"/>
        <w:gridCol w:w="2000"/>
        <w:gridCol w:w="1740"/>
      </w:tblGrid>
      <w:tr>
        <w:trPr>
          <w:tblHeader/>
        </w:trPr>
        <w:tc>
          <w:tcPr>
            <w:tcW w:type="dxa" w:w="1620"/>
            <w:tcBorders>
              <w:top w:val="single" w:color="D7DCE3" w:sz="4"/>
              <w:left w:val="single" w:color="D7DCE3" w:sz="4"/>
              <w:bottom w:val="single" w:color="D7DCE3" w:sz="4"/>
              <w:right w:val="single" w:color="D7DCE3" w:sz="4"/>
            </w:tcBorders>
            <w:shd w:fill="0B2A4A" w:color="auto" w:val="clear"/>
            <w:tcMar>
              <w:top w:type="dxa" w:w="100"/>
              <w:left w:type="dxa" w:w="140"/>
              <w:bottom w:type="dxa" w:w="100"/>
              <w:right w:type="dxa" w:w="140"/>
            </w:tcMar>
          </w:tcPr>
          <w:p>
            <w:pPr>
              <w:jc w:val="left"/>
            </w:pPr>
            <w:r>
              <w:rPr>
                <w:rFonts w:ascii="Calibri" w:cs="Calibri" w:eastAsia="Calibri" w:hAnsi="Calibri"/>
                <w:b/>
                <w:bCs/>
                <w:color w:val="FFFFFF"/>
                <w:sz w:val="22"/>
                <w:szCs w:val="22"/>
              </w:rPr>
              <w:t xml:space="preserve">Critère</w:t>
            </w:r>
          </w:p>
        </w:tc>
        <w:tc>
          <w:tcPr>
            <w:tcW w:type="dxa" w:w="2000"/>
            <w:tcBorders>
              <w:top w:val="single" w:color="D7DCE3" w:sz="4"/>
              <w:left w:val="single" w:color="D7DCE3" w:sz="4"/>
              <w:bottom w:val="single" w:color="D7DCE3" w:sz="4"/>
              <w:right w:val="single" w:color="D7DCE3" w:sz="4"/>
            </w:tcBorders>
            <w:shd w:fill="0B2A4A" w:color="auto" w:val="clear"/>
            <w:tcMar>
              <w:top w:type="dxa" w:w="100"/>
              <w:left w:type="dxa" w:w="140"/>
              <w:bottom w:type="dxa" w:w="100"/>
              <w:right w:type="dxa" w:w="140"/>
            </w:tcMar>
          </w:tcPr>
          <w:p>
            <w:pPr>
              <w:jc w:val="left"/>
            </w:pPr>
            <w:r>
              <w:rPr>
                <w:rFonts w:ascii="Calibri" w:cs="Calibri" w:eastAsia="Calibri" w:hAnsi="Calibri"/>
                <w:b/>
                <w:bCs/>
                <w:color w:val="FFFFFF"/>
                <w:sz w:val="22"/>
                <w:szCs w:val="22"/>
              </w:rPr>
              <w:t xml:space="preserve">Signal</w:t>
            </w:r>
          </w:p>
        </w:tc>
        <w:tc>
          <w:tcPr>
            <w:tcW w:type="dxa" w:w="2000"/>
            <w:tcBorders>
              <w:top w:val="single" w:color="D7DCE3" w:sz="4"/>
              <w:left w:val="single" w:color="D7DCE3" w:sz="4"/>
              <w:bottom w:val="single" w:color="D7DCE3" w:sz="4"/>
              <w:right w:val="single" w:color="D7DCE3" w:sz="4"/>
            </w:tcBorders>
            <w:shd w:fill="0B2A4A" w:color="auto" w:val="clear"/>
            <w:tcMar>
              <w:top w:type="dxa" w:w="100"/>
              <w:left w:type="dxa" w:w="140"/>
              <w:bottom w:type="dxa" w:w="100"/>
              <w:right w:type="dxa" w:w="140"/>
            </w:tcMar>
          </w:tcPr>
          <w:p>
            <w:pPr>
              <w:jc w:val="left"/>
            </w:pPr>
            <w:r>
              <w:rPr>
                <w:rFonts w:ascii="Calibri" w:cs="Calibri" w:eastAsia="Calibri" w:hAnsi="Calibri"/>
                <w:b/>
                <w:bCs/>
                <w:color w:val="FFFFFF"/>
                <w:sz w:val="22"/>
                <w:szCs w:val="22"/>
              </w:rPr>
              <w:t xml:space="preserve">Threema Work</w:t>
            </w:r>
          </w:p>
        </w:tc>
        <w:tc>
          <w:tcPr>
            <w:tcW w:type="dxa" w:w="2000"/>
            <w:tcBorders>
              <w:top w:val="single" w:color="D7DCE3" w:sz="4"/>
              <w:left w:val="single" w:color="D7DCE3" w:sz="4"/>
              <w:bottom w:val="single" w:color="D7DCE3" w:sz="4"/>
              <w:right w:val="single" w:color="D7DCE3" w:sz="4"/>
            </w:tcBorders>
            <w:shd w:fill="0B2A4A" w:color="auto" w:val="clear"/>
            <w:tcMar>
              <w:top w:type="dxa" w:w="100"/>
              <w:left w:type="dxa" w:w="140"/>
              <w:bottom w:type="dxa" w:w="100"/>
              <w:right w:type="dxa" w:w="140"/>
            </w:tcMar>
          </w:tcPr>
          <w:p>
            <w:pPr>
              <w:jc w:val="left"/>
            </w:pPr>
            <w:r>
              <w:rPr>
                <w:rFonts w:ascii="Calibri" w:cs="Calibri" w:eastAsia="Calibri" w:hAnsi="Calibri"/>
                <w:b/>
                <w:bCs/>
                <w:color w:val="FFFFFF"/>
                <w:sz w:val="22"/>
                <w:szCs w:val="22"/>
              </w:rPr>
              <w:t xml:space="preserve">Matrix / Element</w:t>
            </w:r>
          </w:p>
        </w:tc>
        <w:tc>
          <w:tcPr>
            <w:tcW w:type="dxa" w:w="1740"/>
            <w:tcBorders>
              <w:top w:val="single" w:color="D7DCE3" w:sz="4"/>
              <w:left w:val="single" w:color="D7DCE3" w:sz="4"/>
              <w:bottom w:val="single" w:color="D7DCE3" w:sz="4"/>
              <w:right w:val="single" w:color="D7DCE3" w:sz="4"/>
            </w:tcBorders>
            <w:shd w:fill="0B2A4A" w:color="auto" w:val="clear"/>
            <w:tcMar>
              <w:top w:type="dxa" w:w="100"/>
              <w:left w:type="dxa" w:w="140"/>
              <w:bottom w:type="dxa" w:w="100"/>
              <w:right w:type="dxa" w:w="140"/>
            </w:tcMar>
          </w:tcPr>
          <w:p>
            <w:pPr>
              <w:jc w:val="left"/>
            </w:pPr>
            <w:r>
              <w:rPr>
                <w:rFonts w:ascii="Calibri" w:cs="Calibri" w:eastAsia="Calibri" w:hAnsi="Calibri"/>
                <w:b/>
                <w:bCs/>
                <w:color w:val="FFFFFF"/>
                <w:sz w:val="22"/>
                <w:szCs w:val="22"/>
              </w:rPr>
              <w:t xml:space="preserve">Session</w:t>
            </w:r>
          </w:p>
        </w:tc>
      </w:tr>
      <w:tr>
        <w:tc>
          <w:tcPr>
            <w:tcW w:type="dxa" w:w="1620"/>
            <w:tcBorders>
              <w:top w:val="single" w:color="D7DCE3" w:sz="4"/>
              <w:left w:val="single" w:color="D7DCE3" w:sz="4"/>
              <w:bottom w:val="single" w:color="D7DCE3" w:sz="4"/>
              <w:right w:val="single" w:color="D7DCE3" w:sz="4"/>
            </w:tcBorders>
            <w:shd w:fill="F4F6F9" w:color="auto" w:val="clear"/>
            <w:tcMar>
              <w:top w:type="dxa" w:w="100"/>
              <w:left w:type="dxa" w:w="140"/>
              <w:bottom w:type="dxa" w:w="100"/>
              <w:right w:type="dxa" w:w="140"/>
            </w:tcMar>
          </w:tcPr>
          <w:p>
            <w:pPr>
              <w:jc w:val="left"/>
            </w:pPr>
            <w:r>
              <w:rPr>
                <w:rFonts w:ascii="Calibri" w:cs="Calibri" w:eastAsia="Calibri" w:hAnsi="Calibri"/>
                <w:b/>
                <w:bCs/>
                <w:sz w:val="20"/>
                <w:szCs w:val="20"/>
              </w:rPr>
              <w:t xml:space="preserve">Identifiant requis</w:t>
            </w:r>
          </w:p>
        </w:tc>
        <w:tc>
          <w:tcPr>
            <w:tcW w:type="dxa" w:w="2000"/>
            <w:tcBorders>
              <w:top w:val="single" w:color="D7DCE3" w:sz="4"/>
              <w:left w:val="single" w:color="D7DCE3" w:sz="4"/>
              <w:bottom w:val="single" w:color="D7DCE3" w:sz="4"/>
              <w:right w:val="single" w:color="D7DCE3" w:sz="4"/>
            </w:tcBorders>
            <w:tcMar>
              <w:top w:type="dxa" w:w="100"/>
              <w:left w:type="dxa" w:w="140"/>
              <w:bottom w:type="dxa" w:w="100"/>
              <w:right w:type="dxa" w:w="140"/>
            </w:tcMar>
          </w:tcPr>
          <w:p>
            <w:pPr>
              <w:jc w:val="left"/>
            </w:pPr>
            <w:r>
              <w:rPr>
                <w:rFonts w:ascii="Calibri" w:cs="Calibri" w:eastAsia="Calibri" w:hAnsi="Calibri"/>
                <w:sz w:val="20"/>
                <w:szCs w:val="20"/>
              </w:rPr>
              <w:t xml:space="preserve">Numéro de téléphone</w:t>
            </w:r>
          </w:p>
        </w:tc>
        <w:tc>
          <w:tcPr>
            <w:tcW w:type="dxa" w:w="2000"/>
            <w:tcBorders>
              <w:top w:val="single" w:color="D7DCE3" w:sz="4"/>
              <w:left w:val="single" w:color="D7DCE3" w:sz="4"/>
              <w:bottom w:val="single" w:color="D7DCE3" w:sz="4"/>
              <w:right w:val="single" w:color="D7DCE3" w:sz="4"/>
            </w:tcBorders>
            <w:tcMar>
              <w:top w:type="dxa" w:w="100"/>
              <w:left w:type="dxa" w:w="140"/>
              <w:bottom w:type="dxa" w:w="100"/>
              <w:right w:type="dxa" w:w="140"/>
            </w:tcMar>
          </w:tcPr>
          <w:p>
            <w:pPr>
              <w:jc w:val="left"/>
            </w:pPr>
            <w:r>
              <w:rPr>
                <w:rFonts w:ascii="Calibri" w:cs="Calibri" w:eastAsia="Calibri" w:hAnsi="Calibri"/>
                <w:sz w:val="20"/>
                <w:szCs w:val="20"/>
              </w:rPr>
              <w:t xml:space="preserve">Aucun (ID Threema)</w:t>
            </w:r>
          </w:p>
        </w:tc>
        <w:tc>
          <w:tcPr>
            <w:tcW w:type="dxa" w:w="2000"/>
            <w:tcBorders>
              <w:top w:val="single" w:color="D7DCE3" w:sz="4"/>
              <w:left w:val="single" w:color="D7DCE3" w:sz="4"/>
              <w:bottom w:val="single" w:color="D7DCE3" w:sz="4"/>
              <w:right w:val="single" w:color="D7DCE3" w:sz="4"/>
            </w:tcBorders>
            <w:tcMar>
              <w:top w:type="dxa" w:w="100"/>
              <w:left w:type="dxa" w:w="140"/>
              <w:bottom w:type="dxa" w:w="100"/>
              <w:right w:type="dxa" w:w="140"/>
            </w:tcMar>
          </w:tcPr>
          <w:p>
            <w:pPr>
              <w:jc w:val="left"/>
            </w:pPr>
            <w:r>
              <w:rPr>
                <w:rFonts w:ascii="Calibri" w:cs="Calibri" w:eastAsia="Calibri" w:hAnsi="Calibri"/>
                <w:sz w:val="20"/>
                <w:szCs w:val="20"/>
              </w:rPr>
              <w:t xml:space="preserve">Identifiant interne</w:t>
            </w:r>
          </w:p>
        </w:tc>
        <w:tc>
          <w:tcPr>
            <w:tcW w:type="dxa" w:w="1740"/>
            <w:tcBorders>
              <w:top w:val="single" w:color="D7DCE3" w:sz="4"/>
              <w:left w:val="single" w:color="D7DCE3" w:sz="4"/>
              <w:bottom w:val="single" w:color="D7DCE3" w:sz="4"/>
              <w:right w:val="single" w:color="D7DCE3" w:sz="4"/>
            </w:tcBorders>
            <w:tcMar>
              <w:top w:type="dxa" w:w="100"/>
              <w:left w:type="dxa" w:w="140"/>
              <w:bottom w:type="dxa" w:w="100"/>
              <w:right w:type="dxa" w:w="140"/>
            </w:tcMar>
          </w:tcPr>
          <w:p>
            <w:pPr>
              <w:jc w:val="left"/>
            </w:pPr>
            <w:r>
              <w:rPr>
                <w:rFonts w:ascii="Calibri" w:cs="Calibri" w:eastAsia="Calibri" w:hAnsi="Calibri"/>
                <w:sz w:val="20"/>
                <w:szCs w:val="20"/>
              </w:rPr>
              <w:t xml:space="preserve">Aucun (ID anonyme)</w:t>
            </w:r>
          </w:p>
        </w:tc>
      </w:tr>
      <w:tr>
        <w:tc>
          <w:tcPr>
            <w:tcW w:type="dxa" w:w="1620"/>
            <w:tcBorders>
              <w:top w:val="single" w:color="D7DCE3" w:sz="4"/>
              <w:left w:val="single" w:color="D7DCE3" w:sz="4"/>
              <w:bottom w:val="single" w:color="D7DCE3" w:sz="4"/>
              <w:right w:val="single" w:color="D7DCE3" w:sz="4"/>
            </w:tcBorders>
            <w:shd w:fill="F4F6F9" w:color="auto" w:val="clear"/>
            <w:tcMar>
              <w:top w:type="dxa" w:w="100"/>
              <w:left w:type="dxa" w:w="140"/>
              <w:bottom w:type="dxa" w:w="100"/>
              <w:right w:type="dxa" w:w="140"/>
            </w:tcMar>
          </w:tcPr>
          <w:p>
            <w:pPr>
              <w:jc w:val="left"/>
            </w:pPr>
            <w:r>
              <w:rPr>
                <w:rFonts w:ascii="Calibri" w:cs="Calibri" w:eastAsia="Calibri" w:hAnsi="Calibri"/>
                <w:b/>
                <w:bCs/>
                <w:sz w:val="20"/>
                <w:szCs w:val="20"/>
              </w:rPr>
              <w:t xml:space="preserve">Chiffrement E2EE</w:t>
            </w:r>
          </w:p>
        </w:tc>
        <w:tc>
          <w:tcPr>
            <w:tcW w:type="dxa" w:w="2000"/>
            <w:tcBorders>
              <w:top w:val="single" w:color="D7DCE3" w:sz="4"/>
              <w:left w:val="single" w:color="D7DCE3" w:sz="4"/>
              <w:bottom w:val="single" w:color="D7DCE3" w:sz="4"/>
              <w:right w:val="single" w:color="D7DCE3" w:sz="4"/>
            </w:tcBorders>
            <w:tcMar>
              <w:top w:type="dxa" w:w="100"/>
              <w:left w:type="dxa" w:w="140"/>
              <w:bottom w:type="dxa" w:w="100"/>
              <w:right w:type="dxa" w:w="140"/>
            </w:tcMar>
          </w:tcPr>
          <w:p>
            <w:pPr>
              <w:jc w:val="left"/>
            </w:pPr>
            <w:r>
              <w:rPr>
                <w:rFonts w:ascii="Calibri" w:cs="Calibri" w:eastAsia="Calibri" w:hAnsi="Calibri"/>
                <w:sz w:val="20"/>
                <w:szCs w:val="20"/>
              </w:rPr>
              <w:t xml:space="preserve">Protocole Signal</w:t>
            </w:r>
          </w:p>
        </w:tc>
        <w:tc>
          <w:tcPr>
            <w:tcW w:type="dxa" w:w="2000"/>
            <w:tcBorders>
              <w:top w:val="single" w:color="D7DCE3" w:sz="4"/>
              <w:left w:val="single" w:color="D7DCE3" w:sz="4"/>
              <w:bottom w:val="single" w:color="D7DCE3" w:sz="4"/>
              <w:right w:val="single" w:color="D7DCE3" w:sz="4"/>
            </w:tcBorders>
            <w:tcMar>
              <w:top w:type="dxa" w:w="100"/>
              <w:left w:type="dxa" w:w="140"/>
              <w:bottom w:type="dxa" w:w="100"/>
              <w:right w:type="dxa" w:w="140"/>
            </w:tcMar>
          </w:tcPr>
          <w:p>
            <w:pPr>
              <w:jc w:val="left"/>
            </w:pPr>
            <w:r>
              <w:rPr>
                <w:rFonts w:ascii="Calibri" w:cs="Calibri" w:eastAsia="Calibri" w:hAnsi="Calibri"/>
                <w:sz w:val="20"/>
                <w:szCs w:val="20"/>
              </w:rPr>
              <w:t xml:space="preserve">NaCl / libsodium</w:t>
            </w:r>
          </w:p>
        </w:tc>
        <w:tc>
          <w:tcPr>
            <w:tcW w:type="dxa" w:w="2000"/>
            <w:tcBorders>
              <w:top w:val="single" w:color="D7DCE3" w:sz="4"/>
              <w:left w:val="single" w:color="D7DCE3" w:sz="4"/>
              <w:bottom w:val="single" w:color="D7DCE3" w:sz="4"/>
              <w:right w:val="single" w:color="D7DCE3" w:sz="4"/>
            </w:tcBorders>
            <w:tcMar>
              <w:top w:type="dxa" w:w="100"/>
              <w:left w:type="dxa" w:w="140"/>
              <w:bottom w:type="dxa" w:w="100"/>
              <w:right w:type="dxa" w:w="140"/>
            </w:tcMar>
          </w:tcPr>
          <w:p>
            <w:pPr>
              <w:jc w:val="left"/>
            </w:pPr>
            <w:r>
              <w:rPr>
                <w:rFonts w:ascii="Calibri" w:cs="Calibri" w:eastAsia="Calibri" w:hAnsi="Calibri"/>
                <w:sz w:val="20"/>
                <w:szCs w:val="20"/>
              </w:rPr>
              <w:t xml:space="preserve">Olm / Megolm</w:t>
            </w:r>
          </w:p>
        </w:tc>
        <w:tc>
          <w:tcPr>
            <w:tcW w:type="dxa" w:w="1740"/>
            <w:tcBorders>
              <w:top w:val="single" w:color="D7DCE3" w:sz="4"/>
              <w:left w:val="single" w:color="D7DCE3" w:sz="4"/>
              <w:bottom w:val="single" w:color="D7DCE3" w:sz="4"/>
              <w:right w:val="single" w:color="D7DCE3" w:sz="4"/>
            </w:tcBorders>
            <w:tcMar>
              <w:top w:type="dxa" w:w="100"/>
              <w:left w:type="dxa" w:w="140"/>
              <w:bottom w:type="dxa" w:w="100"/>
              <w:right w:type="dxa" w:w="140"/>
            </w:tcMar>
          </w:tcPr>
          <w:p>
            <w:pPr>
              <w:jc w:val="left"/>
            </w:pPr>
            <w:r>
              <w:rPr>
                <w:rFonts w:ascii="Calibri" w:cs="Calibri" w:eastAsia="Calibri" w:hAnsi="Calibri"/>
                <w:sz w:val="20"/>
                <w:szCs w:val="20"/>
              </w:rPr>
              <w:t xml:space="preserve">Signal + Onion routing</w:t>
            </w:r>
          </w:p>
        </w:tc>
      </w:tr>
      <w:tr>
        <w:tc>
          <w:tcPr>
            <w:tcW w:type="dxa" w:w="1620"/>
            <w:tcBorders>
              <w:top w:val="single" w:color="D7DCE3" w:sz="4"/>
              <w:left w:val="single" w:color="D7DCE3" w:sz="4"/>
              <w:bottom w:val="single" w:color="D7DCE3" w:sz="4"/>
              <w:right w:val="single" w:color="D7DCE3" w:sz="4"/>
            </w:tcBorders>
            <w:shd w:fill="F4F6F9" w:color="auto" w:val="clear"/>
            <w:tcMar>
              <w:top w:type="dxa" w:w="100"/>
              <w:left w:type="dxa" w:w="140"/>
              <w:bottom w:type="dxa" w:w="100"/>
              <w:right w:type="dxa" w:w="140"/>
            </w:tcMar>
          </w:tcPr>
          <w:p>
            <w:pPr>
              <w:jc w:val="left"/>
            </w:pPr>
            <w:r>
              <w:rPr>
                <w:rFonts w:ascii="Calibri" w:cs="Calibri" w:eastAsia="Calibri" w:hAnsi="Calibri"/>
                <w:b/>
                <w:bCs/>
                <w:sz w:val="20"/>
                <w:szCs w:val="20"/>
              </w:rPr>
              <w:t xml:space="preserve">Hébergement</w:t>
            </w:r>
          </w:p>
        </w:tc>
        <w:tc>
          <w:tcPr>
            <w:tcW w:type="dxa" w:w="2000"/>
            <w:tcBorders>
              <w:top w:val="single" w:color="D7DCE3" w:sz="4"/>
              <w:left w:val="single" w:color="D7DCE3" w:sz="4"/>
              <w:bottom w:val="single" w:color="D7DCE3" w:sz="4"/>
              <w:right w:val="single" w:color="D7DCE3" w:sz="4"/>
            </w:tcBorders>
            <w:tcMar>
              <w:top w:type="dxa" w:w="100"/>
              <w:left w:type="dxa" w:w="140"/>
              <w:bottom w:type="dxa" w:w="100"/>
              <w:right w:type="dxa" w:w="140"/>
            </w:tcMar>
          </w:tcPr>
          <w:p>
            <w:pPr>
              <w:jc w:val="left"/>
            </w:pPr>
            <w:r>
              <w:rPr>
                <w:rFonts w:ascii="Calibri" w:cs="Calibri" w:eastAsia="Calibri" w:hAnsi="Calibri"/>
                <w:sz w:val="20"/>
                <w:szCs w:val="20"/>
              </w:rPr>
              <w:t xml:space="preserve">Cloud (USA)</w:t>
            </w:r>
          </w:p>
        </w:tc>
        <w:tc>
          <w:tcPr>
            <w:tcW w:type="dxa" w:w="2000"/>
            <w:tcBorders>
              <w:top w:val="single" w:color="D7DCE3" w:sz="4"/>
              <w:left w:val="single" w:color="D7DCE3" w:sz="4"/>
              <w:bottom w:val="single" w:color="D7DCE3" w:sz="4"/>
              <w:right w:val="single" w:color="D7DCE3" w:sz="4"/>
            </w:tcBorders>
            <w:tcMar>
              <w:top w:type="dxa" w:w="100"/>
              <w:left w:type="dxa" w:w="140"/>
              <w:bottom w:type="dxa" w:w="100"/>
              <w:right w:type="dxa" w:w="140"/>
            </w:tcMar>
          </w:tcPr>
          <w:p>
            <w:pPr>
              <w:jc w:val="left"/>
            </w:pPr>
            <w:r>
              <w:rPr>
                <w:rFonts w:ascii="Calibri" w:cs="Calibri" w:eastAsia="Calibri" w:hAnsi="Calibri"/>
                <w:sz w:val="20"/>
                <w:szCs w:val="20"/>
              </w:rPr>
              <w:t xml:space="preserve">Cloud (Suisse/UE)</w:t>
            </w:r>
          </w:p>
        </w:tc>
        <w:tc>
          <w:tcPr>
            <w:tcW w:type="dxa" w:w="2000"/>
            <w:tcBorders>
              <w:top w:val="single" w:color="D7DCE3" w:sz="4"/>
              <w:left w:val="single" w:color="D7DCE3" w:sz="4"/>
              <w:bottom w:val="single" w:color="D7DCE3" w:sz="4"/>
              <w:right w:val="single" w:color="D7DCE3" w:sz="4"/>
            </w:tcBorders>
            <w:tcMar>
              <w:top w:type="dxa" w:w="100"/>
              <w:left w:type="dxa" w:w="140"/>
              <w:bottom w:type="dxa" w:w="100"/>
              <w:right w:type="dxa" w:w="140"/>
            </w:tcMar>
          </w:tcPr>
          <w:p>
            <w:pPr>
              <w:jc w:val="left"/>
            </w:pPr>
            <w:r>
              <w:rPr>
                <w:rFonts w:ascii="Calibri" w:cs="Calibri" w:eastAsia="Calibri" w:hAnsi="Calibri"/>
                <w:sz w:val="20"/>
                <w:szCs w:val="20"/>
              </w:rPr>
              <w:t xml:space="preserve">Auto-hébergeable</w:t>
            </w:r>
          </w:p>
        </w:tc>
        <w:tc>
          <w:tcPr>
            <w:tcW w:type="dxa" w:w="1740"/>
            <w:tcBorders>
              <w:top w:val="single" w:color="D7DCE3" w:sz="4"/>
              <w:left w:val="single" w:color="D7DCE3" w:sz="4"/>
              <w:bottom w:val="single" w:color="D7DCE3" w:sz="4"/>
              <w:right w:val="single" w:color="D7DCE3" w:sz="4"/>
            </w:tcBorders>
            <w:tcMar>
              <w:top w:type="dxa" w:w="100"/>
              <w:left w:type="dxa" w:w="140"/>
              <w:bottom w:type="dxa" w:w="100"/>
              <w:right w:type="dxa" w:w="140"/>
            </w:tcMar>
          </w:tcPr>
          <w:p>
            <w:pPr>
              <w:jc w:val="left"/>
            </w:pPr>
            <w:r>
              <w:rPr>
                <w:rFonts w:ascii="Calibri" w:cs="Calibri" w:eastAsia="Calibri" w:hAnsi="Calibri"/>
                <w:sz w:val="20"/>
                <w:szCs w:val="20"/>
              </w:rPr>
              <w:t xml:space="preserve">Décentralisé</w:t>
            </w:r>
          </w:p>
        </w:tc>
      </w:tr>
      <w:tr>
        <w:tc>
          <w:tcPr>
            <w:tcW w:type="dxa" w:w="1620"/>
            <w:tcBorders>
              <w:top w:val="single" w:color="D7DCE3" w:sz="4"/>
              <w:left w:val="single" w:color="D7DCE3" w:sz="4"/>
              <w:bottom w:val="single" w:color="D7DCE3" w:sz="4"/>
              <w:right w:val="single" w:color="D7DCE3" w:sz="4"/>
            </w:tcBorders>
            <w:shd w:fill="F4F6F9" w:color="auto" w:val="clear"/>
            <w:tcMar>
              <w:top w:type="dxa" w:w="100"/>
              <w:left w:type="dxa" w:w="140"/>
              <w:bottom w:type="dxa" w:w="100"/>
              <w:right w:type="dxa" w:w="140"/>
            </w:tcMar>
          </w:tcPr>
          <w:p>
            <w:pPr>
              <w:jc w:val="left"/>
            </w:pPr>
            <w:r>
              <w:rPr>
                <w:rFonts w:ascii="Calibri" w:cs="Calibri" w:eastAsia="Calibri" w:hAnsi="Calibri"/>
                <w:b/>
                <w:bCs/>
                <w:sz w:val="20"/>
                <w:szCs w:val="20"/>
              </w:rPr>
              <w:t xml:space="preserve">Métadonnées</w:t>
            </w:r>
          </w:p>
        </w:tc>
        <w:tc>
          <w:tcPr>
            <w:tcW w:type="dxa" w:w="2000"/>
            <w:tcBorders>
              <w:top w:val="single" w:color="D7DCE3" w:sz="4"/>
              <w:left w:val="single" w:color="D7DCE3" w:sz="4"/>
              <w:bottom w:val="single" w:color="D7DCE3" w:sz="4"/>
              <w:right w:val="single" w:color="D7DCE3" w:sz="4"/>
            </w:tcBorders>
            <w:tcMar>
              <w:top w:type="dxa" w:w="100"/>
              <w:left w:type="dxa" w:w="140"/>
              <w:bottom w:type="dxa" w:w="100"/>
              <w:right w:type="dxa" w:w="140"/>
            </w:tcMar>
          </w:tcPr>
          <w:p>
            <w:pPr>
              <w:jc w:val="left"/>
            </w:pPr>
            <w:r>
              <w:rPr>
                <w:rFonts w:ascii="Calibri" w:cs="Calibri" w:eastAsia="Calibri" w:hAnsi="Calibri"/>
                <w:sz w:val="20"/>
                <w:szCs w:val="20"/>
              </w:rPr>
              <w:t xml:space="preserve">Minimales</w:t>
            </w:r>
          </w:p>
        </w:tc>
        <w:tc>
          <w:tcPr>
            <w:tcW w:type="dxa" w:w="2000"/>
            <w:tcBorders>
              <w:top w:val="single" w:color="D7DCE3" w:sz="4"/>
              <w:left w:val="single" w:color="D7DCE3" w:sz="4"/>
              <w:bottom w:val="single" w:color="D7DCE3" w:sz="4"/>
              <w:right w:val="single" w:color="D7DCE3" w:sz="4"/>
            </w:tcBorders>
            <w:tcMar>
              <w:top w:type="dxa" w:w="100"/>
              <w:left w:type="dxa" w:w="140"/>
              <w:bottom w:type="dxa" w:w="100"/>
              <w:right w:type="dxa" w:w="140"/>
            </w:tcMar>
          </w:tcPr>
          <w:p>
            <w:pPr>
              <w:jc w:val="left"/>
            </w:pPr>
            <w:r>
              <w:rPr>
                <w:rFonts w:ascii="Calibri" w:cs="Calibri" w:eastAsia="Calibri" w:hAnsi="Calibri"/>
                <w:sz w:val="20"/>
                <w:szCs w:val="20"/>
              </w:rPr>
              <w:t xml:space="preserve">Très faibles</w:t>
            </w:r>
          </w:p>
        </w:tc>
        <w:tc>
          <w:tcPr>
            <w:tcW w:type="dxa" w:w="2000"/>
            <w:tcBorders>
              <w:top w:val="single" w:color="D7DCE3" w:sz="4"/>
              <w:left w:val="single" w:color="D7DCE3" w:sz="4"/>
              <w:bottom w:val="single" w:color="D7DCE3" w:sz="4"/>
              <w:right w:val="single" w:color="D7DCE3" w:sz="4"/>
            </w:tcBorders>
            <w:tcMar>
              <w:top w:type="dxa" w:w="100"/>
              <w:left w:type="dxa" w:w="140"/>
              <w:bottom w:type="dxa" w:w="100"/>
              <w:right w:type="dxa" w:w="140"/>
            </w:tcMar>
          </w:tcPr>
          <w:p>
            <w:pPr>
              <w:jc w:val="left"/>
            </w:pPr>
            <w:r>
              <w:rPr>
                <w:rFonts w:ascii="Calibri" w:cs="Calibri" w:eastAsia="Calibri" w:hAnsi="Calibri"/>
                <w:sz w:val="20"/>
                <w:szCs w:val="20"/>
              </w:rPr>
              <w:t xml:space="preserve">Contrôlées</w:t>
            </w:r>
          </w:p>
        </w:tc>
        <w:tc>
          <w:tcPr>
            <w:tcW w:type="dxa" w:w="1740"/>
            <w:tcBorders>
              <w:top w:val="single" w:color="D7DCE3" w:sz="4"/>
              <w:left w:val="single" w:color="D7DCE3" w:sz="4"/>
              <w:bottom w:val="single" w:color="D7DCE3" w:sz="4"/>
              <w:right w:val="single" w:color="D7DCE3" w:sz="4"/>
            </w:tcBorders>
            <w:tcMar>
              <w:top w:type="dxa" w:w="100"/>
              <w:left w:type="dxa" w:w="140"/>
              <w:bottom w:type="dxa" w:w="100"/>
              <w:right w:type="dxa" w:w="140"/>
            </w:tcMar>
          </w:tcPr>
          <w:p>
            <w:pPr>
              <w:jc w:val="left"/>
            </w:pPr>
            <w:r>
              <w:rPr>
                <w:rFonts w:ascii="Calibri" w:cs="Calibri" w:eastAsia="Calibri" w:hAnsi="Calibri"/>
                <w:sz w:val="20"/>
                <w:szCs w:val="20"/>
              </w:rPr>
              <w:t xml:space="preserve">Quasi-nulles</w:t>
            </w:r>
          </w:p>
        </w:tc>
      </w:tr>
      <w:tr>
        <w:tc>
          <w:tcPr>
            <w:tcW w:type="dxa" w:w="1620"/>
            <w:tcBorders>
              <w:top w:val="single" w:color="D7DCE3" w:sz="4"/>
              <w:left w:val="single" w:color="D7DCE3" w:sz="4"/>
              <w:bottom w:val="single" w:color="D7DCE3" w:sz="4"/>
              <w:right w:val="single" w:color="D7DCE3" w:sz="4"/>
            </w:tcBorders>
            <w:shd w:fill="F4F6F9" w:color="auto" w:val="clear"/>
            <w:tcMar>
              <w:top w:type="dxa" w:w="100"/>
              <w:left w:type="dxa" w:w="140"/>
              <w:bottom w:type="dxa" w:w="100"/>
              <w:right w:type="dxa" w:w="140"/>
            </w:tcMar>
          </w:tcPr>
          <w:p>
            <w:pPr>
              <w:jc w:val="left"/>
            </w:pPr>
            <w:r>
              <w:rPr>
                <w:rFonts w:ascii="Calibri" w:cs="Calibri" w:eastAsia="Calibri" w:hAnsi="Calibri"/>
                <w:b/>
                <w:bCs/>
                <w:sz w:val="20"/>
                <w:szCs w:val="20"/>
              </w:rPr>
              <w:t xml:space="preserve">Souveraineté</w:t>
            </w:r>
          </w:p>
        </w:tc>
        <w:tc>
          <w:tcPr>
            <w:tcW w:type="dxa" w:w="2000"/>
            <w:tcBorders>
              <w:top w:val="single" w:color="D7DCE3" w:sz="4"/>
              <w:left w:val="single" w:color="D7DCE3" w:sz="4"/>
              <w:bottom w:val="single" w:color="D7DCE3" w:sz="4"/>
              <w:right w:val="single" w:color="D7DCE3" w:sz="4"/>
            </w:tcBorders>
            <w:tcMar>
              <w:top w:type="dxa" w:w="100"/>
              <w:left w:type="dxa" w:w="140"/>
              <w:bottom w:type="dxa" w:w="100"/>
              <w:right w:type="dxa" w:w="140"/>
            </w:tcMar>
          </w:tcPr>
          <w:p>
            <w:pPr>
              <w:jc w:val="left"/>
            </w:pPr>
            <w:r>
              <w:rPr>
                <w:rFonts w:ascii="Calibri" w:cs="Calibri" w:eastAsia="Calibri" w:hAnsi="Calibri"/>
                <w:sz w:val="20"/>
                <w:szCs w:val="20"/>
              </w:rPr>
              <w:t xml:space="preserve">Faible</w:t>
            </w:r>
          </w:p>
        </w:tc>
        <w:tc>
          <w:tcPr>
            <w:tcW w:type="dxa" w:w="2000"/>
            <w:tcBorders>
              <w:top w:val="single" w:color="D7DCE3" w:sz="4"/>
              <w:left w:val="single" w:color="D7DCE3" w:sz="4"/>
              <w:bottom w:val="single" w:color="D7DCE3" w:sz="4"/>
              <w:right w:val="single" w:color="D7DCE3" w:sz="4"/>
            </w:tcBorders>
            <w:tcMar>
              <w:top w:type="dxa" w:w="100"/>
              <w:left w:type="dxa" w:w="140"/>
              <w:bottom w:type="dxa" w:w="100"/>
              <w:right w:type="dxa" w:w="140"/>
            </w:tcMar>
          </w:tcPr>
          <w:p>
            <w:pPr>
              <w:jc w:val="left"/>
            </w:pPr>
            <w:r>
              <w:rPr>
                <w:rFonts w:ascii="Calibri" w:cs="Calibri" w:eastAsia="Calibri" w:hAnsi="Calibri"/>
                <w:sz w:val="20"/>
                <w:szCs w:val="20"/>
              </w:rPr>
              <w:t xml:space="preserve">Moyenne</w:t>
            </w:r>
          </w:p>
        </w:tc>
        <w:tc>
          <w:tcPr>
            <w:tcW w:type="dxa" w:w="2000"/>
            <w:tcBorders>
              <w:top w:val="single" w:color="D7DCE3" w:sz="4"/>
              <w:left w:val="single" w:color="D7DCE3" w:sz="4"/>
              <w:bottom w:val="single" w:color="D7DCE3" w:sz="4"/>
              <w:right w:val="single" w:color="D7DCE3" w:sz="4"/>
            </w:tcBorders>
            <w:tcMar>
              <w:top w:type="dxa" w:w="100"/>
              <w:left w:type="dxa" w:w="140"/>
              <w:bottom w:type="dxa" w:w="100"/>
              <w:right w:type="dxa" w:w="140"/>
            </w:tcMar>
          </w:tcPr>
          <w:p>
            <w:pPr>
              <w:jc w:val="left"/>
            </w:pPr>
            <w:r>
              <w:rPr>
                <w:rFonts w:ascii="Calibri" w:cs="Calibri" w:eastAsia="Calibri" w:hAnsi="Calibri"/>
                <w:b/>
                <w:bCs/>
                <w:color w:val="2E7D5B"/>
                <w:sz w:val="20"/>
                <w:szCs w:val="20"/>
              </w:rPr>
              <w:t xml:space="preserve">Élevée</w:t>
            </w:r>
          </w:p>
        </w:tc>
        <w:tc>
          <w:tcPr>
            <w:tcW w:type="dxa" w:w="1740"/>
            <w:tcBorders>
              <w:top w:val="single" w:color="D7DCE3" w:sz="4"/>
              <w:left w:val="single" w:color="D7DCE3" w:sz="4"/>
              <w:bottom w:val="single" w:color="D7DCE3" w:sz="4"/>
              <w:right w:val="single" w:color="D7DCE3" w:sz="4"/>
            </w:tcBorders>
            <w:tcMar>
              <w:top w:type="dxa" w:w="100"/>
              <w:left w:type="dxa" w:w="140"/>
              <w:bottom w:type="dxa" w:w="100"/>
              <w:right w:type="dxa" w:w="140"/>
            </w:tcMar>
          </w:tcPr>
          <w:p>
            <w:pPr>
              <w:jc w:val="left"/>
            </w:pPr>
            <w:r>
              <w:rPr>
                <w:rFonts w:ascii="Calibri" w:cs="Calibri" w:eastAsia="Calibri" w:hAnsi="Calibri"/>
                <w:sz w:val="20"/>
                <w:szCs w:val="20"/>
              </w:rPr>
              <w:t xml:space="preserve">Faible (distribuée)</w:t>
            </w:r>
          </w:p>
        </w:tc>
      </w:tr>
      <w:tr>
        <w:tc>
          <w:tcPr>
            <w:tcW w:type="dxa" w:w="1620"/>
            <w:tcBorders>
              <w:top w:val="single" w:color="D7DCE3" w:sz="4"/>
              <w:left w:val="single" w:color="D7DCE3" w:sz="4"/>
              <w:bottom w:val="single" w:color="D7DCE3" w:sz="4"/>
              <w:right w:val="single" w:color="D7DCE3" w:sz="4"/>
            </w:tcBorders>
            <w:shd w:fill="F4F6F9" w:color="auto" w:val="clear"/>
            <w:tcMar>
              <w:top w:type="dxa" w:w="100"/>
              <w:left w:type="dxa" w:w="140"/>
              <w:bottom w:type="dxa" w:w="100"/>
              <w:right w:type="dxa" w:w="140"/>
            </w:tcMar>
          </w:tcPr>
          <w:p>
            <w:pPr>
              <w:jc w:val="left"/>
            </w:pPr>
            <w:r>
              <w:rPr>
                <w:rFonts w:ascii="Calibri" w:cs="Calibri" w:eastAsia="Calibri" w:hAnsi="Calibri"/>
                <w:b/>
                <w:bCs/>
                <w:sz w:val="20"/>
                <w:szCs w:val="20"/>
              </w:rPr>
              <w:t xml:space="preserve">Complexité de mise en œuvre</w:t>
            </w:r>
          </w:p>
        </w:tc>
        <w:tc>
          <w:tcPr>
            <w:tcW w:type="dxa" w:w="2000"/>
            <w:tcBorders>
              <w:top w:val="single" w:color="D7DCE3" w:sz="4"/>
              <w:left w:val="single" w:color="D7DCE3" w:sz="4"/>
              <w:bottom w:val="single" w:color="D7DCE3" w:sz="4"/>
              <w:right w:val="single" w:color="D7DCE3" w:sz="4"/>
            </w:tcBorders>
            <w:tcMar>
              <w:top w:type="dxa" w:w="100"/>
              <w:left w:type="dxa" w:w="140"/>
              <w:bottom w:type="dxa" w:w="100"/>
              <w:right w:type="dxa" w:w="140"/>
            </w:tcMar>
          </w:tcPr>
          <w:p>
            <w:pPr>
              <w:jc w:val="left"/>
            </w:pPr>
            <w:r>
              <w:rPr>
                <w:rFonts w:ascii="Calibri" w:cs="Calibri" w:eastAsia="Calibri" w:hAnsi="Calibri"/>
                <w:sz w:val="20"/>
                <w:szCs w:val="20"/>
              </w:rPr>
              <w:t xml:space="preserve">Faible</w:t>
            </w:r>
          </w:p>
        </w:tc>
        <w:tc>
          <w:tcPr>
            <w:tcW w:type="dxa" w:w="2000"/>
            <w:tcBorders>
              <w:top w:val="single" w:color="D7DCE3" w:sz="4"/>
              <w:left w:val="single" w:color="D7DCE3" w:sz="4"/>
              <w:bottom w:val="single" w:color="D7DCE3" w:sz="4"/>
              <w:right w:val="single" w:color="D7DCE3" w:sz="4"/>
            </w:tcBorders>
            <w:tcMar>
              <w:top w:type="dxa" w:w="100"/>
              <w:left w:type="dxa" w:w="140"/>
              <w:bottom w:type="dxa" w:w="100"/>
              <w:right w:type="dxa" w:w="140"/>
            </w:tcMar>
          </w:tcPr>
          <w:p>
            <w:pPr>
              <w:jc w:val="left"/>
            </w:pPr>
            <w:r>
              <w:rPr>
                <w:rFonts w:ascii="Calibri" w:cs="Calibri" w:eastAsia="Calibri" w:hAnsi="Calibri"/>
                <w:sz w:val="20"/>
                <w:szCs w:val="20"/>
              </w:rPr>
              <w:t xml:space="preserve">Faible</w:t>
            </w:r>
          </w:p>
        </w:tc>
        <w:tc>
          <w:tcPr>
            <w:tcW w:type="dxa" w:w="2000"/>
            <w:tcBorders>
              <w:top w:val="single" w:color="D7DCE3" w:sz="4"/>
              <w:left w:val="single" w:color="D7DCE3" w:sz="4"/>
              <w:bottom w:val="single" w:color="D7DCE3" w:sz="4"/>
              <w:right w:val="single" w:color="D7DCE3" w:sz="4"/>
            </w:tcBorders>
            <w:tcMar>
              <w:top w:type="dxa" w:w="100"/>
              <w:left w:type="dxa" w:w="140"/>
              <w:bottom w:type="dxa" w:w="100"/>
              <w:right w:type="dxa" w:w="140"/>
            </w:tcMar>
          </w:tcPr>
          <w:p>
            <w:pPr>
              <w:jc w:val="left"/>
            </w:pPr>
            <w:r>
              <w:rPr>
                <w:rFonts w:ascii="Calibri" w:cs="Calibri" w:eastAsia="Calibri" w:hAnsi="Calibri"/>
                <w:sz w:val="20"/>
                <w:szCs w:val="20"/>
              </w:rPr>
              <w:t xml:space="preserve">Élevée (équipe technique requise)</w:t>
            </w:r>
          </w:p>
        </w:tc>
        <w:tc>
          <w:tcPr>
            <w:tcW w:type="dxa" w:w="1740"/>
            <w:tcBorders>
              <w:top w:val="single" w:color="D7DCE3" w:sz="4"/>
              <w:left w:val="single" w:color="D7DCE3" w:sz="4"/>
              <w:bottom w:val="single" w:color="D7DCE3" w:sz="4"/>
              <w:right w:val="single" w:color="D7DCE3" w:sz="4"/>
            </w:tcBorders>
            <w:tcMar>
              <w:top w:type="dxa" w:w="100"/>
              <w:left w:type="dxa" w:w="140"/>
              <w:bottom w:type="dxa" w:w="100"/>
              <w:right w:type="dxa" w:w="140"/>
            </w:tcMar>
          </w:tcPr>
          <w:p>
            <w:pPr>
              <w:jc w:val="left"/>
            </w:pPr>
            <w:r>
              <w:rPr>
                <w:rFonts w:ascii="Calibri" w:cs="Calibri" w:eastAsia="Calibri" w:hAnsi="Calibri"/>
                <w:sz w:val="20"/>
                <w:szCs w:val="20"/>
              </w:rPr>
              <w:t xml:space="preserve">Moyenne</w:t>
            </w:r>
          </w:p>
        </w:tc>
      </w:tr>
      <w:tr>
        <w:tc>
          <w:tcPr>
            <w:tcW w:type="dxa" w:w="1620"/>
            <w:tcBorders>
              <w:top w:val="single" w:color="D7DCE3" w:sz="4"/>
              <w:left w:val="single" w:color="D7DCE3" w:sz="4"/>
              <w:bottom w:val="single" w:color="D7DCE3" w:sz="4"/>
              <w:right w:val="single" w:color="D7DCE3" w:sz="4"/>
            </w:tcBorders>
            <w:shd w:fill="F4F6F9" w:color="auto" w:val="clear"/>
            <w:tcMar>
              <w:top w:type="dxa" w:w="100"/>
              <w:left w:type="dxa" w:w="140"/>
              <w:bottom w:type="dxa" w:w="100"/>
              <w:right w:type="dxa" w:w="140"/>
            </w:tcMar>
          </w:tcPr>
          <w:p>
            <w:pPr>
              <w:jc w:val="left"/>
            </w:pPr>
            <w:r>
              <w:rPr>
                <w:rFonts w:ascii="Calibri" w:cs="Calibri" w:eastAsia="Calibri" w:hAnsi="Calibri"/>
                <w:b/>
                <w:bCs/>
                <w:sz w:val="20"/>
                <w:szCs w:val="20"/>
              </w:rPr>
              <w:t xml:space="preserve">Coût indicatif</w:t>
            </w:r>
          </w:p>
        </w:tc>
        <w:tc>
          <w:tcPr>
            <w:tcW w:type="dxa" w:w="2000"/>
            <w:tcBorders>
              <w:top w:val="single" w:color="D7DCE3" w:sz="4"/>
              <w:left w:val="single" w:color="D7DCE3" w:sz="4"/>
              <w:bottom w:val="single" w:color="D7DCE3" w:sz="4"/>
              <w:right w:val="single" w:color="D7DCE3" w:sz="4"/>
            </w:tcBorders>
            <w:tcMar>
              <w:top w:type="dxa" w:w="100"/>
              <w:left w:type="dxa" w:w="140"/>
              <w:bottom w:type="dxa" w:w="100"/>
              <w:right w:type="dxa" w:w="140"/>
            </w:tcMar>
          </w:tcPr>
          <w:p>
            <w:pPr>
              <w:jc w:val="left"/>
            </w:pPr>
            <w:r>
              <w:rPr>
                <w:rFonts w:ascii="Calibri" w:cs="Calibri" w:eastAsia="Calibri" w:hAnsi="Calibri"/>
                <w:sz w:val="20"/>
                <w:szCs w:val="20"/>
              </w:rPr>
              <w:t xml:space="preserve">Gratuit</w:t>
            </w:r>
          </w:p>
        </w:tc>
        <w:tc>
          <w:tcPr>
            <w:tcW w:type="dxa" w:w="2000"/>
            <w:tcBorders>
              <w:top w:val="single" w:color="D7DCE3" w:sz="4"/>
              <w:left w:val="single" w:color="D7DCE3" w:sz="4"/>
              <w:bottom w:val="single" w:color="D7DCE3" w:sz="4"/>
              <w:right w:val="single" w:color="D7DCE3" w:sz="4"/>
            </w:tcBorders>
            <w:tcMar>
              <w:top w:type="dxa" w:w="100"/>
              <w:left w:type="dxa" w:w="140"/>
              <w:bottom w:type="dxa" w:w="100"/>
              <w:right w:type="dxa" w:w="140"/>
            </w:tcMar>
          </w:tcPr>
          <w:p>
            <w:pPr>
              <w:jc w:val="left"/>
            </w:pPr>
            <w:r>
              <w:rPr>
                <w:rFonts w:ascii="Calibri" w:cs="Calibri" w:eastAsia="Calibri" w:hAnsi="Calibri"/>
                <w:sz w:val="20"/>
                <w:szCs w:val="20"/>
              </w:rPr>
              <w:t xml:space="preserve">~5 €/utilisateur/mois</w:t>
            </w:r>
          </w:p>
        </w:tc>
        <w:tc>
          <w:tcPr>
            <w:tcW w:type="dxa" w:w="2000"/>
            <w:tcBorders>
              <w:top w:val="single" w:color="D7DCE3" w:sz="4"/>
              <w:left w:val="single" w:color="D7DCE3" w:sz="4"/>
              <w:bottom w:val="single" w:color="D7DCE3" w:sz="4"/>
              <w:right w:val="single" w:color="D7DCE3" w:sz="4"/>
            </w:tcBorders>
            <w:tcMar>
              <w:top w:type="dxa" w:w="100"/>
              <w:left w:type="dxa" w:w="140"/>
              <w:bottom w:type="dxa" w:w="100"/>
              <w:right w:type="dxa" w:w="140"/>
            </w:tcMar>
          </w:tcPr>
          <w:p>
            <w:pPr>
              <w:jc w:val="left"/>
            </w:pPr>
            <w:r>
              <w:rPr>
                <w:rFonts w:ascii="Calibri" w:cs="Calibri" w:eastAsia="Calibri" w:hAnsi="Calibri"/>
                <w:sz w:val="20"/>
                <w:szCs w:val="20"/>
              </w:rPr>
              <w:t xml:space="preserve">Licences + infra</w:t>
            </w:r>
          </w:p>
        </w:tc>
        <w:tc>
          <w:tcPr>
            <w:tcW w:type="dxa" w:w="1740"/>
            <w:tcBorders>
              <w:top w:val="single" w:color="D7DCE3" w:sz="4"/>
              <w:left w:val="single" w:color="D7DCE3" w:sz="4"/>
              <w:bottom w:val="single" w:color="D7DCE3" w:sz="4"/>
              <w:right w:val="single" w:color="D7DCE3" w:sz="4"/>
            </w:tcBorders>
            <w:tcMar>
              <w:top w:type="dxa" w:w="100"/>
              <w:left w:type="dxa" w:w="140"/>
              <w:bottom w:type="dxa" w:w="100"/>
              <w:right w:type="dxa" w:w="140"/>
            </w:tcMar>
          </w:tcPr>
          <w:p>
            <w:pPr>
              <w:jc w:val="left"/>
            </w:pPr>
            <w:r>
              <w:rPr>
                <w:rFonts w:ascii="Calibri" w:cs="Calibri" w:eastAsia="Calibri" w:hAnsi="Calibri"/>
                <w:sz w:val="20"/>
                <w:szCs w:val="20"/>
              </w:rPr>
              <w:t xml:space="preserve">Gratuit</w:t>
            </w:r>
          </w:p>
        </w:tc>
      </w:tr>
      <w:tr>
        <w:tc>
          <w:tcPr>
            <w:tcW w:type="dxa" w:w="1620"/>
            <w:tcBorders>
              <w:top w:val="single" w:color="D7DCE3" w:sz="4"/>
              <w:left w:val="single" w:color="D7DCE3" w:sz="4"/>
              <w:bottom w:val="single" w:color="D7DCE3" w:sz="4"/>
              <w:right w:val="single" w:color="D7DCE3" w:sz="4"/>
            </w:tcBorders>
            <w:shd w:fill="F4F6F9" w:color="auto" w:val="clear"/>
            <w:tcMar>
              <w:top w:type="dxa" w:w="100"/>
              <w:left w:type="dxa" w:w="140"/>
              <w:bottom w:type="dxa" w:w="100"/>
              <w:right w:type="dxa" w:w="140"/>
            </w:tcMar>
          </w:tcPr>
          <w:p>
            <w:pPr>
              <w:jc w:val="left"/>
            </w:pPr>
            <w:r>
              <w:rPr>
                <w:rFonts w:ascii="Calibri" w:cs="Calibri" w:eastAsia="Calibri" w:hAnsi="Calibri"/>
                <w:b/>
                <w:bCs/>
                <w:sz w:val="20"/>
                <w:szCs w:val="20"/>
              </w:rPr>
              <w:t xml:space="preserve">Niveau recommandé</w:t>
            </w:r>
          </w:p>
        </w:tc>
        <w:tc>
          <w:tcPr>
            <w:tcW w:type="dxa" w:w="2000"/>
            <w:tcBorders>
              <w:top w:val="single" w:color="D7DCE3" w:sz="4"/>
              <w:left w:val="single" w:color="D7DCE3" w:sz="4"/>
              <w:bottom w:val="single" w:color="D7DCE3" w:sz="4"/>
              <w:right w:val="single" w:color="D7DCE3" w:sz="4"/>
            </w:tcBorders>
            <w:tcMar>
              <w:top w:type="dxa" w:w="100"/>
              <w:left w:type="dxa" w:w="140"/>
              <w:bottom w:type="dxa" w:w="100"/>
              <w:right w:type="dxa" w:w="140"/>
            </w:tcMar>
          </w:tcPr>
          <w:p>
            <w:pPr>
              <w:jc w:val="left"/>
            </w:pPr>
            <w:r>
              <w:rPr>
                <w:rFonts w:ascii="Calibri" w:cs="Calibri" w:eastAsia="Calibri" w:hAnsi="Calibri"/>
                <w:sz w:val="20"/>
                <w:szCs w:val="20"/>
              </w:rPr>
              <w:t xml:space="preserve">Diffusion restreinte</w:t>
            </w:r>
          </w:p>
        </w:tc>
        <w:tc>
          <w:tcPr>
            <w:tcW w:type="dxa" w:w="2000"/>
            <w:tcBorders>
              <w:top w:val="single" w:color="D7DCE3" w:sz="4"/>
              <w:left w:val="single" w:color="D7DCE3" w:sz="4"/>
              <w:bottom w:val="single" w:color="D7DCE3" w:sz="4"/>
              <w:right w:val="single" w:color="D7DCE3" w:sz="4"/>
            </w:tcBorders>
            <w:tcMar>
              <w:top w:type="dxa" w:w="100"/>
              <w:left w:type="dxa" w:w="140"/>
              <w:bottom w:type="dxa" w:w="100"/>
              <w:right w:type="dxa" w:w="140"/>
            </w:tcMar>
          </w:tcPr>
          <w:p>
            <w:pPr>
              <w:jc w:val="left"/>
            </w:pPr>
            <w:r>
              <w:rPr>
                <w:rFonts w:ascii="Calibri" w:cs="Calibri" w:eastAsia="Calibri" w:hAnsi="Calibri"/>
                <w:sz w:val="20"/>
                <w:szCs w:val="20"/>
              </w:rPr>
              <w:t xml:space="preserve">Confidentiel</w:t>
            </w:r>
          </w:p>
        </w:tc>
        <w:tc>
          <w:tcPr>
            <w:tcW w:type="dxa" w:w="2000"/>
            <w:tcBorders>
              <w:top w:val="single" w:color="D7DCE3" w:sz="4"/>
              <w:left w:val="single" w:color="D7DCE3" w:sz="4"/>
              <w:bottom w:val="single" w:color="D7DCE3" w:sz="4"/>
              <w:right w:val="single" w:color="D7DCE3" w:sz="4"/>
            </w:tcBorders>
            <w:tcMar>
              <w:top w:type="dxa" w:w="100"/>
              <w:left w:type="dxa" w:w="140"/>
              <w:bottom w:type="dxa" w:w="100"/>
              <w:right w:type="dxa" w:w="140"/>
            </w:tcMar>
          </w:tcPr>
          <w:p>
            <w:pPr>
              <w:jc w:val="left"/>
            </w:pPr>
            <w:r>
              <w:rPr>
                <w:rFonts w:ascii="Calibri" w:cs="Calibri" w:eastAsia="Calibri" w:hAnsi="Calibri"/>
                <w:b/>
                <w:bCs/>
                <w:color w:val="0B2A4A"/>
                <w:sz w:val="20"/>
                <w:szCs w:val="20"/>
              </w:rPr>
              <w:t xml:space="preserve">Confidentiel / Secret</w:t>
            </w:r>
          </w:p>
        </w:tc>
        <w:tc>
          <w:tcPr>
            <w:tcW w:type="dxa" w:w="1740"/>
            <w:tcBorders>
              <w:top w:val="single" w:color="D7DCE3" w:sz="4"/>
              <w:left w:val="single" w:color="D7DCE3" w:sz="4"/>
              <w:bottom w:val="single" w:color="D7DCE3" w:sz="4"/>
              <w:right w:val="single" w:color="D7DCE3" w:sz="4"/>
            </w:tcBorders>
            <w:tcMar>
              <w:top w:type="dxa" w:w="100"/>
              <w:left w:type="dxa" w:w="140"/>
              <w:bottom w:type="dxa" w:w="100"/>
              <w:right w:type="dxa" w:w="140"/>
            </w:tcMar>
          </w:tcPr>
          <w:p>
            <w:pPr>
              <w:jc w:val="left"/>
            </w:pPr>
            <w:r>
              <w:rPr>
                <w:rFonts w:ascii="Calibri" w:cs="Calibri" w:eastAsia="Calibri" w:hAnsi="Calibri"/>
                <w:sz w:val="20"/>
                <w:szCs w:val="20"/>
              </w:rPr>
              <w:t xml:space="preserve">Anonymat opérationnel</w:t>
            </w:r>
          </w:p>
        </w:tc>
      </w:tr>
    </w:tbl>
    <w:p>
      <w:pPr>
        <w:spacing w:after="100" w:before="100"/>
      </w:pPr>
      <w:r>
        <w:t xml:space="preserve"/>
      </w:r>
    </w:p>
    <w:p>
      <w:pPr>
        <w:pStyle w:val="Heading2"/>
        <w:spacing w:after="120" w:before="240"/>
      </w:pPr>
      <w:r>
        <w:rPr>
          <w:rFonts w:ascii="Calibri" w:cs="Calibri" w:eastAsia="Calibri" w:hAnsi="Calibri"/>
          <w:b/>
          <w:bCs/>
          <w:color w:val="0B2A4A"/>
        </w:rPr>
        <w:t xml:space="preserve">3.2.1. Option retenue — Signal (usage courant)</w:t>
      </w:r>
    </w:p>
    <w:p>
      <w:pPr>
        <w:spacing w:after="60" w:before="60" w:line="300"/>
        <w:jc w:val="both"/>
      </w:pPr>
      <w:r>
        <w:rPr>
          <w:rFonts w:ascii="Calibri" w:cs="Calibri" w:eastAsia="Calibri" w:hAnsi="Calibri"/>
        </w:rPr>
        <w:t xml:space="preserve">Signal constitue la référence consensuelle en matière de messagerie chiffrée grand public. Son protocole, ouvert et audité, sert de socle à la plupart des solutions professionnelles modernes. Sa prise en main est immédiate, ce qui facilite le déploiement auprès d’utilisateurs non-techniques. Signal est recommandé pour la majorité des échanges courants au sein du cercle de l’autorité et de ses équipes rapprochées, avec un niveau équivalent à « diffusion restreinte ».</w:t>
      </w:r>
    </w:p>
    <w:p>
      <w:pPr>
        <w:pStyle w:val="ListParagraph"/>
        <w:numPr>
          <w:ilvl w:val="0"/>
          <w:numId w:val="2"/>
        </w:numPr>
        <w:spacing w:after="40" w:before="40" w:line="280"/>
      </w:pPr>
      <w:r>
        <w:rPr>
          <w:rFonts w:ascii="Calibri" w:cs="Calibri" w:eastAsia="Calibri" w:hAnsi="Calibri"/>
          <w:sz w:val="22"/>
          <w:szCs w:val="22"/>
        </w:rPr>
        <w:t xml:space="preserve">Atouts : simplicité, large adoption, protocole irréprochable, disparition programmée des messages.</w:t>
      </w:r>
    </w:p>
    <w:p>
      <w:pPr>
        <w:pStyle w:val="ListParagraph"/>
        <w:numPr>
          <w:ilvl w:val="0"/>
          <w:numId w:val="2"/>
        </w:numPr>
        <w:spacing w:after="40" w:before="40" w:line="280"/>
      </w:pPr>
      <w:r>
        <w:rPr>
          <w:rFonts w:ascii="Calibri" w:cs="Calibri" w:eastAsia="Calibri" w:hAnsi="Calibri"/>
          <w:sz w:val="22"/>
          <w:szCs w:val="22"/>
        </w:rPr>
        <w:t xml:space="preserve">Vigilance : dépendance au numéro de téléphone (à mitiger avec des numéros dédiés) et hébergement extraterritorial.</w:t>
      </w:r>
    </w:p>
    <w:p>
      <w:pPr>
        <w:pStyle w:val="Heading2"/>
        <w:spacing w:after="120" w:before="240"/>
      </w:pPr>
      <w:r>
        <w:rPr>
          <w:rFonts w:ascii="Calibri" w:cs="Calibri" w:eastAsia="Calibri" w:hAnsi="Calibri"/>
          <w:b/>
          <w:bCs/>
          <w:color w:val="0B2A4A"/>
        </w:rPr>
        <w:t xml:space="preserve">3.2.2. Option retenue — Threema Work (niveau confidentiel)</w:t>
      </w:r>
    </w:p>
    <w:p>
      <w:pPr>
        <w:spacing w:after="60" w:before="60" w:line="300"/>
        <w:jc w:val="both"/>
      </w:pPr>
      <w:r>
        <w:rPr>
          <w:rFonts w:ascii="Calibri" w:cs="Calibri" w:eastAsia="Calibri" w:hAnsi="Calibri"/>
        </w:rPr>
        <w:t xml:space="preserve">Threema Work se distingue par l’absence d’identifiant personnel : chaque utilisateur dispose d’un identifiant interne à 8 caractères, sans lien avec un numéro de téléphone ou un courriel. L’exposition des métadonnées est ainsi très faible, et la solution — d’origine suisse, hébergée en Suisse et en Allemagne — offre un cadre juridique favorable. Le volet « Work » autorise l’administration centralisée, la politique de mots de passe, la révocation et le contrôle du carnet de contacts.</w:t>
      </w:r>
    </w:p>
    <w:p>
      <w:pPr>
        <w:pStyle w:val="ListParagraph"/>
        <w:numPr>
          <w:ilvl w:val="0"/>
          <w:numId w:val="2"/>
        </w:numPr>
        <w:spacing w:after="40" w:before="40" w:line="280"/>
      </w:pPr>
      <w:r>
        <w:rPr>
          <w:rFonts w:ascii="Calibri" w:cs="Calibri" w:eastAsia="Calibri" w:hAnsi="Calibri"/>
          <w:sz w:val="22"/>
          <w:szCs w:val="22"/>
        </w:rPr>
        <w:t xml:space="preserve">Atouts : anonymisation native, conformité UE, MDM intégré, coût linéaire maîtrisé.</w:t>
      </w:r>
    </w:p>
    <w:p>
      <w:pPr>
        <w:pStyle w:val="ListParagraph"/>
        <w:numPr>
          <w:ilvl w:val="0"/>
          <w:numId w:val="2"/>
        </w:numPr>
        <w:spacing w:after="40" w:before="40" w:line="280"/>
      </w:pPr>
      <w:r>
        <w:rPr>
          <w:rFonts w:ascii="Calibri" w:cs="Calibri" w:eastAsia="Calibri" w:hAnsi="Calibri"/>
          <w:sz w:val="22"/>
          <w:szCs w:val="22"/>
        </w:rPr>
        <w:t xml:space="preserve">Vigilance : nécessité d’acquérir des licences et de gérer la distribution des identifiants.</w:t>
      </w:r>
    </w:p>
    <w:p>
      <w:pPr>
        <w:pStyle w:val="Heading2"/>
        <w:spacing w:after="120" w:before="240"/>
      </w:pPr>
      <w:r>
        <w:rPr>
          <w:rFonts w:ascii="Calibri" w:cs="Calibri" w:eastAsia="Calibri" w:hAnsi="Calibri"/>
          <w:b/>
          <w:bCs/>
          <w:color w:val="0B2A4A"/>
        </w:rPr>
        <w:t xml:space="preserve">3.2.3. Option retenue — Matrix / Element (niveau secret)</w:t>
      </w:r>
    </w:p>
    <w:p>
      <w:pPr>
        <w:spacing w:after="60" w:before="60" w:line="300"/>
        <w:jc w:val="both"/>
      </w:pPr>
      <w:r>
        <w:rPr>
          <w:rFonts w:ascii="Calibri" w:cs="Calibri" w:eastAsia="Calibri" w:hAnsi="Calibri"/>
        </w:rPr>
        <w:t xml:space="preserve">Matrix est un protocole ouvert de messagerie fédérée ; Element en est l’implémentation de référence. Contrairement aux deux options précédentes, Matrix peut être hébergé en interne, au sein d’une infrastructure maîtrisée par l’État, éventuellement sur des serveurs isolés du réseau public. Cette souveraineté infrastructurelle constitue sa valeur décisive : aucune métadonnée n’échappe au périmètre, et la politique de fédération peut être réduite à un cercle interministériel strictement défini. Matrix est privilégié pour les échanges les plus sensibles, y compris entre cabinets et avec les services opérationnels.</w:t>
      </w:r>
    </w:p>
    <w:p>
      <w:pPr>
        <w:pStyle w:val="ListParagraph"/>
        <w:numPr>
          <w:ilvl w:val="0"/>
          <w:numId w:val="2"/>
        </w:numPr>
        <w:spacing w:after="40" w:before="40" w:line="280"/>
      </w:pPr>
      <w:r>
        <w:rPr>
          <w:rFonts w:ascii="Calibri" w:cs="Calibri" w:eastAsia="Calibri" w:hAnsi="Calibri"/>
          <w:sz w:val="22"/>
          <w:szCs w:val="22"/>
        </w:rPr>
        <w:t xml:space="preserve">Atouts : souveraineté complète, fédération contrôlable, ponts vers d’autres systèmes, audit intégral possible.</w:t>
      </w:r>
    </w:p>
    <w:p>
      <w:pPr>
        <w:pStyle w:val="ListParagraph"/>
        <w:numPr>
          <w:ilvl w:val="0"/>
          <w:numId w:val="2"/>
        </w:numPr>
        <w:spacing w:after="40" w:before="40" w:line="280"/>
      </w:pPr>
      <w:r>
        <w:rPr>
          <w:rFonts w:ascii="Calibri" w:cs="Calibri" w:eastAsia="Calibri" w:hAnsi="Calibri"/>
          <w:sz w:val="22"/>
          <w:szCs w:val="22"/>
        </w:rPr>
        <w:t xml:space="preserve">Vigilance : mobilisation d’une équipe technique pour l’exploitation ; choix rigoureux des admins.</w:t>
      </w:r>
    </w:p>
    <w:p>
      <w:pPr>
        <w:pStyle w:val="Heading2"/>
        <w:spacing w:after="120" w:before="240"/>
      </w:pPr>
      <w:r>
        <w:rPr>
          <w:rFonts w:ascii="Calibri" w:cs="Calibri" w:eastAsia="Calibri" w:hAnsi="Calibri"/>
          <w:b/>
          <w:bCs/>
          <w:color w:val="0B2A4A"/>
        </w:rPr>
        <w:t xml:space="preserve">3.2.4. Option complémentaire — Session (anonymat opérationnel)</w:t>
      </w:r>
    </w:p>
    <w:p>
      <w:pPr>
        <w:spacing w:after="60" w:before="60" w:line="300"/>
        <w:jc w:val="both"/>
      </w:pPr>
      <w:r>
        <w:rPr>
          <w:rFonts w:ascii="Calibri" w:cs="Calibri" w:eastAsia="Calibri" w:hAnsi="Calibri"/>
        </w:rPr>
        <w:t xml:space="preserve">Session peut être utilisée ponctuellement pour des communications où la dissociation complète entre identité et contenu est requise. Dérivée de Signal, Session n’exige aucun numéro, aucun courriel, et fait transiter les échanges par un réseau anonymisant. Elle n’est pas proposée comme solution quotidienne, mais comme instrument d’appoint pour des missions sensibles.</w:t>
      </w:r>
    </w:p>
    <w:p>
      <w:pPr>
        <w:pStyle w:val="Heading2"/>
        <w:spacing w:after="120" w:before="240"/>
      </w:pPr>
      <w:r>
        <w:rPr>
          <w:rFonts w:ascii="Calibri" w:cs="Calibri" w:eastAsia="Calibri" w:hAnsi="Calibri"/>
          <w:b/>
          <w:bCs/>
          <w:color w:val="0B2A4A"/>
        </w:rPr>
        <w:t xml:space="preserve">3.3. Terminaux et socle matériel</w:t>
      </w:r>
    </w:p>
    <w:p>
      <w:pPr>
        <w:spacing w:after="60" w:before="60" w:line="300"/>
        <w:jc w:val="both"/>
      </w:pPr>
      <w:r>
        <w:rPr>
          <w:rFonts w:ascii="Calibri" w:cs="Calibri" w:eastAsia="Calibri" w:hAnsi="Calibri"/>
        </w:rPr>
        <w:t xml:space="preserve">Une messagerie, quelle que soit sa qualité cryptographique, ne vaut que par la confiance que l’on peut accorder au terminal qui l’exécute. Il est donc indispensable d’associer les recommandations logicielles ci-dessus à une politique de terminaux dédiés. Trois choix sont envisageables selon la sensibilité :</w:t>
      </w:r>
    </w:p>
    <w:p>
      <w:pPr>
        <w:pStyle w:val="ListParagraph"/>
        <w:numPr>
          <w:ilvl w:val="0"/>
          <w:numId w:val="2"/>
        </w:numPr>
        <w:spacing w:after="40" w:before="40" w:line="280"/>
      </w:pPr>
      <w:r>
        <w:rPr>
          <w:rFonts w:ascii="Calibri" w:cs="Calibri" w:eastAsia="Calibri" w:hAnsi="Calibri"/>
          <w:sz w:val="22"/>
          <w:szCs w:val="22"/>
        </w:rPr>
        <w:t xml:space="preserve">Téléphones Pixel équipés de GrapheneOS, système d’exploitation durci, dédiés strictement aux communications sensibles.</w:t>
      </w:r>
    </w:p>
    <w:p>
      <w:pPr>
        <w:pStyle w:val="ListParagraph"/>
        <w:numPr>
          <w:ilvl w:val="0"/>
          <w:numId w:val="2"/>
        </w:numPr>
        <w:spacing w:after="40" w:before="40" w:line="280"/>
      </w:pPr>
      <w:r>
        <w:rPr>
          <w:rFonts w:ascii="Calibri" w:cs="Calibri" w:eastAsia="Calibri" w:hAnsi="Calibri"/>
          <w:sz w:val="22"/>
          <w:szCs w:val="22"/>
        </w:rPr>
        <w:t xml:space="preserve">iPhone en mode isolement (Lockdown Mode), uniquement pour les profils refusant d’adopter GrapheneOS, et avec acceptation des limites fonctionnelles qui en découlent.</w:t>
      </w:r>
    </w:p>
    <w:p>
      <w:pPr>
        <w:pStyle w:val="ListParagraph"/>
        <w:numPr>
          <w:ilvl w:val="0"/>
          <w:numId w:val="2"/>
        </w:numPr>
        <w:spacing w:after="40" w:before="40" w:line="280"/>
      </w:pPr>
      <w:r>
        <w:rPr>
          <w:rFonts w:ascii="Calibri" w:cs="Calibri" w:eastAsia="Calibri" w:hAnsi="Calibri"/>
          <w:sz w:val="22"/>
          <w:szCs w:val="22"/>
        </w:rPr>
        <w:t xml:space="preserve">Stations de travail OSINT isolées (machines physiques dédiées ou VM jetables), séparées des postes de bureautique courante.</w:t>
      </w:r>
    </w:p>
    <w:p>
      <w:pPr>
        <w:spacing w:after="60" w:before="60" w:line="300"/>
        <w:jc w:val="both"/>
      </w:pPr>
      <w:r>
        <w:rPr>
          <w:rFonts w:ascii="Calibri" w:cs="Calibri" w:eastAsia="Calibri" w:hAnsi="Calibri"/>
        </w:rPr>
        <w:t xml:space="preserve">Ces terminaux doivent être intégrés à une solution de gestion centralisée (MDM), équipés d’un EDR, et faire l’objet d’une politique claire : pas de compte personnel, pas d’application non autorisée, pas de connexion en dehors du réseau de l’entité, verrouillage biométrique complété par un code long, effacement à distance.</w:t>
      </w:r>
    </w:p>
    <w:p>
      <w:pPr>
        <w:pStyle w:val="Heading1"/>
        <w:spacing w:after="120" w:before="360"/>
      </w:pPr>
      <w:r>
        <w:rPr>
          <w:rFonts w:ascii="Calibri" w:cs="Calibri" w:eastAsia="Calibri" w:hAnsi="Calibri"/>
          <w:b/>
          <w:bCs/>
          <w:color w:val="0B2A4A"/>
        </w:rPr>
        <w:t xml:space="preserve">4. Volet 2 — Capacité OSINT</w:t>
      </w:r>
    </w:p>
    <w:p>
      <w:pPr>
        <w:pStyle w:val="Heading2"/>
        <w:spacing w:after="120" w:before="240"/>
      </w:pPr>
      <w:r>
        <w:rPr>
          <w:rFonts w:ascii="Calibri" w:cs="Calibri" w:eastAsia="Calibri" w:hAnsi="Calibri"/>
          <w:b/>
          <w:bCs/>
          <w:color w:val="0B2A4A"/>
        </w:rPr>
        <w:t xml:space="preserve">4.1. Doctrine d’emploi</w:t>
      </w:r>
    </w:p>
    <w:p>
      <w:pPr>
        <w:spacing w:after="60" w:before="60" w:line="300"/>
        <w:jc w:val="both"/>
      </w:pPr>
      <w:r>
        <w:rPr>
          <w:rFonts w:ascii="Calibri" w:cs="Calibri" w:eastAsia="Calibri" w:hAnsi="Calibri"/>
        </w:rPr>
        <w:t xml:space="preserve">L’OSINT (Open Source Intelligence) consiste à produire du renseignement à partir de sources légalement accessibles. Appliqué à une structure sensible, il poursuit quatre finalités : anticiper les menaces (cyber, informationnelles, réputationnelles), éclairer la décision par une compréhension fine de l’environnement, soutenir les enquêtes internes, et alimenter la cartographie des risques. Le dispositif proposé repose sur une cellule resserrée et s’inscrit dans un cycle de renseignement formalisé.</w:t>
      </w:r>
    </w:p>
    <w:p>
      <w:pPr>
        <w:spacing w:after="180" w:before="180"/>
        <w:jc w:val="center"/>
      </w:pPr>
      <w:r>
        <w:drawing>
          <wp:inline distT="0" distB="0" distL="0" distR="0">
            <wp:extent cx="4953000" cy="3143250"/>
            <wp:effectExtent t="0" r="0" b="0" l="0"/>
            <wp:docPr id="1" name="schema_cycle_osint.png" descr="schema_cycle_osint.png" title="schema_cycle_osi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143250"/>
                    </a:xfrm>
                    <a:prstGeom prst="rect">
                      <a:avLst/>
                    </a:prstGeom>
                  </pic:spPr>
                </pic:pic>
              </a:graphicData>
            </a:graphic>
          </wp:inline>
        </w:drawing>
      </w:r>
    </w:p>
    <w:p>
      <w:pPr>
        <w:spacing w:after="200" w:before="0"/>
        <w:jc w:val="center"/>
      </w:pPr>
      <w:r>
        <w:rPr>
          <w:rFonts w:ascii="Calibri" w:cs="Calibri" w:eastAsia="Calibri" w:hAnsi="Calibri"/>
          <w:i/>
          <w:iCs/>
          <w:color w:val="54606F"/>
          <w:sz w:val="18"/>
          <w:szCs w:val="18"/>
        </w:rPr>
        <w:t xml:space="preserve">Schéma 1 — Cycle de renseignement OSINT appliqué à la cellule.</w:t>
      </w:r>
    </w:p>
    <w:p>
      <w:pPr>
        <w:pStyle w:val="Heading2"/>
        <w:spacing w:after="120" w:before="240"/>
      </w:pPr>
      <w:r>
        <w:rPr>
          <w:rFonts w:ascii="Calibri" w:cs="Calibri" w:eastAsia="Calibri" w:hAnsi="Calibri"/>
          <w:b/>
          <w:bCs/>
          <w:color w:val="0B2A4A"/>
        </w:rPr>
        <w:t xml:space="preserve">4.2. Flux fournis par le MTNMA</w:t>
      </w:r>
    </w:p>
    <w:p>
      <w:pPr>
        <w:spacing w:after="60" w:before="60" w:line="300"/>
        <w:jc w:val="both"/>
      </w:pPr>
      <w:r>
        <w:rPr>
          <w:rFonts w:ascii="Calibri" w:cs="Calibri" w:eastAsia="Calibri" w:hAnsi="Calibri"/>
        </w:rPr>
        <w:t xml:space="preserve">Deux flux de premier plan sont d’ores et déjà accessibles par l’intermédiaire du Ministère de la Transformation Numérique, et devront constituer la colonne vertébrale de la posture de défense :</w:t>
      </w:r>
    </w:p>
    <w:p>
      <w:pPr>
        <w:pStyle w:val="ListParagraph"/>
        <w:numPr>
          <w:ilvl w:val="0"/>
          <w:numId w:val="2"/>
        </w:numPr>
        <w:spacing w:after="40" w:before="40" w:line="280"/>
      </w:pPr>
      <w:r>
        <w:rPr>
          <w:rFonts w:ascii="Calibri" w:cs="Calibri" w:eastAsia="Calibri" w:hAnsi="Calibri"/>
          <w:sz w:val="22"/>
          <w:szCs w:val="22"/>
        </w:rPr>
        <w:t xml:space="preserve">Rapports Shadowserver : remontées quotidiennes sur les actifs vulnérables, compromissions constatées et activités malveillantes observées sur le segment mauritanien de l’Internet.</w:t>
      </w:r>
    </w:p>
    <w:p>
      <w:pPr>
        <w:pStyle w:val="ListParagraph"/>
        <w:numPr>
          <w:ilvl w:val="0"/>
          <w:numId w:val="2"/>
        </w:numPr>
        <w:spacing w:after="40" w:before="40" w:line="280"/>
      </w:pPr>
      <w:r>
        <w:rPr>
          <w:rFonts w:ascii="Calibri" w:cs="Calibri" w:eastAsia="Calibri" w:hAnsi="Calibri"/>
          <w:sz w:val="22"/>
          <w:szCs w:val="22"/>
        </w:rPr>
        <w:t xml:space="preserve">Alertes CTM360 : détection de risques numériques externes (fuites de données, typosquatting, usurpations, expositions d’API), incluant une veille sur les réseaux sociaux et le deep/dark web.</w:t>
      </w:r>
    </w:p>
    <w:p>
      <w:pPr>
        <w:spacing w:after="60" w:before="60" w:line="300"/>
        <w:jc w:val="both"/>
      </w:pPr>
      <w:r>
        <w:rPr>
          <w:rFonts w:ascii="Calibri" w:cs="Calibri" w:eastAsia="Calibri" w:hAnsi="Calibri"/>
        </w:rPr>
        <w:t xml:space="preserve">Il convient de formaliser par courriel, auprès du MTNMA, la livraison régulière de ces deux flux, en précisant les destinataires habilités, les formats attendus (CSV, JSON, bulletins consolidés) et la fréquence. Un point de contact unique, côté commanditaire, centralisera la réception et la première qualification.</w:t>
      </w:r>
    </w:p>
    <w:p>
      <w:pPr>
        <w:pStyle w:val="Heading2"/>
        <w:spacing w:after="120" w:before="240"/>
      </w:pPr>
      <w:r>
        <w:rPr>
          <w:rFonts w:ascii="Calibri" w:cs="Calibri" w:eastAsia="Calibri" w:hAnsi="Calibri"/>
          <w:b/>
          <w:bCs/>
          <w:color w:val="0B2A4A"/>
        </w:rPr>
        <w:t xml:space="preserve">4.3. Boîte à outils recommandée</w:t>
      </w:r>
    </w:p>
    <w:p>
      <w:pPr>
        <w:spacing w:after="60" w:before="60" w:line="300"/>
        <w:jc w:val="center"/>
      </w:pPr>
      <w:r>
        <w:rPr>
          <w:rFonts w:ascii="Calibri" w:cs="Calibri" w:eastAsia="Calibri" w:hAnsi="Calibri"/>
          <w:i/>
          <w:iCs/>
          <w:color w:val="54606F"/>
          <w:sz w:val="20"/>
          <w:szCs w:val="20"/>
        </w:rPr>
        <w:t xml:space="preserve">Panorama d’outils — sélection d’entrée, à ajuster selon les priorités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D7DCE3" w:sz="4"/>
              <w:left w:val="single" w:color="D7DCE3" w:sz="4"/>
              <w:bottom w:val="single" w:color="D7DCE3" w:sz="4"/>
              <w:right w:val="single" w:color="D7DCE3" w:sz="4"/>
            </w:tcBorders>
            <w:shd w:fill="0B2A4A" w:color="auto" w:val="clear"/>
            <w:tcMar>
              <w:top w:type="dxa" w:w="100"/>
              <w:left w:type="dxa" w:w="140"/>
              <w:bottom w:type="dxa" w:w="100"/>
              <w:right w:type="dxa" w:w="140"/>
            </w:tcMar>
          </w:tcPr>
          <w:p>
            <w:pPr>
              <w:jc w:val="left"/>
            </w:pPr>
            <w:r>
              <w:rPr>
                <w:rFonts w:ascii="Calibri" w:cs="Calibri" w:eastAsia="Calibri" w:hAnsi="Calibri"/>
                <w:b/>
                <w:bCs/>
                <w:color w:val="FFFFFF"/>
                <w:sz w:val="22"/>
                <w:szCs w:val="22"/>
              </w:rPr>
              <w:t xml:space="preserve">Catégorie</w:t>
            </w:r>
          </w:p>
        </w:tc>
        <w:tc>
          <w:tcPr>
            <w:tcW w:type="dxa" w:w="3380"/>
            <w:tcBorders>
              <w:top w:val="single" w:color="D7DCE3" w:sz="4"/>
              <w:left w:val="single" w:color="D7DCE3" w:sz="4"/>
              <w:bottom w:val="single" w:color="D7DCE3" w:sz="4"/>
              <w:right w:val="single" w:color="D7DCE3" w:sz="4"/>
            </w:tcBorders>
            <w:shd w:fill="0B2A4A" w:color="auto" w:val="clear"/>
            <w:tcMar>
              <w:top w:type="dxa" w:w="100"/>
              <w:left w:type="dxa" w:w="140"/>
              <w:bottom w:type="dxa" w:w="100"/>
              <w:right w:type="dxa" w:w="140"/>
            </w:tcMar>
          </w:tcPr>
          <w:p>
            <w:pPr>
              <w:jc w:val="left"/>
            </w:pPr>
            <w:r>
              <w:rPr>
                <w:rFonts w:ascii="Calibri" w:cs="Calibri" w:eastAsia="Calibri" w:hAnsi="Calibri"/>
                <w:b/>
                <w:bCs/>
                <w:color w:val="FFFFFF"/>
                <w:sz w:val="22"/>
                <w:szCs w:val="22"/>
              </w:rPr>
              <w:t xml:space="preserve">Outils libres / gratuits</w:t>
            </w:r>
          </w:p>
        </w:tc>
        <w:tc>
          <w:tcPr>
            <w:tcW w:type="dxa" w:w="3380"/>
            <w:tcBorders>
              <w:top w:val="single" w:color="D7DCE3" w:sz="4"/>
              <w:left w:val="single" w:color="D7DCE3" w:sz="4"/>
              <w:bottom w:val="single" w:color="D7DCE3" w:sz="4"/>
              <w:right w:val="single" w:color="D7DCE3" w:sz="4"/>
            </w:tcBorders>
            <w:shd w:fill="0B2A4A" w:color="auto" w:val="clear"/>
            <w:tcMar>
              <w:top w:type="dxa" w:w="100"/>
              <w:left w:type="dxa" w:w="140"/>
              <w:bottom w:type="dxa" w:w="100"/>
              <w:right w:type="dxa" w:w="140"/>
            </w:tcMar>
          </w:tcPr>
          <w:p>
            <w:pPr>
              <w:jc w:val="left"/>
            </w:pPr>
            <w:r>
              <w:rPr>
                <w:rFonts w:ascii="Calibri" w:cs="Calibri" w:eastAsia="Calibri" w:hAnsi="Calibri"/>
                <w:b/>
                <w:bCs/>
                <w:color w:val="FFFFFF"/>
                <w:sz w:val="22"/>
                <w:szCs w:val="22"/>
              </w:rPr>
              <w:t xml:space="preserve">Solutions professionnelles</w:t>
            </w:r>
          </w:p>
        </w:tc>
      </w:tr>
      <w:tr>
        <w:tc>
          <w:tcPr>
            <w:tcW w:type="dxa" w:w="2600"/>
            <w:tcBorders>
              <w:top w:val="single" w:color="D7DCE3" w:sz="4"/>
              <w:left w:val="single" w:color="D7DCE3" w:sz="4"/>
              <w:bottom w:val="single" w:color="D7DCE3" w:sz="4"/>
              <w:right w:val="single" w:color="D7DCE3" w:sz="4"/>
            </w:tcBorders>
            <w:shd w:fill="F4F6F9" w:color="auto" w:val="clear"/>
            <w:tcMar>
              <w:top w:type="dxa" w:w="100"/>
              <w:left w:type="dxa" w:w="140"/>
              <w:bottom w:type="dxa" w:w="100"/>
              <w:right w:type="dxa" w:w="140"/>
            </w:tcMar>
          </w:tcPr>
          <w:p>
            <w:pPr>
              <w:jc w:val="left"/>
            </w:pPr>
            <w:r>
              <w:rPr>
                <w:rFonts w:ascii="Calibri" w:cs="Calibri" w:eastAsia="Calibri" w:hAnsi="Calibri"/>
                <w:b/>
                <w:bCs/>
                <w:sz w:val="20"/>
                <w:szCs w:val="20"/>
              </w:rPr>
              <w:t xml:space="preserve">Cartographie d’infrastructure</w:t>
            </w:r>
          </w:p>
        </w:tc>
        <w:tc>
          <w:tcPr>
            <w:tcW w:type="dxa" w:w="3380"/>
            <w:tcBorders>
              <w:top w:val="single" w:color="D7DCE3" w:sz="4"/>
              <w:left w:val="single" w:color="D7DCE3" w:sz="4"/>
              <w:bottom w:val="single" w:color="D7DCE3" w:sz="4"/>
              <w:right w:val="single" w:color="D7DCE3" w:sz="4"/>
            </w:tcBorders>
            <w:tcMar>
              <w:top w:type="dxa" w:w="100"/>
              <w:left w:type="dxa" w:w="140"/>
              <w:bottom w:type="dxa" w:w="100"/>
              <w:right w:type="dxa" w:w="140"/>
            </w:tcMar>
          </w:tcPr>
          <w:p>
            <w:pPr>
              <w:jc w:val="left"/>
            </w:pPr>
            <w:r>
              <w:rPr>
                <w:rFonts w:ascii="Calibri" w:cs="Calibri" w:eastAsia="Calibri" w:hAnsi="Calibri"/>
                <w:sz w:val="20"/>
                <w:szCs w:val="20"/>
              </w:rPr>
              <w:t xml:space="preserve">Shodan, Censys, WHOIS, DNSdumpster, crt.sh, SecurityTrails (gratuit)</w:t>
            </w:r>
          </w:p>
        </w:tc>
        <w:tc>
          <w:tcPr>
            <w:tcW w:type="dxa" w:w="3380"/>
            <w:tcBorders>
              <w:top w:val="single" w:color="D7DCE3" w:sz="4"/>
              <w:left w:val="single" w:color="D7DCE3" w:sz="4"/>
              <w:bottom w:val="single" w:color="D7DCE3" w:sz="4"/>
              <w:right w:val="single" w:color="D7DCE3" w:sz="4"/>
            </w:tcBorders>
            <w:tcMar>
              <w:top w:type="dxa" w:w="100"/>
              <w:left w:type="dxa" w:w="140"/>
              <w:bottom w:type="dxa" w:w="100"/>
              <w:right w:type="dxa" w:w="140"/>
            </w:tcMar>
          </w:tcPr>
          <w:p>
            <w:pPr>
              <w:jc w:val="left"/>
            </w:pPr>
            <w:r>
              <w:rPr>
                <w:rFonts w:ascii="Calibri" w:cs="Calibri" w:eastAsia="Calibri" w:hAnsi="Calibri"/>
                <w:sz w:val="20"/>
                <w:szCs w:val="20"/>
              </w:rPr>
              <w:t xml:space="preserve">RiskIQ (Microsoft Defender EASM), Recorded Future ASI</w:t>
            </w:r>
          </w:p>
        </w:tc>
      </w:tr>
      <w:tr>
        <w:tc>
          <w:tcPr>
            <w:tcW w:type="dxa" w:w="2600"/>
            <w:tcBorders>
              <w:top w:val="single" w:color="D7DCE3" w:sz="4"/>
              <w:left w:val="single" w:color="D7DCE3" w:sz="4"/>
              <w:bottom w:val="single" w:color="D7DCE3" w:sz="4"/>
              <w:right w:val="single" w:color="D7DCE3" w:sz="4"/>
            </w:tcBorders>
            <w:shd w:fill="F4F6F9" w:color="auto" w:val="clear"/>
            <w:tcMar>
              <w:top w:type="dxa" w:w="100"/>
              <w:left w:type="dxa" w:w="140"/>
              <w:bottom w:type="dxa" w:w="100"/>
              <w:right w:type="dxa" w:w="140"/>
            </w:tcMar>
          </w:tcPr>
          <w:p>
            <w:pPr>
              <w:jc w:val="left"/>
            </w:pPr>
            <w:r>
              <w:rPr>
                <w:rFonts w:ascii="Calibri" w:cs="Calibri" w:eastAsia="Calibri" w:hAnsi="Calibri"/>
                <w:b/>
                <w:bCs/>
                <w:sz w:val="20"/>
                <w:szCs w:val="20"/>
              </w:rPr>
              <w:t xml:space="preserve">Investigation &amp; liens</w:t>
            </w:r>
          </w:p>
        </w:tc>
        <w:tc>
          <w:tcPr>
            <w:tcW w:type="dxa" w:w="3380"/>
            <w:tcBorders>
              <w:top w:val="single" w:color="D7DCE3" w:sz="4"/>
              <w:left w:val="single" w:color="D7DCE3" w:sz="4"/>
              <w:bottom w:val="single" w:color="D7DCE3" w:sz="4"/>
              <w:right w:val="single" w:color="D7DCE3" w:sz="4"/>
            </w:tcBorders>
            <w:tcMar>
              <w:top w:type="dxa" w:w="100"/>
              <w:left w:type="dxa" w:w="140"/>
              <w:bottom w:type="dxa" w:w="100"/>
              <w:right w:type="dxa" w:w="140"/>
            </w:tcMar>
          </w:tcPr>
          <w:p>
            <w:pPr>
              <w:jc w:val="left"/>
            </w:pPr>
            <w:r>
              <w:rPr>
                <w:rFonts w:ascii="Calibri" w:cs="Calibri" w:eastAsia="Calibri" w:hAnsi="Calibri"/>
                <w:sz w:val="20"/>
                <w:szCs w:val="20"/>
              </w:rPr>
              <w:t xml:space="preserve">SpiderFoot, theHarvester, Recon-ng, Hunchly</w:t>
            </w:r>
          </w:p>
        </w:tc>
        <w:tc>
          <w:tcPr>
            <w:tcW w:type="dxa" w:w="3380"/>
            <w:tcBorders>
              <w:top w:val="single" w:color="D7DCE3" w:sz="4"/>
              <w:left w:val="single" w:color="D7DCE3" w:sz="4"/>
              <w:bottom w:val="single" w:color="D7DCE3" w:sz="4"/>
              <w:right w:val="single" w:color="D7DCE3" w:sz="4"/>
            </w:tcBorders>
            <w:tcMar>
              <w:top w:type="dxa" w:w="100"/>
              <w:left w:type="dxa" w:w="140"/>
              <w:bottom w:type="dxa" w:w="100"/>
              <w:right w:type="dxa" w:w="140"/>
            </w:tcMar>
          </w:tcPr>
          <w:p>
            <w:pPr>
              <w:jc w:val="left"/>
            </w:pPr>
            <w:r>
              <w:rPr>
                <w:rFonts w:ascii="Calibri" w:cs="Calibri" w:eastAsia="Calibri" w:hAnsi="Calibri"/>
                <w:sz w:val="20"/>
                <w:szCs w:val="20"/>
              </w:rPr>
              <w:t xml:space="preserve">Maltego (édition XL), Social Links, Lampyre, ShadowDragon</w:t>
            </w:r>
          </w:p>
        </w:tc>
      </w:tr>
      <w:tr>
        <w:tc>
          <w:tcPr>
            <w:tcW w:type="dxa" w:w="2600"/>
            <w:tcBorders>
              <w:top w:val="single" w:color="D7DCE3" w:sz="4"/>
              <w:left w:val="single" w:color="D7DCE3" w:sz="4"/>
              <w:bottom w:val="single" w:color="D7DCE3" w:sz="4"/>
              <w:right w:val="single" w:color="D7DCE3" w:sz="4"/>
            </w:tcBorders>
            <w:shd w:fill="F4F6F9" w:color="auto" w:val="clear"/>
            <w:tcMar>
              <w:top w:type="dxa" w:w="100"/>
              <w:left w:type="dxa" w:w="140"/>
              <w:bottom w:type="dxa" w:w="100"/>
              <w:right w:type="dxa" w:w="140"/>
            </w:tcMar>
          </w:tcPr>
          <w:p>
            <w:pPr>
              <w:jc w:val="left"/>
            </w:pPr>
            <w:r>
              <w:rPr>
                <w:rFonts w:ascii="Calibri" w:cs="Calibri" w:eastAsia="Calibri" w:hAnsi="Calibri"/>
                <w:b/>
                <w:bCs/>
                <w:sz w:val="20"/>
                <w:szCs w:val="20"/>
              </w:rPr>
              <w:t xml:space="preserve">Réseaux sociaux (SOCMINT)</w:t>
            </w:r>
          </w:p>
        </w:tc>
        <w:tc>
          <w:tcPr>
            <w:tcW w:type="dxa" w:w="3380"/>
            <w:tcBorders>
              <w:top w:val="single" w:color="D7DCE3" w:sz="4"/>
              <w:left w:val="single" w:color="D7DCE3" w:sz="4"/>
              <w:bottom w:val="single" w:color="D7DCE3" w:sz="4"/>
              <w:right w:val="single" w:color="D7DCE3" w:sz="4"/>
            </w:tcBorders>
            <w:tcMar>
              <w:top w:type="dxa" w:w="100"/>
              <w:left w:type="dxa" w:w="140"/>
              <w:bottom w:type="dxa" w:w="100"/>
              <w:right w:type="dxa" w:w="140"/>
            </w:tcMar>
          </w:tcPr>
          <w:p>
            <w:pPr>
              <w:jc w:val="left"/>
            </w:pPr>
            <w:r>
              <w:rPr>
                <w:rFonts w:ascii="Calibri" w:cs="Calibri" w:eastAsia="Calibri" w:hAnsi="Calibri"/>
                <w:sz w:val="20"/>
                <w:szCs w:val="20"/>
              </w:rPr>
              <w:t xml:space="preserve">Telegago, Twint, ExifTool, Google Dorking, Bellingcat toolkit</w:t>
            </w:r>
          </w:p>
        </w:tc>
        <w:tc>
          <w:tcPr>
            <w:tcW w:type="dxa" w:w="3380"/>
            <w:tcBorders>
              <w:top w:val="single" w:color="D7DCE3" w:sz="4"/>
              <w:left w:val="single" w:color="D7DCE3" w:sz="4"/>
              <w:bottom w:val="single" w:color="D7DCE3" w:sz="4"/>
              <w:right w:val="single" w:color="D7DCE3" w:sz="4"/>
            </w:tcBorders>
            <w:tcMar>
              <w:top w:type="dxa" w:w="100"/>
              <w:left w:type="dxa" w:w="140"/>
              <w:bottom w:type="dxa" w:w="100"/>
              <w:right w:type="dxa" w:w="140"/>
            </w:tcMar>
          </w:tcPr>
          <w:p>
            <w:pPr>
              <w:jc w:val="left"/>
            </w:pPr>
            <w:r>
              <w:rPr>
                <w:rFonts w:ascii="Calibri" w:cs="Calibri" w:eastAsia="Calibri" w:hAnsi="Calibri"/>
                <w:sz w:val="20"/>
                <w:szCs w:val="20"/>
              </w:rPr>
              <w:t xml:space="preserve">Babel X, Social Links SL Pro, Liferaft Navigator</w:t>
            </w:r>
          </w:p>
        </w:tc>
      </w:tr>
      <w:tr>
        <w:tc>
          <w:tcPr>
            <w:tcW w:type="dxa" w:w="2600"/>
            <w:tcBorders>
              <w:top w:val="single" w:color="D7DCE3" w:sz="4"/>
              <w:left w:val="single" w:color="D7DCE3" w:sz="4"/>
              <w:bottom w:val="single" w:color="D7DCE3" w:sz="4"/>
              <w:right w:val="single" w:color="D7DCE3" w:sz="4"/>
            </w:tcBorders>
            <w:shd w:fill="F4F6F9" w:color="auto" w:val="clear"/>
            <w:tcMar>
              <w:top w:type="dxa" w:w="100"/>
              <w:left w:type="dxa" w:w="140"/>
              <w:bottom w:type="dxa" w:w="100"/>
              <w:right w:type="dxa" w:w="140"/>
            </w:tcMar>
          </w:tcPr>
          <w:p>
            <w:pPr>
              <w:jc w:val="left"/>
            </w:pPr>
            <w:r>
              <w:rPr>
                <w:rFonts w:ascii="Calibri" w:cs="Calibri" w:eastAsia="Calibri" w:hAnsi="Calibri"/>
                <w:b/>
                <w:bCs/>
                <w:sz w:val="20"/>
                <w:szCs w:val="20"/>
              </w:rPr>
              <w:t xml:space="preserve">Menaces &amp; cyber</w:t>
            </w:r>
          </w:p>
        </w:tc>
        <w:tc>
          <w:tcPr>
            <w:tcW w:type="dxa" w:w="3380"/>
            <w:tcBorders>
              <w:top w:val="single" w:color="D7DCE3" w:sz="4"/>
              <w:left w:val="single" w:color="D7DCE3" w:sz="4"/>
              <w:bottom w:val="single" w:color="D7DCE3" w:sz="4"/>
              <w:right w:val="single" w:color="D7DCE3" w:sz="4"/>
            </w:tcBorders>
            <w:tcMar>
              <w:top w:type="dxa" w:w="100"/>
              <w:left w:type="dxa" w:w="140"/>
              <w:bottom w:type="dxa" w:w="100"/>
              <w:right w:type="dxa" w:w="140"/>
            </w:tcMar>
          </w:tcPr>
          <w:p>
            <w:pPr>
              <w:jc w:val="left"/>
            </w:pPr>
            <w:r>
              <w:rPr>
                <w:rFonts w:ascii="Calibri" w:cs="Calibri" w:eastAsia="Calibri" w:hAnsi="Calibri"/>
                <w:sz w:val="20"/>
                <w:szCs w:val="20"/>
              </w:rPr>
              <w:t xml:space="preserve">MISP, OpenCTI, AlienVault OTX, abuse.ch</w:t>
            </w:r>
          </w:p>
        </w:tc>
        <w:tc>
          <w:tcPr>
            <w:tcW w:type="dxa" w:w="3380"/>
            <w:tcBorders>
              <w:top w:val="single" w:color="D7DCE3" w:sz="4"/>
              <w:left w:val="single" w:color="D7DCE3" w:sz="4"/>
              <w:bottom w:val="single" w:color="D7DCE3" w:sz="4"/>
              <w:right w:val="single" w:color="D7DCE3" w:sz="4"/>
            </w:tcBorders>
            <w:tcMar>
              <w:top w:type="dxa" w:w="100"/>
              <w:left w:type="dxa" w:w="140"/>
              <w:bottom w:type="dxa" w:w="100"/>
              <w:right w:type="dxa" w:w="140"/>
            </w:tcMar>
          </w:tcPr>
          <w:p>
            <w:pPr>
              <w:jc w:val="left"/>
            </w:pPr>
            <w:r>
              <w:rPr>
                <w:rFonts w:ascii="Calibri" w:cs="Calibri" w:eastAsia="Calibri" w:hAnsi="Calibri"/>
                <w:sz w:val="20"/>
                <w:szCs w:val="20"/>
              </w:rPr>
              <w:t xml:space="preserve">Recorded Future, Mandiant Advantage, Anomali, Flashpoint</w:t>
            </w:r>
          </w:p>
        </w:tc>
      </w:tr>
      <w:tr>
        <w:tc>
          <w:tcPr>
            <w:tcW w:type="dxa" w:w="2600"/>
            <w:tcBorders>
              <w:top w:val="single" w:color="D7DCE3" w:sz="4"/>
              <w:left w:val="single" w:color="D7DCE3" w:sz="4"/>
              <w:bottom w:val="single" w:color="D7DCE3" w:sz="4"/>
              <w:right w:val="single" w:color="D7DCE3" w:sz="4"/>
            </w:tcBorders>
            <w:shd w:fill="F4F6F9" w:color="auto" w:val="clear"/>
            <w:tcMar>
              <w:top w:type="dxa" w:w="100"/>
              <w:left w:type="dxa" w:w="140"/>
              <w:bottom w:type="dxa" w:w="100"/>
              <w:right w:type="dxa" w:w="140"/>
            </w:tcMar>
          </w:tcPr>
          <w:p>
            <w:pPr>
              <w:jc w:val="left"/>
            </w:pPr>
            <w:r>
              <w:rPr>
                <w:rFonts w:ascii="Calibri" w:cs="Calibri" w:eastAsia="Calibri" w:hAnsi="Calibri"/>
                <w:b/>
                <w:bCs/>
                <w:sz w:val="20"/>
                <w:szCs w:val="20"/>
              </w:rPr>
              <w:t xml:space="preserve">Dark Web</w:t>
            </w:r>
          </w:p>
        </w:tc>
        <w:tc>
          <w:tcPr>
            <w:tcW w:type="dxa" w:w="3380"/>
            <w:tcBorders>
              <w:top w:val="single" w:color="D7DCE3" w:sz="4"/>
              <w:left w:val="single" w:color="D7DCE3" w:sz="4"/>
              <w:bottom w:val="single" w:color="D7DCE3" w:sz="4"/>
              <w:right w:val="single" w:color="D7DCE3" w:sz="4"/>
            </w:tcBorders>
            <w:tcMar>
              <w:top w:type="dxa" w:w="100"/>
              <w:left w:type="dxa" w:w="140"/>
              <w:bottom w:type="dxa" w:w="100"/>
              <w:right w:type="dxa" w:w="140"/>
            </w:tcMar>
          </w:tcPr>
          <w:p>
            <w:pPr>
              <w:jc w:val="left"/>
            </w:pPr>
            <w:r>
              <w:rPr>
                <w:rFonts w:ascii="Calibri" w:cs="Calibri" w:eastAsia="Calibri" w:hAnsi="Calibri"/>
                <w:sz w:val="20"/>
                <w:szCs w:val="20"/>
              </w:rPr>
              <w:t xml:space="preserve">Ahmia, Tor Browser + OnionSearch, Dark.fail</w:t>
            </w:r>
          </w:p>
        </w:tc>
        <w:tc>
          <w:tcPr>
            <w:tcW w:type="dxa" w:w="3380"/>
            <w:tcBorders>
              <w:top w:val="single" w:color="D7DCE3" w:sz="4"/>
              <w:left w:val="single" w:color="D7DCE3" w:sz="4"/>
              <w:bottom w:val="single" w:color="D7DCE3" w:sz="4"/>
              <w:right w:val="single" w:color="D7DCE3" w:sz="4"/>
            </w:tcBorders>
            <w:tcMar>
              <w:top w:type="dxa" w:w="100"/>
              <w:left w:type="dxa" w:w="140"/>
              <w:bottom w:type="dxa" w:w="100"/>
              <w:right w:type="dxa" w:w="140"/>
            </w:tcMar>
          </w:tcPr>
          <w:p>
            <w:pPr>
              <w:jc w:val="left"/>
            </w:pPr>
            <w:r>
              <w:rPr>
                <w:rFonts w:ascii="Calibri" w:cs="Calibri" w:eastAsia="Calibri" w:hAnsi="Calibri"/>
                <w:sz w:val="20"/>
                <w:szCs w:val="20"/>
              </w:rPr>
              <w:t xml:space="preserve">DarkOwl, Flashpoint, KELA</w:t>
            </w:r>
          </w:p>
        </w:tc>
      </w:tr>
      <w:tr>
        <w:tc>
          <w:tcPr>
            <w:tcW w:type="dxa" w:w="2600"/>
            <w:tcBorders>
              <w:top w:val="single" w:color="D7DCE3" w:sz="4"/>
              <w:left w:val="single" w:color="D7DCE3" w:sz="4"/>
              <w:bottom w:val="single" w:color="D7DCE3" w:sz="4"/>
              <w:right w:val="single" w:color="D7DCE3" w:sz="4"/>
            </w:tcBorders>
            <w:shd w:fill="F4F6F9" w:color="auto" w:val="clear"/>
            <w:tcMar>
              <w:top w:type="dxa" w:w="100"/>
              <w:left w:type="dxa" w:w="140"/>
              <w:bottom w:type="dxa" w:w="100"/>
              <w:right w:type="dxa" w:w="140"/>
            </w:tcMar>
          </w:tcPr>
          <w:p>
            <w:pPr>
              <w:jc w:val="left"/>
            </w:pPr>
            <w:r>
              <w:rPr>
                <w:rFonts w:ascii="Calibri" w:cs="Calibri" w:eastAsia="Calibri" w:hAnsi="Calibri"/>
                <w:b/>
                <w:bCs/>
                <w:sz w:val="20"/>
                <w:szCs w:val="20"/>
              </w:rPr>
              <w:t xml:space="preserve">Analyse &amp; visualisation</w:t>
            </w:r>
          </w:p>
        </w:tc>
        <w:tc>
          <w:tcPr>
            <w:tcW w:type="dxa" w:w="3380"/>
            <w:tcBorders>
              <w:top w:val="single" w:color="D7DCE3" w:sz="4"/>
              <w:left w:val="single" w:color="D7DCE3" w:sz="4"/>
              <w:bottom w:val="single" w:color="D7DCE3" w:sz="4"/>
              <w:right w:val="single" w:color="D7DCE3" w:sz="4"/>
            </w:tcBorders>
            <w:tcMar>
              <w:top w:type="dxa" w:w="100"/>
              <w:left w:type="dxa" w:w="140"/>
              <w:bottom w:type="dxa" w:w="100"/>
              <w:right w:type="dxa" w:w="140"/>
            </w:tcMar>
          </w:tcPr>
          <w:p>
            <w:pPr>
              <w:jc w:val="left"/>
            </w:pPr>
            <w:r>
              <w:rPr>
                <w:rFonts w:ascii="Calibri" w:cs="Calibri" w:eastAsia="Calibri" w:hAnsi="Calibri"/>
                <w:sz w:val="20"/>
                <w:szCs w:val="20"/>
              </w:rPr>
              <w:t xml:space="preserve">Obsidian, Gephi, Neo4j Community, Kibana (ELK)</w:t>
            </w:r>
          </w:p>
        </w:tc>
        <w:tc>
          <w:tcPr>
            <w:tcW w:type="dxa" w:w="3380"/>
            <w:tcBorders>
              <w:top w:val="single" w:color="D7DCE3" w:sz="4"/>
              <w:left w:val="single" w:color="D7DCE3" w:sz="4"/>
              <w:bottom w:val="single" w:color="D7DCE3" w:sz="4"/>
              <w:right w:val="single" w:color="D7DCE3" w:sz="4"/>
            </w:tcBorders>
            <w:tcMar>
              <w:top w:type="dxa" w:w="100"/>
              <w:left w:type="dxa" w:w="140"/>
              <w:bottom w:type="dxa" w:w="100"/>
              <w:right w:type="dxa" w:w="140"/>
            </w:tcMar>
          </w:tcPr>
          <w:p>
            <w:pPr>
              <w:jc w:val="left"/>
            </w:pPr>
            <w:r>
              <w:rPr>
                <w:rFonts w:ascii="Calibri" w:cs="Calibri" w:eastAsia="Calibri" w:hAnsi="Calibri"/>
                <w:sz w:val="20"/>
                <w:szCs w:val="20"/>
              </w:rPr>
              <w:t xml:space="preserve">i2 Analyst’s Notebook, Palantir Foundry (optionnel)</w:t>
            </w:r>
          </w:p>
        </w:tc>
      </w:tr>
    </w:tbl>
    <w:p>
      <w:pPr>
        <w:spacing w:after="100" w:before="100"/>
      </w:pPr>
      <w:r>
        <w:t xml:space="preserve"/>
      </w:r>
    </w:p>
    <w:p>
      <w:pPr>
        <w:spacing w:after="60" w:before="60" w:line="300"/>
        <w:jc w:val="both"/>
      </w:pPr>
      <w:r>
        <w:rPr>
          <w:rFonts w:ascii="Calibri" w:cs="Calibri" w:eastAsia="Calibri" w:hAnsi="Calibri"/>
        </w:rPr>
        <w:t xml:space="preserve">Le démarrage s’effectue avec les outils libres, qui couvrent déjà 70 % des besoins d’une cellule naissante. L’investissement dans les solutions professionnelles s’engage après la phase pilote, sur la base d’une analyse d’écart et d’un dossier de décision.</w:t>
      </w:r>
    </w:p>
    <w:p>
      <w:pPr>
        <w:pStyle w:val="Heading2"/>
        <w:spacing w:after="120" w:before="240"/>
      </w:pPr>
      <w:r>
        <w:rPr>
          <w:rFonts w:ascii="Calibri" w:cs="Calibri" w:eastAsia="Calibri" w:hAnsi="Calibri"/>
          <w:b/>
          <w:bCs/>
          <w:color w:val="0B2A4A"/>
        </w:rPr>
        <w:t xml:space="preserve">4.4. Règles OPSEC de la cellule</w:t>
      </w:r>
    </w:p>
    <w:p>
      <w:pPr>
        <w:pStyle w:val="ListParagraph"/>
        <w:numPr>
          <w:ilvl w:val="0"/>
          <w:numId w:val="2"/>
        </w:numPr>
        <w:spacing w:after="40" w:before="40" w:line="280"/>
      </w:pPr>
      <w:r>
        <w:rPr>
          <w:rFonts w:ascii="Calibri" w:cs="Calibri" w:eastAsia="Calibri" w:hAnsi="Calibri"/>
          <w:sz w:val="22"/>
          <w:szCs w:val="22"/>
        </w:rPr>
        <w:t xml:space="preserve">Compartimentation stricte entre identités virtuelles d’investigation et comptes personnels.</w:t>
      </w:r>
    </w:p>
    <w:p>
      <w:pPr>
        <w:pStyle w:val="ListParagraph"/>
        <w:numPr>
          <w:ilvl w:val="0"/>
          <w:numId w:val="2"/>
        </w:numPr>
        <w:spacing w:after="40" w:before="40" w:line="280"/>
      </w:pPr>
      <w:r>
        <w:rPr>
          <w:rFonts w:ascii="Calibri" w:cs="Calibri" w:eastAsia="Calibri" w:hAnsi="Calibri"/>
          <w:sz w:val="22"/>
          <w:szCs w:val="22"/>
        </w:rPr>
        <w:t xml:space="preserve">Recours systématique à des VM jetables, reverse proxy ou passerelle VPN sortante pour toute interaction avec les sources.</w:t>
      </w:r>
    </w:p>
    <w:p>
      <w:pPr>
        <w:pStyle w:val="ListParagraph"/>
        <w:numPr>
          <w:ilvl w:val="0"/>
          <w:numId w:val="2"/>
        </w:numPr>
        <w:spacing w:after="40" w:before="40" w:line="280"/>
      </w:pPr>
      <w:r>
        <w:rPr>
          <w:rFonts w:ascii="Calibri" w:cs="Calibri" w:eastAsia="Calibri" w:hAnsi="Calibri"/>
          <w:sz w:val="22"/>
          <w:szCs w:val="22"/>
        </w:rPr>
        <w:t xml:space="preserve">Horodatage et empreinte SHA-256 des pièces collectées (constitution de dossier probatoire).</w:t>
      </w:r>
    </w:p>
    <w:p>
      <w:pPr>
        <w:pStyle w:val="ListParagraph"/>
        <w:numPr>
          <w:ilvl w:val="0"/>
          <w:numId w:val="2"/>
        </w:numPr>
        <w:spacing w:after="40" w:before="40" w:line="280"/>
      </w:pPr>
      <w:r>
        <w:rPr>
          <w:rFonts w:ascii="Calibri" w:cs="Calibri" w:eastAsia="Calibri" w:hAnsi="Calibri"/>
          <w:sz w:val="22"/>
          <w:szCs w:val="22"/>
        </w:rPr>
        <w:t xml:space="preserve">Consignation des requêtes (journal d’investigation) et revue hebdomadaire par le responsable.</w:t>
      </w:r>
    </w:p>
    <w:p>
      <w:pPr>
        <w:pStyle w:val="ListParagraph"/>
        <w:numPr>
          <w:ilvl w:val="0"/>
          <w:numId w:val="2"/>
        </w:numPr>
        <w:spacing w:after="40" w:before="40" w:line="280"/>
      </w:pPr>
      <w:r>
        <w:rPr>
          <w:rFonts w:ascii="Calibri" w:cs="Calibri" w:eastAsia="Calibri" w:hAnsi="Calibri"/>
          <w:sz w:val="22"/>
          <w:szCs w:val="22"/>
        </w:rPr>
        <w:t xml:space="preserve">Limitation des exports : tout livrable quitte la cellule via les canaux chiffrés validés, jamais par courrier ordinaire.</w:t>
      </w:r>
    </w:p>
    <w:p>
      <w:pPr>
        <w:pStyle w:val="Heading1"/>
        <w:spacing w:after="120" w:before="360"/>
      </w:pPr>
      <w:r>
        <w:rPr>
          <w:rFonts w:ascii="Calibri" w:cs="Calibri" w:eastAsia="Calibri" w:hAnsi="Calibri"/>
          <w:b/>
          <w:bCs/>
          <w:color w:val="0B2A4A"/>
        </w:rPr>
        <w:t xml:space="preserve">5. Architecture cible globale</w:t>
      </w:r>
    </w:p>
    <w:p>
      <w:pPr>
        <w:spacing w:after="60" w:before="60" w:line="300"/>
        <w:jc w:val="both"/>
      </w:pPr>
      <w:r>
        <w:rPr>
          <w:rFonts w:ascii="Calibri" w:cs="Calibri" w:eastAsia="Calibri" w:hAnsi="Calibri"/>
        </w:rPr>
        <w:t xml:space="preserve">L’architecture cible consolide les deux volets dans un schéma unique, articulé autour d’une zone de communications sécurisées et d’une zone OSINT isolée. Les échanges entre ces deux zones se font exclusivement par le biais de livrables validés et diffusés sur la couche de messagerie chiffrée. Un socle transversal de sécurité (MDM, MFA, SIEM, DLP, HSM) garantit la cohérence d’ensemble.</w:t>
      </w:r>
    </w:p>
    <w:p>
      <w:pPr>
        <w:spacing w:after="180" w:before="180"/>
        <w:jc w:val="center"/>
      </w:pPr>
      <w:r>
        <w:drawing>
          <wp:inline distT="0" distB="0" distL="0" distR="0">
            <wp:extent cx="5715000" cy="3524250"/>
            <wp:effectExtent t="0" r="0" b="0" l="0"/>
            <wp:docPr id="1" name="schema_architecture.png" descr="schema_architecture.png" title="schema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24250"/>
                    </a:xfrm>
                    <a:prstGeom prst="rect">
                      <a:avLst/>
                    </a:prstGeom>
                  </pic:spPr>
                </pic:pic>
              </a:graphicData>
            </a:graphic>
          </wp:inline>
        </w:drawing>
      </w:r>
    </w:p>
    <w:p>
      <w:pPr>
        <w:spacing w:after="200" w:before="0"/>
        <w:jc w:val="center"/>
      </w:pPr>
      <w:r>
        <w:rPr>
          <w:rFonts w:ascii="Calibri" w:cs="Calibri" w:eastAsia="Calibri" w:hAnsi="Calibri"/>
          <w:i/>
          <w:iCs/>
          <w:color w:val="54606F"/>
          <w:sz w:val="18"/>
          <w:szCs w:val="18"/>
        </w:rPr>
        <w:t xml:space="preserve">Schéma 2 — Architecture cible consolidée, messagerie + OSINT + socle transversal.</w:t>
      </w:r>
    </w:p>
    <w:p>
      <w:pPr>
        <w:pStyle w:val="Heading1"/>
        <w:spacing w:after="120" w:before="360"/>
      </w:pPr>
      <w:r>
        <w:rPr>
          <w:rFonts w:ascii="Calibri" w:cs="Calibri" w:eastAsia="Calibri" w:hAnsi="Calibri"/>
          <w:b/>
          <w:bCs/>
          <w:color w:val="0B2A4A"/>
        </w:rPr>
        <w:t xml:space="preserve">6. Organisation proposée</w:t>
      </w:r>
    </w:p>
    <w:p>
      <w:pPr>
        <w:spacing w:after="60" w:before="60" w:line="300"/>
        <w:jc w:val="both"/>
      </w:pPr>
      <w:r>
        <w:rPr>
          <w:rFonts w:ascii="Calibri" w:cs="Calibri" w:eastAsia="Calibri" w:hAnsi="Calibri"/>
        </w:rPr>
        <w:t xml:space="preserve">Une cellule de trois à cinq agents constitue la bonne échelle d’entrée. Elle peut fonctionner avec un responsable et deux analystes dans une configuration minimale, et monter progressivement à un analyste veille, un analyste investigation et un analyste cyber. Le rattachement se fait directement au commanditaire, sans niveau hiérarchique intermédiaire, pour garantir la réactivité et la confidentialité. Des appuis transverses (RSSI, cellule juridique, MTNMA, formation) complètent le dispositif à la demande.</w:t>
      </w:r>
    </w:p>
    <w:p>
      <w:pPr>
        <w:spacing w:after="180" w:before="180"/>
        <w:jc w:val="center"/>
      </w:pPr>
      <w:r>
        <w:drawing>
          <wp:inline distT="0" distB="0" distL="0" distR="0">
            <wp:extent cx="5334000" cy="3429000"/>
            <wp:effectExtent t="0" r="0" b="0" l="0"/>
            <wp:docPr id="1" name="schema_organisation.png" descr="schema_organisation.png" title="schema_organis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429000"/>
                    </a:xfrm>
                    <a:prstGeom prst="rect">
                      <a:avLst/>
                    </a:prstGeom>
                  </pic:spPr>
                </pic:pic>
              </a:graphicData>
            </a:graphic>
          </wp:inline>
        </w:drawing>
      </w:r>
    </w:p>
    <w:p>
      <w:pPr>
        <w:spacing w:after="200" w:before="0"/>
        <w:jc w:val="center"/>
      </w:pPr>
      <w:r>
        <w:rPr>
          <w:rFonts w:ascii="Calibri" w:cs="Calibri" w:eastAsia="Calibri" w:hAnsi="Calibri"/>
          <w:i/>
          <w:iCs/>
          <w:color w:val="54606F"/>
          <w:sz w:val="18"/>
          <w:szCs w:val="18"/>
        </w:rPr>
        <w:t xml:space="preserve">Schéma 3 — Organisation cible de la cellule.</w:t>
      </w:r>
    </w:p>
    <w:p>
      <w:pPr>
        <w:pStyle w:val="Heading2"/>
        <w:spacing w:after="120" w:before="240"/>
      </w:pPr>
      <w:r>
        <w:rPr>
          <w:rFonts w:ascii="Calibri" w:cs="Calibri" w:eastAsia="Calibri" w:hAnsi="Calibri"/>
          <w:b/>
          <w:bCs/>
          <w:color w:val="0B2A4A"/>
        </w:rPr>
        <w:t xml:space="preserve">6.1. Profils recherchés</w:t>
      </w:r>
    </w:p>
    <w:p>
      <w:pPr>
        <w:pStyle w:val="ListParagraph"/>
        <w:numPr>
          <w:ilvl w:val="0"/>
          <w:numId w:val="2"/>
        </w:numPr>
        <w:spacing w:after="40" w:before="40" w:line="280"/>
      </w:pPr>
      <w:r>
        <w:rPr>
          <w:rFonts w:ascii="Calibri" w:cs="Calibri" w:eastAsia="Calibri" w:hAnsi="Calibri"/>
          <w:sz w:val="22"/>
          <w:szCs w:val="22"/>
        </w:rPr>
        <w:t xml:space="preserve">Responsable de cellule : profil senior, double culture renseignement/cyber, loyauté établie, habilitation ad hoc.</w:t>
      </w:r>
    </w:p>
    <w:p>
      <w:pPr>
        <w:pStyle w:val="ListParagraph"/>
        <w:numPr>
          <w:ilvl w:val="0"/>
          <w:numId w:val="2"/>
        </w:numPr>
        <w:spacing w:after="40" w:before="40" w:line="280"/>
      </w:pPr>
      <w:r>
        <w:rPr>
          <w:rFonts w:ascii="Calibri" w:cs="Calibri" w:eastAsia="Calibri" w:hAnsi="Calibri"/>
          <w:sz w:val="22"/>
          <w:szCs w:val="22"/>
        </w:rPr>
        <w:t xml:space="preserve">Analyste veille : maîtrise des outils de surveillance continue et des méthodes de qualification.</w:t>
      </w:r>
    </w:p>
    <w:p>
      <w:pPr>
        <w:pStyle w:val="ListParagraph"/>
        <w:numPr>
          <w:ilvl w:val="0"/>
          <w:numId w:val="2"/>
        </w:numPr>
        <w:spacing w:after="40" w:before="40" w:line="280"/>
      </w:pPr>
      <w:r>
        <w:rPr>
          <w:rFonts w:ascii="Calibri" w:cs="Calibri" w:eastAsia="Calibri" w:hAnsi="Calibri"/>
          <w:sz w:val="22"/>
          <w:szCs w:val="22"/>
        </w:rPr>
        <w:t xml:space="preserve">Analyste investigation : pratique de Maltego et des méthodologies d’enquête en sources ouvertes.</w:t>
      </w:r>
    </w:p>
    <w:p>
      <w:pPr>
        <w:pStyle w:val="ListParagraph"/>
        <w:numPr>
          <w:ilvl w:val="0"/>
          <w:numId w:val="2"/>
        </w:numPr>
        <w:spacing w:after="40" w:before="40" w:line="280"/>
      </w:pPr>
      <w:r>
        <w:rPr>
          <w:rFonts w:ascii="Calibri" w:cs="Calibri" w:eastAsia="Calibri" w:hAnsi="Calibri"/>
          <w:sz w:val="22"/>
          <w:szCs w:val="22"/>
        </w:rPr>
        <w:t xml:space="preserve">Analyste cyber : connaissance des flux CTI, capacité à produire des IoC et à corréler les évènements.</w:t>
      </w:r>
    </w:p>
    <w:p>
      <w:pPr>
        <w:pStyle w:val="ListParagraph"/>
        <w:numPr>
          <w:ilvl w:val="0"/>
          <w:numId w:val="2"/>
        </w:numPr>
        <w:spacing w:after="40" w:before="40" w:line="280"/>
      </w:pPr>
      <w:r>
        <w:rPr>
          <w:rFonts w:ascii="Calibri" w:cs="Calibri" w:eastAsia="Calibri" w:hAnsi="Calibri"/>
          <w:sz w:val="22"/>
          <w:szCs w:val="22"/>
        </w:rPr>
        <w:t xml:space="preserve">Support juridique : cadrage de chaque investigation au regard du droit mauritanien et des engagements internationaux.</w:t>
      </w:r>
    </w:p>
    <w:p>
      <w:pPr>
        <w:pStyle w:val="Heading1"/>
        <w:spacing w:after="120" w:before="360"/>
      </w:pPr>
      <w:r>
        <w:rPr>
          <w:rFonts w:ascii="Calibri" w:cs="Calibri" w:eastAsia="Calibri" w:hAnsi="Calibri"/>
          <w:b/>
          <w:bCs/>
          <w:color w:val="0B2A4A"/>
        </w:rPr>
        <w:t xml:space="preserve">7. Feuille de route</w:t>
      </w:r>
    </w:p>
    <w:p>
      <w:pPr>
        <w:spacing w:after="60" w:before="60" w:line="300"/>
        <w:jc w:val="both"/>
      </w:pPr>
      <w:r>
        <w:rPr>
          <w:rFonts w:ascii="Calibri" w:cs="Calibri" w:eastAsia="Calibri" w:hAnsi="Calibri"/>
        </w:rPr>
        <w:t xml:space="preserve">La mise en œuvre est conçue en quatre phases s’étalant sur six mois. Cette temporalité permet de valider chaque palier avant d’engager le suivant, de limiter les risques et de construire progressivement la doctrine d’emploi.</w:t>
      </w:r>
    </w:p>
    <w:p>
      <w:pPr>
        <w:spacing w:after="180" w:before="180"/>
        <w:jc w:val="center"/>
      </w:pPr>
      <w:r>
        <w:drawing>
          <wp:inline distT="0" distB="0" distL="0" distR="0">
            <wp:extent cx="5905500" cy="2571750"/>
            <wp:effectExtent t="0" r="0" b="0" l="0"/>
            <wp:docPr id="1" name="schema_feuille_route.png" descr="schema_feuille_route.png" title="schema_feuille_rou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571750"/>
                    </a:xfrm>
                    <a:prstGeom prst="rect">
                      <a:avLst/>
                    </a:prstGeom>
                  </pic:spPr>
                </pic:pic>
              </a:graphicData>
            </a:graphic>
          </wp:inline>
        </w:drawing>
      </w:r>
    </w:p>
    <w:p>
      <w:pPr>
        <w:spacing w:after="200" w:before="0"/>
        <w:jc w:val="center"/>
      </w:pPr>
      <w:r>
        <w:rPr>
          <w:rFonts w:ascii="Calibri" w:cs="Calibri" w:eastAsia="Calibri" w:hAnsi="Calibri"/>
          <w:i/>
          <w:iCs/>
          <w:color w:val="54606F"/>
          <w:sz w:val="18"/>
          <w:szCs w:val="18"/>
        </w:rPr>
        <w:t xml:space="preserve">Schéma 4 — Feuille de route indicative sur six mois.</w:t>
      </w:r>
    </w:p>
    <w:p>
      <w:pPr>
        <w:pStyle w:val="Heading1"/>
        <w:spacing w:after="120" w:before="360"/>
      </w:pPr>
      <w:r>
        <w:rPr>
          <w:rFonts w:ascii="Calibri" w:cs="Calibri" w:eastAsia="Calibri" w:hAnsi="Calibri"/>
          <w:b/>
          <w:bCs/>
          <w:color w:val="0B2A4A"/>
        </w:rPr>
        <w:t xml:space="preserve">8. Enveloppe budgétaire indicative</w:t>
      </w:r>
    </w:p>
    <w:p>
      <w:pPr>
        <w:spacing w:after="60" w:before="60" w:line="300"/>
        <w:jc w:val="both"/>
      </w:pPr>
      <w:r>
        <w:rPr>
          <w:rFonts w:ascii="Calibri" w:cs="Calibri" w:eastAsia="Calibri" w:hAnsi="Calibri"/>
        </w:rPr>
        <w:t xml:space="preserve">Les montants ci-dessous sont donnés à titre d’ordre de grandeur. Ils devront être affinés en phase de cadrage, en fonction des arbitrages sur le périmètre et du mode d’acquisition retenu (achats directs, marchés-cadres, conventions avec des partenaires institutionnels).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480"/>
        <w:gridCol w:w="3000"/>
      </w:tblGrid>
      <w:tr>
        <w:trPr>
          <w:tblHeader/>
        </w:trPr>
        <w:tc>
          <w:tcPr>
            <w:tcW w:type="dxa" w:w="2880"/>
            <w:tcBorders>
              <w:top w:val="single" w:color="D7DCE3" w:sz="4"/>
              <w:left w:val="single" w:color="D7DCE3" w:sz="4"/>
              <w:bottom w:val="single" w:color="D7DCE3" w:sz="4"/>
              <w:right w:val="single" w:color="D7DCE3" w:sz="4"/>
            </w:tcBorders>
            <w:shd w:fill="0B2A4A" w:color="auto" w:val="clear"/>
            <w:tcMar>
              <w:top w:type="dxa" w:w="100"/>
              <w:left w:type="dxa" w:w="140"/>
              <w:bottom w:type="dxa" w:w="100"/>
              <w:right w:type="dxa" w:w="140"/>
            </w:tcMar>
          </w:tcPr>
          <w:p>
            <w:pPr>
              <w:jc w:val="left"/>
            </w:pPr>
            <w:r>
              <w:rPr>
                <w:rFonts w:ascii="Calibri" w:cs="Calibri" w:eastAsia="Calibri" w:hAnsi="Calibri"/>
                <w:b/>
                <w:bCs/>
                <w:color w:val="FFFFFF"/>
                <w:sz w:val="22"/>
                <w:szCs w:val="22"/>
              </w:rPr>
              <w:t xml:space="preserve">Poste</w:t>
            </w:r>
          </w:p>
        </w:tc>
        <w:tc>
          <w:tcPr>
            <w:tcW w:type="dxa" w:w="3480"/>
            <w:tcBorders>
              <w:top w:val="single" w:color="D7DCE3" w:sz="4"/>
              <w:left w:val="single" w:color="D7DCE3" w:sz="4"/>
              <w:bottom w:val="single" w:color="D7DCE3" w:sz="4"/>
              <w:right w:val="single" w:color="D7DCE3" w:sz="4"/>
            </w:tcBorders>
            <w:shd w:fill="0B2A4A" w:color="auto" w:val="clear"/>
            <w:tcMar>
              <w:top w:type="dxa" w:w="100"/>
              <w:left w:type="dxa" w:w="140"/>
              <w:bottom w:type="dxa" w:w="100"/>
              <w:right w:type="dxa" w:w="140"/>
            </w:tcMar>
          </w:tcPr>
          <w:p>
            <w:pPr>
              <w:jc w:val="left"/>
            </w:pPr>
            <w:r>
              <w:rPr>
                <w:rFonts w:ascii="Calibri" w:cs="Calibri" w:eastAsia="Calibri" w:hAnsi="Calibri"/>
                <w:b/>
                <w:bCs/>
                <w:color w:val="FFFFFF"/>
                <w:sz w:val="22"/>
                <w:szCs w:val="22"/>
              </w:rPr>
              <w:t xml:space="preserve">Description</w:t>
            </w:r>
          </w:p>
        </w:tc>
        <w:tc>
          <w:tcPr>
            <w:tcW w:type="dxa" w:w="3000"/>
            <w:tcBorders>
              <w:top w:val="single" w:color="D7DCE3" w:sz="4"/>
              <w:left w:val="single" w:color="D7DCE3" w:sz="4"/>
              <w:bottom w:val="single" w:color="D7DCE3" w:sz="4"/>
              <w:right w:val="single" w:color="D7DCE3" w:sz="4"/>
            </w:tcBorders>
            <w:shd w:fill="0B2A4A" w:color="auto" w:val="clear"/>
            <w:tcMar>
              <w:top w:type="dxa" w:w="100"/>
              <w:left w:type="dxa" w:w="140"/>
              <w:bottom w:type="dxa" w:w="100"/>
              <w:right w:type="dxa" w:w="140"/>
            </w:tcMar>
          </w:tcPr>
          <w:p>
            <w:pPr>
              <w:jc w:val="left"/>
            </w:pPr>
            <w:r>
              <w:rPr>
                <w:rFonts w:ascii="Calibri" w:cs="Calibri" w:eastAsia="Calibri" w:hAnsi="Calibri"/>
                <w:b/>
                <w:bCs/>
                <w:color w:val="FFFFFF"/>
                <w:sz w:val="22"/>
                <w:szCs w:val="22"/>
              </w:rPr>
              <w:t xml:space="preserve">Fourchette indicative</w:t>
            </w:r>
          </w:p>
        </w:tc>
      </w:tr>
      <w:tr>
        <w:tc>
          <w:tcPr>
            <w:tcW w:type="dxa" w:w="2880"/>
            <w:tcBorders>
              <w:top w:val="single" w:color="D7DCE3" w:sz="4"/>
              <w:left w:val="single" w:color="D7DCE3" w:sz="4"/>
              <w:bottom w:val="single" w:color="D7DCE3" w:sz="4"/>
              <w:right w:val="single" w:color="D7DCE3" w:sz="4"/>
            </w:tcBorders>
            <w:shd w:fill="F4F6F9" w:color="auto" w:val="clear"/>
            <w:tcMar>
              <w:top w:type="dxa" w:w="100"/>
              <w:left w:type="dxa" w:w="140"/>
              <w:bottom w:type="dxa" w:w="100"/>
              <w:right w:type="dxa" w:w="140"/>
            </w:tcMar>
          </w:tcPr>
          <w:p>
            <w:pPr>
              <w:jc w:val="left"/>
            </w:pPr>
            <w:r>
              <w:rPr>
                <w:rFonts w:ascii="Calibri" w:cs="Calibri" w:eastAsia="Calibri" w:hAnsi="Calibri"/>
                <w:b/>
                <w:bCs/>
                <w:sz w:val="20"/>
                <w:szCs w:val="20"/>
              </w:rPr>
              <w:t xml:space="preserve">Terminaux durcis</w:t>
            </w:r>
          </w:p>
        </w:tc>
        <w:tc>
          <w:tcPr>
            <w:tcW w:type="dxa" w:w="3480"/>
            <w:tcBorders>
              <w:top w:val="single" w:color="D7DCE3" w:sz="4"/>
              <w:left w:val="single" w:color="D7DCE3" w:sz="4"/>
              <w:bottom w:val="single" w:color="D7DCE3" w:sz="4"/>
              <w:right w:val="single" w:color="D7DCE3" w:sz="4"/>
            </w:tcBorders>
            <w:tcMar>
              <w:top w:type="dxa" w:w="100"/>
              <w:left w:type="dxa" w:w="140"/>
              <w:bottom w:type="dxa" w:w="100"/>
              <w:right w:type="dxa" w:w="140"/>
            </w:tcMar>
          </w:tcPr>
          <w:p>
            <w:pPr>
              <w:jc w:val="left"/>
            </w:pPr>
            <w:r>
              <w:rPr>
                <w:rFonts w:ascii="Calibri" w:cs="Calibri" w:eastAsia="Calibri" w:hAnsi="Calibri"/>
                <w:sz w:val="20"/>
                <w:szCs w:val="20"/>
              </w:rPr>
              <w:t xml:space="preserve">5 à 10 smartphones Pixel + GrapheneOS, coques, clés FIDO2</w:t>
            </w:r>
          </w:p>
        </w:tc>
        <w:tc>
          <w:tcPr>
            <w:tcW w:type="dxa" w:w="3000"/>
            <w:tcBorders>
              <w:top w:val="single" w:color="D7DCE3" w:sz="4"/>
              <w:left w:val="single" w:color="D7DCE3" w:sz="4"/>
              <w:bottom w:val="single" w:color="D7DCE3" w:sz="4"/>
              <w:right w:val="single" w:color="D7DCE3" w:sz="4"/>
            </w:tcBorders>
            <w:tcMar>
              <w:top w:type="dxa" w:w="100"/>
              <w:left w:type="dxa" w:w="140"/>
              <w:bottom w:type="dxa" w:w="100"/>
              <w:right w:type="dxa" w:w="140"/>
            </w:tcMar>
          </w:tcPr>
          <w:p>
            <w:pPr>
              <w:jc w:val="left"/>
            </w:pPr>
            <w:r>
              <w:rPr>
                <w:rFonts w:ascii="Calibri" w:cs="Calibri" w:eastAsia="Calibri" w:hAnsi="Calibri"/>
                <w:sz w:val="20"/>
                <w:szCs w:val="20"/>
              </w:rPr>
              <w:t xml:space="preserve">10 000 – 18 000 USD</w:t>
            </w:r>
          </w:p>
        </w:tc>
      </w:tr>
      <w:tr>
        <w:tc>
          <w:tcPr>
            <w:tcW w:type="dxa" w:w="2880"/>
            <w:tcBorders>
              <w:top w:val="single" w:color="D7DCE3" w:sz="4"/>
              <w:left w:val="single" w:color="D7DCE3" w:sz="4"/>
              <w:bottom w:val="single" w:color="D7DCE3" w:sz="4"/>
              <w:right w:val="single" w:color="D7DCE3" w:sz="4"/>
            </w:tcBorders>
            <w:shd w:fill="F4F6F9" w:color="auto" w:val="clear"/>
            <w:tcMar>
              <w:top w:type="dxa" w:w="100"/>
              <w:left w:type="dxa" w:w="140"/>
              <w:bottom w:type="dxa" w:w="100"/>
              <w:right w:type="dxa" w:w="140"/>
            </w:tcMar>
          </w:tcPr>
          <w:p>
            <w:pPr>
              <w:jc w:val="left"/>
            </w:pPr>
            <w:r>
              <w:rPr>
                <w:rFonts w:ascii="Calibri" w:cs="Calibri" w:eastAsia="Calibri" w:hAnsi="Calibri"/>
                <w:b/>
                <w:bCs/>
                <w:sz w:val="20"/>
                <w:szCs w:val="20"/>
              </w:rPr>
              <w:t xml:space="preserve">Stations OSINT</w:t>
            </w:r>
          </w:p>
        </w:tc>
        <w:tc>
          <w:tcPr>
            <w:tcW w:type="dxa" w:w="3480"/>
            <w:tcBorders>
              <w:top w:val="single" w:color="D7DCE3" w:sz="4"/>
              <w:left w:val="single" w:color="D7DCE3" w:sz="4"/>
              <w:bottom w:val="single" w:color="D7DCE3" w:sz="4"/>
              <w:right w:val="single" w:color="D7DCE3" w:sz="4"/>
            </w:tcBorders>
            <w:tcMar>
              <w:top w:type="dxa" w:w="100"/>
              <w:left w:type="dxa" w:w="140"/>
              <w:bottom w:type="dxa" w:w="100"/>
              <w:right w:type="dxa" w:w="140"/>
            </w:tcMar>
          </w:tcPr>
          <w:p>
            <w:pPr>
              <w:jc w:val="left"/>
            </w:pPr>
            <w:r>
              <w:rPr>
                <w:rFonts w:ascii="Calibri" w:cs="Calibri" w:eastAsia="Calibri" w:hAnsi="Calibri"/>
                <w:sz w:val="20"/>
                <w:szCs w:val="20"/>
              </w:rPr>
              <w:t xml:space="preserve">3 postes dédiés + écrans + périphériques isolés</w:t>
            </w:r>
          </w:p>
        </w:tc>
        <w:tc>
          <w:tcPr>
            <w:tcW w:type="dxa" w:w="3000"/>
            <w:tcBorders>
              <w:top w:val="single" w:color="D7DCE3" w:sz="4"/>
              <w:left w:val="single" w:color="D7DCE3" w:sz="4"/>
              <w:bottom w:val="single" w:color="D7DCE3" w:sz="4"/>
              <w:right w:val="single" w:color="D7DCE3" w:sz="4"/>
            </w:tcBorders>
            <w:tcMar>
              <w:top w:type="dxa" w:w="100"/>
              <w:left w:type="dxa" w:w="140"/>
              <w:bottom w:type="dxa" w:w="100"/>
              <w:right w:type="dxa" w:w="140"/>
            </w:tcMar>
          </w:tcPr>
          <w:p>
            <w:pPr>
              <w:jc w:val="left"/>
            </w:pPr>
            <w:r>
              <w:rPr>
                <w:rFonts w:ascii="Calibri" w:cs="Calibri" w:eastAsia="Calibri" w:hAnsi="Calibri"/>
                <w:sz w:val="20"/>
                <w:szCs w:val="20"/>
              </w:rPr>
              <w:t xml:space="preserve">6 000 – 12 000 USD</w:t>
            </w:r>
          </w:p>
        </w:tc>
      </w:tr>
      <w:tr>
        <w:tc>
          <w:tcPr>
            <w:tcW w:type="dxa" w:w="2880"/>
            <w:tcBorders>
              <w:top w:val="single" w:color="D7DCE3" w:sz="4"/>
              <w:left w:val="single" w:color="D7DCE3" w:sz="4"/>
              <w:bottom w:val="single" w:color="D7DCE3" w:sz="4"/>
              <w:right w:val="single" w:color="D7DCE3" w:sz="4"/>
            </w:tcBorders>
            <w:shd w:fill="F4F6F9" w:color="auto" w:val="clear"/>
            <w:tcMar>
              <w:top w:type="dxa" w:w="100"/>
              <w:left w:type="dxa" w:w="140"/>
              <w:bottom w:type="dxa" w:w="100"/>
              <w:right w:type="dxa" w:w="140"/>
            </w:tcMar>
          </w:tcPr>
          <w:p>
            <w:pPr>
              <w:jc w:val="left"/>
            </w:pPr>
            <w:r>
              <w:rPr>
                <w:rFonts w:ascii="Calibri" w:cs="Calibri" w:eastAsia="Calibri" w:hAnsi="Calibri"/>
                <w:b/>
                <w:bCs/>
                <w:sz w:val="20"/>
                <w:szCs w:val="20"/>
              </w:rPr>
              <w:t xml:space="preserve">Licences messagerie</w:t>
            </w:r>
          </w:p>
        </w:tc>
        <w:tc>
          <w:tcPr>
            <w:tcW w:type="dxa" w:w="3480"/>
            <w:tcBorders>
              <w:top w:val="single" w:color="D7DCE3" w:sz="4"/>
              <w:left w:val="single" w:color="D7DCE3" w:sz="4"/>
              <w:bottom w:val="single" w:color="D7DCE3" w:sz="4"/>
              <w:right w:val="single" w:color="D7DCE3" w:sz="4"/>
            </w:tcBorders>
            <w:tcMar>
              <w:top w:type="dxa" w:w="100"/>
              <w:left w:type="dxa" w:w="140"/>
              <w:bottom w:type="dxa" w:w="100"/>
              <w:right w:type="dxa" w:w="140"/>
            </w:tcMar>
          </w:tcPr>
          <w:p>
            <w:pPr>
              <w:jc w:val="left"/>
            </w:pPr>
            <w:r>
              <w:rPr>
                <w:rFonts w:ascii="Calibri" w:cs="Calibri" w:eastAsia="Calibri" w:hAnsi="Calibri"/>
                <w:sz w:val="20"/>
                <w:szCs w:val="20"/>
              </w:rPr>
              <w:t xml:space="preserve">Threema Work (20 sièges) — socle Matrix/Element auto-hébergé</w:t>
            </w:r>
          </w:p>
        </w:tc>
        <w:tc>
          <w:tcPr>
            <w:tcW w:type="dxa" w:w="3000"/>
            <w:tcBorders>
              <w:top w:val="single" w:color="D7DCE3" w:sz="4"/>
              <w:left w:val="single" w:color="D7DCE3" w:sz="4"/>
              <w:bottom w:val="single" w:color="D7DCE3" w:sz="4"/>
              <w:right w:val="single" w:color="D7DCE3" w:sz="4"/>
            </w:tcBorders>
            <w:tcMar>
              <w:top w:type="dxa" w:w="100"/>
              <w:left w:type="dxa" w:w="140"/>
              <w:bottom w:type="dxa" w:w="100"/>
              <w:right w:type="dxa" w:w="140"/>
            </w:tcMar>
          </w:tcPr>
          <w:p>
            <w:pPr>
              <w:jc w:val="left"/>
            </w:pPr>
            <w:r>
              <w:rPr>
                <w:rFonts w:ascii="Calibri" w:cs="Calibri" w:eastAsia="Calibri" w:hAnsi="Calibri"/>
                <w:sz w:val="20"/>
                <w:szCs w:val="20"/>
              </w:rPr>
              <w:t xml:space="preserve">3 000 – 6 000 USD / an</w:t>
            </w:r>
          </w:p>
        </w:tc>
      </w:tr>
      <w:tr>
        <w:tc>
          <w:tcPr>
            <w:tcW w:type="dxa" w:w="2880"/>
            <w:tcBorders>
              <w:top w:val="single" w:color="D7DCE3" w:sz="4"/>
              <w:left w:val="single" w:color="D7DCE3" w:sz="4"/>
              <w:bottom w:val="single" w:color="D7DCE3" w:sz="4"/>
              <w:right w:val="single" w:color="D7DCE3" w:sz="4"/>
            </w:tcBorders>
            <w:shd w:fill="F4F6F9" w:color="auto" w:val="clear"/>
            <w:tcMar>
              <w:top w:type="dxa" w:w="100"/>
              <w:left w:type="dxa" w:w="140"/>
              <w:bottom w:type="dxa" w:w="100"/>
              <w:right w:type="dxa" w:w="140"/>
            </w:tcMar>
          </w:tcPr>
          <w:p>
            <w:pPr>
              <w:jc w:val="left"/>
            </w:pPr>
            <w:r>
              <w:rPr>
                <w:rFonts w:ascii="Calibri" w:cs="Calibri" w:eastAsia="Calibri" w:hAnsi="Calibri"/>
                <w:b/>
                <w:bCs/>
                <w:sz w:val="20"/>
                <w:szCs w:val="20"/>
              </w:rPr>
              <w:t xml:space="preserve">Outils OSINT professionnels</w:t>
            </w:r>
          </w:p>
        </w:tc>
        <w:tc>
          <w:tcPr>
            <w:tcW w:type="dxa" w:w="3480"/>
            <w:tcBorders>
              <w:top w:val="single" w:color="D7DCE3" w:sz="4"/>
              <w:left w:val="single" w:color="D7DCE3" w:sz="4"/>
              <w:bottom w:val="single" w:color="D7DCE3" w:sz="4"/>
              <w:right w:val="single" w:color="D7DCE3" w:sz="4"/>
            </w:tcBorders>
            <w:tcMar>
              <w:top w:type="dxa" w:w="100"/>
              <w:left w:type="dxa" w:w="140"/>
              <w:bottom w:type="dxa" w:w="100"/>
              <w:right w:type="dxa" w:w="140"/>
            </w:tcMar>
          </w:tcPr>
          <w:p>
            <w:pPr>
              <w:jc w:val="left"/>
            </w:pPr>
            <w:r>
              <w:rPr>
                <w:rFonts w:ascii="Calibri" w:cs="Calibri" w:eastAsia="Calibri" w:hAnsi="Calibri"/>
                <w:sz w:val="20"/>
                <w:szCs w:val="20"/>
              </w:rPr>
              <w:t xml:space="preserve">Maltego XL, Babel X, abonnements CTI sélectionnés</w:t>
            </w:r>
          </w:p>
        </w:tc>
        <w:tc>
          <w:tcPr>
            <w:tcW w:type="dxa" w:w="3000"/>
            <w:tcBorders>
              <w:top w:val="single" w:color="D7DCE3" w:sz="4"/>
              <w:left w:val="single" w:color="D7DCE3" w:sz="4"/>
              <w:bottom w:val="single" w:color="D7DCE3" w:sz="4"/>
              <w:right w:val="single" w:color="D7DCE3" w:sz="4"/>
            </w:tcBorders>
            <w:tcMar>
              <w:top w:type="dxa" w:w="100"/>
              <w:left w:type="dxa" w:w="140"/>
              <w:bottom w:type="dxa" w:w="100"/>
              <w:right w:type="dxa" w:w="140"/>
            </w:tcMar>
          </w:tcPr>
          <w:p>
            <w:pPr>
              <w:jc w:val="left"/>
            </w:pPr>
            <w:r>
              <w:rPr>
                <w:rFonts w:ascii="Calibri" w:cs="Calibri" w:eastAsia="Calibri" w:hAnsi="Calibri"/>
                <w:sz w:val="20"/>
                <w:szCs w:val="20"/>
              </w:rPr>
              <w:t xml:space="preserve">30 000 – 70 000 USD / an</w:t>
            </w:r>
          </w:p>
        </w:tc>
      </w:tr>
      <w:tr>
        <w:tc>
          <w:tcPr>
            <w:tcW w:type="dxa" w:w="2880"/>
            <w:tcBorders>
              <w:top w:val="single" w:color="D7DCE3" w:sz="4"/>
              <w:left w:val="single" w:color="D7DCE3" w:sz="4"/>
              <w:bottom w:val="single" w:color="D7DCE3" w:sz="4"/>
              <w:right w:val="single" w:color="D7DCE3" w:sz="4"/>
            </w:tcBorders>
            <w:shd w:fill="F4F6F9" w:color="auto" w:val="clear"/>
            <w:tcMar>
              <w:top w:type="dxa" w:w="100"/>
              <w:left w:type="dxa" w:w="140"/>
              <w:bottom w:type="dxa" w:w="100"/>
              <w:right w:type="dxa" w:w="140"/>
            </w:tcMar>
          </w:tcPr>
          <w:p>
            <w:pPr>
              <w:jc w:val="left"/>
            </w:pPr>
            <w:r>
              <w:rPr>
                <w:rFonts w:ascii="Calibri" w:cs="Calibri" w:eastAsia="Calibri" w:hAnsi="Calibri"/>
                <w:b/>
                <w:bCs/>
                <w:sz w:val="20"/>
                <w:szCs w:val="20"/>
              </w:rPr>
              <w:t xml:space="preserve">Infrastructure sécurité</w:t>
            </w:r>
          </w:p>
        </w:tc>
        <w:tc>
          <w:tcPr>
            <w:tcW w:type="dxa" w:w="3480"/>
            <w:tcBorders>
              <w:top w:val="single" w:color="D7DCE3" w:sz="4"/>
              <w:left w:val="single" w:color="D7DCE3" w:sz="4"/>
              <w:bottom w:val="single" w:color="D7DCE3" w:sz="4"/>
              <w:right w:val="single" w:color="D7DCE3" w:sz="4"/>
            </w:tcBorders>
            <w:tcMar>
              <w:top w:type="dxa" w:w="100"/>
              <w:left w:type="dxa" w:w="140"/>
              <w:bottom w:type="dxa" w:w="100"/>
              <w:right w:type="dxa" w:w="140"/>
            </w:tcMar>
          </w:tcPr>
          <w:p>
            <w:pPr>
              <w:jc w:val="left"/>
            </w:pPr>
            <w:r>
              <w:rPr>
                <w:rFonts w:ascii="Calibri" w:cs="Calibri" w:eastAsia="Calibri" w:hAnsi="Calibri"/>
                <w:sz w:val="20"/>
                <w:szCs w:val="20"/>
              </w:rPr>
              <w:t xml:space="preserve">Serveurs Matrix, HSM, VPN souverain, SIEM, sauvegardes</w:t>
            </w:r>
          </w:p>
        </w:tc>
        <w:tc>
          <w:tcPr>
            <w:tcW w:type="dxa" w:w="3000"/>
            <w:tcBorders>
              <w:top w:val="single" w:color="D7DCE3" w:sz="4"/>
              <w:left w:val="single" w:color="D7DCE3" w:sz="4"/>
              <w:bottom w:val="single" w:color="D7DCE3" w:sz="4"/>
              <w:right w:val="single" w:color="D7DCE3" w:sz="4"/>
            </w:tcBorders>
            <w:tcMar>
              <w:top w:type="dxa" w:w="100"/>
              <w:left w:type="dxa" w:w="140"/>
              <w:bottom w:type="dxa" w:w="100"/>
              <w:right w:type="dxa" w:w="140"/>
            </w:tcMar>
          </w:tcPr>
          <w:p>
            <w:pPr>
              <w:jc w:val="left"/>
            </w:pPr>
            <w:r>
              <w:rPr>
                <w:rFonts w:ascii="Calibri" w:cs="Calibri" w:eastAsia="Calibri" w:hAnsi="Calibri"/>
                <w:sz w:val="20"/>
                <w:szCs w:val="20"/>
              </w:rPr>
              <w:t xml:space="preserve">25 000 – 60 000 USD</w:t>
            </w:r>
          </w:p>
        </w:tc>
      </w:tr>
      <w:tr>
        <w:tc>
          <w:tcPr>
            <w:tcW w:type="dxa" w:w="2880"/>
            <w:tcBorders>
              <w:top w:val="single" w:color="D7DCE3" w:sz="4"/>
              <w:left w:val="single" w:color="D7DCE3" w:sz="4"/>
              <w:bottom w:val="single" w:color="D7DCE3" w:sz="4"/>
              <w:right w:val="single" w:color="D7DCE3" w:sz="4"/>
            </w:tcBorders>
            <w:shd w:fill="F4F6F9" w:color="auto" w:val="clear"/>
            <w:tcMar>
              <w:top w:type="dxa" w:w="100"/>
              <w:left w:type="dxa" w:w="140"/>
              <w:bottom w:type="dxa" w:w="100"/>
              <w:right w:type="dxa" w:w="140"/>
            </w:tcMar>
          </w:tcPr>
          <w:p>
            <w:pPr>
              <w:jc w:val="left"/>
            </w:pPr>
            <w:r>
              <w:rPr>
                <w:rFonts w:ascii="Calibri" w:cs="Calibri" w:eastAsia="Calibri" w:hAnsi="Calibri"/>
                <w:b/>
                <w:bCs/>
                <w:sz w:val="20"/>
                <w:szCs w:val="20"/>
              </w:rPr>
              <w:t xml:space="preserve">Formation &amp; accompagnement</w:t>
            </w:r>
          </w:p>
        </w:tc>
        <w:tc>
          <w:tcPr>
            <w:tcW w:type="dxa" w:w="3480"/>
            <w:tcBorders>
              <w:top w:val="single" w:color="D7DCE3" w:sz="4"/>
              <w:left w:val="single" w:color="D7DCE3" w:sz="4"/>
              <w:bottom w:val="single" w:color="D7DCE3" w:sz="4"/>
              <w:right w:val="single" w:color="D7DCE3" w:sz="4"/>
            </w:tcBorders>
            <w:tcMar>
              <w:top w:type="dxa" w:w="100"/>
              <w:left w:type="dxa" w:w="140"/>
              <w:bottom w:type="dxa" w:w="100"/>
              <w:right w:type="dxa" w:w="140"/>
            </w:tcMar>
          </w:tcPr>
          <w:p>
            <w:pPr>
              <w:jc w:val="left"/>
            </w:pPr>
            <w:r>
              <w:rPr>
                <w:rFonts w:ascii="Calibri" w:cs="Calibri" w:eastAsia="Calibri" w:hAnsi="Calibri"/>
                <w:sz w:val="20"/>
                <w:szCs w:val="20"/>
              </w:rPr>
              <w:t xml:space="preserve">Formations OSINT (SANS, équivalents), OPSEC, exercices</w:t>
            </w:r>
          </w:p>
        </w:tc>
        <w:tc>
          <w:tcPr>
            <w:tcW w:type="dxa" w:w="3000"/>
            <w:tcBorders>
              <w:top w:val="single" w:color="D7DCE3" w:sz="4"/>
              <w:left w:val="single" w:color="D7DCE3" w:sz="4"/>
              <w:bottom w:val="single" w:color="D7DCE3" w:sz="4"/>
              <w:right w:val="single" w:color="D7DCE3" w:sz="4"/>
            </w:tcBorders>
            <w:tcMar>
              <w:top w:type="dxa" w:w="100"/>
              <w:left w:type="dxa" w:w="140"/>
              <w:bottom w:type="dxa" w:w="100"/>
              <w:right w:type="dxa" w:w="140"/>
            </w:tcMar>
          </w:tcPr>
          <w:p>
            <w:pPr>
              <w:jc w:val="left"/>
            </w:pPr>
            <w:r>
              <w:rPr>
                <w:rFonts w:ascii="Calibri" w:cs="Calibri" w:eastAsia="Calibri" w:hAnsi="Calibri"/>
                <w:sz w:val="20"/>
                <w:szCs w:val="20"/>
              </w:rPr>
              <w:t xml:space="preserve">15 000 – 30 000 USD</w:t>
            </w:r>
          </w:p>
        </w:tc>
      </w:tr>
      <w:tr>
        <w:tc>
          <w:tcPr>
            <w:tcW w:type="dxa" w:w="2880"/>
            <w:tcBorders>
              <w:top w:val="single" w:color="D7DCE3" w:sz="4"/>
              <w:left w:val="single" w:color="D7DCE3" w:sz="4"/>
              <w:bottom w:val="single" w:color="D7DCE3" w:sz="4"/>
              <w:right w:val="single" w:color="D7DCE3" w:sz="4"/>
            </w:tcBorders>
            <w:shd w:fill="F4F6F9" w:color="auto" w:val="clear"/>
            <w:tcMar>
              <w:top w:type="dxa" w:w="100"/>
              <w:left w:type="dxa" w:w="140"/>
              <w:bottom w:type="dxa" w:w="100"/>
              <w:right w:type="dxa" w:w="140"/>
            </w:tcMar>
          </w:tcPr>
          <w:p>
            <w:pPr>
              <w:jc w:val="left"/>
            </w:pPr>
            <w:r>
              <w:rPr>
                <w:rFonts w:ascii="Calibri" w:cs="Calibri" w:eastAsia="Calibri" w:hAnsi="Calibri"/>
                <w:b/>
                <w:bCs/>
                <w:sz w:val="20"/>
                <w:szCs w:val="20"/>
              </w:rPr>
              <w:t xml:space="preserve">Audit &amp; pentest</w:t>
            </w:r>
          </w:p>
        </w:tc>
        <w:tc>
          <w:tcPr>
            <w:tcW w:type="dxa" w:w="3480"/>
            <w:tcBorders>
              <w:top w:val="single" w:color="D7DCE3" w:sz="4"/>
              <w:left w:val="single" w:color="D7DCE3" w:sz="4"/>
              <w:bottom w:val="single" w:color="D7DCE3" w:sz="4"/>
              <w:right w:val="single" w:color="D7DCE3" w:sz="4"/>
            </w:tcBorders>
            <w:tcMar>
              <w:top w:type="dxa" w:w="100"/>
              <w:left w:type="dxa" w:w="140"/>
              <w:bottom w:type="dxa" w:w="100"/>
              <w:right w:type="dxa" w:w="140"/>
            </w:tcMar>
          </w:tcPr>
          <w:p>
            <w:pPr>
              <w:jc w:val="left"/>
            </w:pPr>
            <w:r>
              <w:rPr>
                <w:rFonts w:ascii="Calibri" w:cs="Calibri" w:eastAsia="Calibri" w:hAnsi="Calibri"/>
                <w:sz w:val="20"/>
                <w:szCs w:val="20"/>
              </w:rPr>
              <w:t xml:space="preserve">Audit initial + pentest annuel du dispositif</w:t>
            </w:r>
          </w:p>
        </w:tc>
        <w:tc>
          <w:tcPr>
            <w:tcW w:type="dxa" w:w="3000"/>
            <w:tcBorders>
              <w:top w:val="single" w:color="D7DCE3" w:sz="4"/>
              <w:left w:val="single" w:color="D7DCE3" w:sz="4"/>
              <w:bottom w:val="single" w:color="D7DCE3" w:sz="4"/>
              <w:right w:val="single" w:color="D7DCE3" w:sz="4"/>
            </w:tcBorders>
            <w:tcMar>
              <w:top w:type="dxa" w:w="100"/>
              <w:left w:type="dxa" w:w="140"/>
              <w:bottom w:type="dxa" w:w="100"/>
              <w:right w:type="dxa" w:w="140"/>
            </w:tcMar>
          </w:tcPr>
          <w:p>
            <w:pPr>
              <w:jc w:val="left"/>
            </w:pPr>
            <w:r>
              <w:rPr>
                <w:rFonts w:ascii="Calibri" w:cs="Calibri" w:eastAsia="Calibri" w:hAnsi="Calibri"/>
                <w:sz w:val="20"/>
                <w:szCs w:val="20"/>
              </w:rPr>
              <w:t xml:space="preserve">10 000 – 25 000 USD</w:t>
            </w:r>
          </w:p>
        </w:tc>
      </w:tr>
      <w:tr>
        <w:tc>
          <w:tcPr>
            <w:tcW w:type="dxa" w:w="2880"/>
            <w:tcBorders>
              <w:top w:val="single" w:color="D7DCE3" w:sz="4"/>
              <w:left w:val="single" w:color="D7DCE3" w:sz="4"/>
              <w:bottom w:val="single" w:color="D7DCE3" w:sz="4"/>
              <w:right w:val="single" w:color="D7DCE3" w:sz="4"/>
            </w:tcBorders>
            <w:shd w:fill="EDE4C8" w:color="auto" w:val="clear"/>
            <w:tcMar>
              <w:top w:type="dxa" w:w="100"/>
              <w:left w:type="dxa" w:w="140"/>
              <w:bottom w:type="dxa" w:w="100"/>
              <w:right w:type="dxa" w:w="140"/>
            </w:tcMar>
          </w:tcPr>
          <w:p>
            <w:pPr>
              <w:jc w:val="left"/>
            </w:pPr>
            <w:r>
              <w:rPr>
                <w:rFonts w:ascii="Calibri" w:cs="Calibri" w:eastAsia="Calibri" w:hAnsi="Calibri"/>
                <w:b/>
                <w:bCs/>
                <w:sz w:val="20"/>
                <w:szCs w:val="20"/>
              </w:rPr>
              <w:t xml:space="preserve">Total première année</w:t>
            </w:r>
          </w:p>
        </w:tc>
        <w:tc>
          <w:tcPr>
            <w:tcW w:type="dxa" w:w="3480"/>
            <w:tcBorders>
              <w:top w:val="single" w:color="D7DCE3" w:sz="4"/>
              <w:left w:val="single" w:color="D7DCE3" w:sz="4"/>
              <w:bottom w:val="single" w:color="D7DCE3" w:sz="4"/>
              <w:right w:val="single" w:color="D7DCE3" w:sz="4"/>
            </w:tcBorders>
            <w:shd w:fill="EDE4C8" w:color="auto" w:val="clear"/>
            <w:tcMar>
              <w:top w:type="dxa" w:w="100"/>
              <w:left w:type="dxa" w:w="140"/>
              <w:bottom w:type="dxa" w:w="100"/>
              <w:right w:type="dxa" w:w="140"/>
            </w:tcMar>
          </w:tcPr>
          <w:p>
            <w:pPr>
              <w:jc w:val="left"/>
            </w:pPr>
            <w:r>
              <w:rPr>
                <w:rFonts w:ascii="Calibri" w:cs="Calibri" w:eastAsia="Calibri" w:hAnsi="Calibri"/>
                <w:b/>
                <w:bCs/>
                <w:sz w:val="20"/>
                <w:szCs w:val="20"/>
              </w:rPr>
              <w:t xml:space="preserve">Mise en place + exploitation</w:t>
            </w:r>
          </w:p>
        </w:tc>
        <w:tc>
          <w:tcPr>
            <w:tcW w:type="dxa" w:w="3000"/>
            <w:tcBorders>
              <w:top w:val="single" w:color="D7DCE3" w:sz="4"/>
              <w:left w:val="single" w:color="D7DCE3" w:sz="4"/>
              <w:bottom w:val="single" w:color="D7DCE3" w:sz="4"/>
              <w:right w:val="single" w:color="D7DCE3" w:sz="4"/>
            </w:tcBorders>
            <w:shd w:fill="EDE4C8" w:color="auto" w:val="clear"/>
            <w:tcMar>
              <w:top w:type="dxa" w:w="100"/>
              <w:left w:type="dxa" w:w="140"/>
              <w:bottom w:type="dxa" w:w="100"/>
              <w:right w:type="dxa" w:w="140"/>
            </w:tcMar>
          </w:tcPr>
          <w:p>
            <w:pPr>
              <w:jc w:val="left"/>
            </w:pPr>
            <w:r>
              <w:rPr>
                <w:rFonts w:ascii="Calibri" w:cs="Calibri" w:eastAsia="Calibri" w:hAnsi="Calibri"/>
                <w:b/>
                <w:bCs/>
                <w:color w:val="0B2A4A"/>
                <w:sz w:val="22"/>
                <w:szCs w:val="22"/>
              </w:rPr>
              <w:t xml:space="preserve">~ 100 000 – 220 000 USD</w:t>
            </w:r>
          </w:p>
        </w:tc>
      </w:tr>
    </w:tbl>
    <w:p>
      <w:pPr>
        <w:pStyle w:val="Heading1"/>
        <w:spacing w:after="120" w:before="360"/>
      </w:pPr>
      <w:r>
        <w:rPr>
          <w:rFonts w:ascii="Calibri" w:cs="Calibri" w:eastAsia="Calibri" w:hAnsi="Calibri"/>
          <w:b/>
          <w:bCs/>
          <w:color w:val="0B2A4A"/>
        </w:rPr>
        <w:t xml:space="preserve">9. Gouvernance, juridique et sécurité</w:t>
      </w:r>
    </w:p>
    <w:p>
      <w:pPr>
        <w:pStyle w:val="Heading2"/>
        <w:spacing w:after="120" w:before="240"/>
      </w:pPr>
      <w:r>
        <w:rPr>
          <w:rFonts w:ascii="Calibri" w:cs="Calibri" w:eastAsia="Calibri" w:hAnsi="Calibri"/>
          <w:b/>
          <w:bCs/>
          <w:color w:val="0B2A4A"/>
        </w:rPr>
        <w:t xml:space="preserve">9.1. Cadre juridique</w:t>
      </w:r>
    </w:p>
    <w:p>
      <w:pPr>
        <w:spacing w:after="60" w:before="60" w:line="300"/>
        <w:jc w:val="both"/>
      </w:pPr>
      <w:r>
        <w:rPr>
          <w:rFonts w:ascii="Calibri" w:cs="Calibri" w:eastAsia="Calibri" w:hAnsi="Calibri"/>
        </w:rPr>
        <w:t xml:space="preserve">Toute activité de veille et d’investigation doit s’inscrire dans le cadre juridique mauritanien, et en particulier la loi n° 2017-020 sur la protection des données à caractère personnel, les textes relatifs à la cybercriminalité et les instructions émanant de l’autorité de tutelle. Un référent juridique doit valider, en amont, les catégories d’investigations autorisées, les durées de conservation des données collectées, ainsi que le régime applicable aux cas impliquant des citoyens mauritaniens.</w:t>
      </w:r>
    </w:p>
    <w:p>
      <w:pPr>
        <w:pStyle w:val="Heading2"/>
        <w:spacing w:after="120" w:before="240"/>
      </w:pPr>
      <w:r>
        <w:rPr>
          <w:rFonts w:ascii="Calibri" w:cs="Calibri" w:eastAsia="Calibri" w:hAnsi="Calibri"/>
          <w:b/>
          <w:bCs/>
          <w:color w:val="0B2A4A"/>
        </w:rPr>
        <w:t xml:space="preserve">9.2. Habilitations et besoin d’en connaître</w:t>
      </w:r>
    </w:p>
    <w:p>
      <w:pPr>
        <w:spacing w:after="60" w:before="60" w:line="300"/>
        <w:jc w:val="both"/>
      </w:pPr>
      <w:r>
        <w:rPr>
          <w:rFonts w:ascii="Calibri" w:cs="Calibri" w:eastAsia="Calibri" w:hAnsi="Calibri"/>
        </w:rPr>
        <w:t xml:space="preserve">Chaque membre de la cellule fait l’objet d’une habilitation formelle, adossée à une enquête de moralité et à un engagement écrit de confidentialité. Le principe du besoin d’en connaître est appliqué strictement : l’accès aux rapports et aux bases de données est cloisonné par dossier, non par individu. Les droits sont revus tous les six mois.</w:t>
      </w:r>
    </w:p>
    <w:p>
      <w:pPr>
        <w:pStyle w:val="Heading2"/>
        <w:spacing w:after="120" w:before="240"/>
      </w:pPr>
      <w:r>
        <w:rPr>
          <w:rFonts w:ascii="Calibri" w:cs="Calibri" w:eastAsia="Calibri" w:hAnsi="Calibri"/>
          <w:b/>
          <w:bCs/>
          <w:color w:val="0B2A4A"/>
        </w:rPr>
        <w:t xml:space="preserve">9.3. Plan de continuité</w:t>
      </w:r>
    </w:p>
    <w:p>
      <w:pPr>
        <w:spacing w:after="60" w:before="60" w:line="300"/>
        <w:jc w:val="both"/>
      </w:pPr>
      <w:r>
        <w:rPr>
          <w:rFonts w:ascii="Calibri" w:cs="Calibri" w:eastAsia="Calibri" w:hAnsi="Calibri"/>
        </w:rPr>
        <w:t xml:space="preserve">Un plan de continuité d’activité (PCA) et un plan de reprise d’activité (PRA) formalisent les procédures en situation dégradée : panne d’infrastructure, compromission avérée, crise. Des sauvegardes chiffrées hors-ligne, dupliquées sur deux sites, garantissent la reconstruction du dispositif en moins de 48 heures. Le PCA est testé deux fois par an.</w:t>
      </w:r>
    </w:p>
    <w:p>
      <w:pPr>
        <w:pStyle w:val="Heading2"/>
        <w:spacing w:after="120" w:before="240"/>
      </w:pPr>
      <w:r>
        <w:rPr>
          <w:rFonts w:ascii="Calibri" w:cs="Calibri" w:eastAsia="Calibri" w:hAnsi="Calibri"/>
          <w:b/>
          <w:bCs/>
          <w:color w:val="0B2A4A"/>
        </w:rPr>
        <w:t xml:space="preserve">9.4. Contrôles et audits</w:t>
      </w:r>
    </w:p>
    <w:p>
      <w:pPr>
        <w:spacing w:after="60" w:before="60" w:line="300"/>
        <w:jc w:val="both"/>
      </w:pPr>
      <w:r>
        <w:rPr>
          <w:rFonts w:ascii="Calibri" w:cs="Calibri" w:eastAsia="Calibri" w:hAnsi="Calibri"/>
        </w:rPr>
        <w:t xml:space="preserve">Un audit technique indépendant est conduit au terme de la phase pilote, puis annuellement. Un test d’intrusion ciblé est réalisé chaque année, complété par une revue des pratiques OPSEC. Les constats alimentent un plan d’amélioration continue, supervisé par le responsable de cellule et rapporté trimestriellement au commanditaire.</w:t>
      </w:r>
    </w:p>
    <w:p>
      <w:pPr>
        <w:pStyle w:val="Heading1"/>
        <w:spacing w:after="120" w:before="360"/>
      </w:pPr>
      <w:r>
        <w:rPr>
          <w:rFonts w:ascii="Calibri" w:cs="Calibri" w:eastAsia="Calibri" w:hAnsi="Calibri"/>
          <w:b/>
          <w:bCs/>
          <w:color w:val="0B2A4A"/>
        </w:rPr>
        <w:t xml:space="preserve">10. Risques et mesures de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D7DCE3" w:sz="4"/>
              <w:left w:val="single" w:color="D7DCE3" w:sz="4"/>
              <w:bottom w:val="single" w:color="D7DCE3" w:sz="4"/>
              <w:right w:val="single" w:color="D7DCE3" w:sz="4"/>
            </w:tcBorders>
            <w:shd w:fill="0B2A4A" w:color="auto" w:val="clear"/>
            <w:tcMar>
              <w:top w:type="dxa" w:w="100"/>
              <w:left w:type="dxa" w:w="140"/>
              <w:bottom w:type="dxa" w:w="100"/>
              <w:right w:type="dxa" w:w="140"/>
            </w:tcMar>
          </w:tcPr>
          <w:p>
            <w:pPr>
              <w:jc w:val="left"/>
            </w:pPr>
            <w:r>
              <w:rPr>
                <w:rFonts w:ascii="Calibri" w:cs="Calibri" w:eastAsia="Calibri" w:hAnsi="Calibri"/>
                <w:b/>
                <w:bCs/>
                <w:color w:val="FFFFFF"/>
                <w:sz w:val="22"/>
                <w:szCs w:val="22"/>
              </w:rPr>
              <w:t xml:space="preserve">Risque</w:t>
            </w:r>
          </w:p>
        </w:tc>
        <w:tc>
          <w:tcPr>
            <w:tcW w:type="dxa" w:w="3180"/>
            <w:tcBorders>
              <w:top w:val="single" w:color="D7DCE3" w:sz="4"/>
              <w:left w:val="single" w:color="D7DCE3" w:sz="4"/>
              <w:bottom w:val="single" w:color="D7DCE3" w:sz="4"/>
              <w:right w:val="single" w:color="D7DCE3" w:sz="4"/>
            </w:tcBorders>
            <w:shd w:fill="0B2A4A" w:color="auto" w:val="clear"/>
            <w:tcMar>
              <w:top w:type="dxa" w:w="100"/>
              <w:left w:type="dxa" w:w="140"/>
              <w:bottom w:type="dxa" w:w="100"/>
              <w:right w:type="dxa" w:w="140"/>
            </w:tcMar>
          </w:tcPr>
          <w:p>
            <w:pPr>
              <w:jc w:val="left"/>
            </w:pPr>
            <w:r>
              <w:rPr>
                <w:rFonts w:ascii="Calibri" w:cs="Calibri" w:eastAsia="Calibri" w:hAnsi="Calibri"/>
                <w:b/>
                <w:bCs/>
                <w:color w:val="FFFFFF"/>
                <w:sz w:val="22"/>
                <w:szCs w:val="22"/>
              </w:rPr>
              <w:t xml:space="preserve">Impact potentiel</w:t>
            </w:r>
          </w:p>
        </w:tc>
        <w:tc>
          <w:tcPr>
            <w:tcW w:type="dxa" w:w="3180"/>
            <w:tcBorders>
              <w:top w:val="single" w:color="D7DCE3" w:sz="4"/>
              <w:left w:val="single" w:color="D7DCE3" w:sz="4"/>
              <w:bottom w:val="single" w:color="D7DCE3" w:sz="4"/>
              <w:right w:val="single" w:color="D7DCE3" w:sz="4"/>
            </w:tcBorders>
            <w:shd w:fill="0B2A4A" w:color="auto" w:val="clear"/>
            <w:tcMar>
              <w:top w:type="dxa" w:w="100"/>
              <w:left w:type="dxa" w:w="140"/>
              <w:bottom w:type="dxa" w:w="100"/>
              <w:right w:type="dxa" w:w="140"/>
            </w:tcMar>
          </w:tcPr>
          <w:p>
            <w:pPr>
              <w:jc w:val="left"/>
            </w:pPr>
            <w:r>
              <w:rPr>
                <w:rFonts w:ascii="Calibri" w:cs="Calibri" w:eastAsia="Calibri" w:hAnsi="Calibri"/>
                <w:b/>
                <w:bCs/>
                <w:color w:val="FFFFFF"/>
                <w:sz w:val="22"/>
                <w:szCs w:val="22"/>
              </w:rPr>
              <w:t xml:space="preserve">Mesures de mitigation</w:t>
            </w:r>
          </w:p>
        </w:tc>
      </w:tr>
      <w:tr>
        <w:tc>
          <w:tcPr>
            <w:tcW w:type="dxa" w:w="3000"/>
            <w:tcBorders>
              <w:top w:val="single" w:color="D7DCE3" w:sz="4"/>
              <w:left w:val="single" w:color="D7DCE3" w:sz="4"/>
              <w:bottom w:val="single" w:color="D7DCE3" w:sz="4"/>
              <w:right w:val="single" w:color="D7DCE3" w:sz="4"/>
            </w:tcBorders>
            <w:shd w:fill="F4F6F9" w:color="auto" w:val="clear"/>
            <w:tcMar>
              <w:top w:type="dxa" w:w="100"/>
              <w:left w:type="dxa" w:w="140"/>
              <w:bottom w:type="dxa" w:w="100"/>
              <w:right w:type="dxa" w:w="140"/>
            </w:tcMar>
          </w:tcPr>
          <w:p>
            <w:pPr>
              <w:jc w:val="left"/>
            </w:pPr>
            <w:r>
              <w:rPr>
                <w:rFonts w:ascii="Calibri" w:cs="Calibri" w:eastAsia="Calibri" w:hAnsi="Calibri"/>
                <w:b/>
                <w:bCs/>
                <w:sz w:val="20"/>
                <w:szCs w:val="20"/>
              </w:rPr>
              <w:t xml:space="preserve">Compromission d’un terminal</w:t>
            </w:r>
          </w:p>
        </w:tc>
        <w:tc>
          <w:tcPr>
            <w:tcW w:type="dxa" w:w="3180"/>
            <w:tcBorders>
              <w:top w:val="single" w:color="D7DCE3" w:sz="4"/>
              <w:left w:val="single" w:color="D7DCE3" w:sz="4"/>
              <w:bottom w:val="single" w:color="D7DCE3" w:sz="4"/>
              <w:right w:val="single" w:color="D7DCE3" w:sz="4"/>
            </w:tcBorders>
            <w:tcMar>
              <w:top w:type="dxa" w:w="100"/>
              <w:left w:type="dxa" w:w="140"/>
              <w:bottom w:type="dxa" w:w="100"/>
              <w:right w:type="dxa" w:w="140"/>
            </w:tcMar>
          </w:tcPr>
          <w:p>
            <w:pPr>
              <w:jc w:val="left"/>
            </w:pPr>
            <w:r>
              <w:rPr>
                <w:rFonts w:ascii="Calibri" w:cs="Calibri" w:eastAsia="Calibri" w:hAnsi="Calibri"/>
                <w:sz w:val="20"/>
                <w:szCs w:val="20"/>
              </w:rPr>
              <w:t xml:space="preserve">Fuite de conversations, usurpation</w:t>
            </w:r>
          </w:p>
        </w:tc>
        <w:tc>
          <w:tcPr>
            <w:tcW w:type="dxa" w:w="3180"/>
            <w:tcBorders>
              <w:top w:val="single" w:color="D7DCE3" w:sz="4"/>
              <w:left w:val="single" w:color="D7DCE3" w:sz="4"/>
              <w:bottom w:val="single" w:color="D7DCE3" w:sz="4"/>
              <w:right w:val="single" w:color="D7DCE3" w:sz="4"/>
            </w:tcBorders>
            <w:tcMar>
              <w:top w:type="dxa" w:w="100"/>
              <w:left w:type="dxa" w:w="140"/>
              <w:bottom w:type="dxa" w:w="100"/>
              <w:right w:type="dxa" w:w="140"/>
            </w:tcMar>
          </w:tcPr>
          <w:p>
            <w:pPr>
              <w:jc w:val="left"/>
            </w:pPr>
            <w:r>
              <w:rPr>
                <w:rFonts w:ascii="Calibri" w:cs="Calibri" w:eastAsia="Calibri" w:hAnsi="Calibri"/>
                <w:sz w:val="20"/>
                <w:szCs w:val="20"/>
              </w:rPr>
              <w:t xml:space="preserve">Terminaux durcis, MDM, effacement à distance, rotations régulières</w:t>
            </w:r>
          </w:p>
        </w:tc>
      </w:tr>
      <w:tr>
        <w:tc>
          <w:tcPr>
            <w:tcW w:type="dxa" w:w="3000"/>
            <w:tcBorders>
              <w:top w:val="single" w:color="D7DCE3" w:sz="4"/>
              <w:left w:val="single" w:color="D7DCE3" w:sz="4"/>
              <w:bottom w:val="single" w:color="D7DCE3" w:sz="4"/>
              <w:right w:val="single" w:color="D7DCE3" w:sz="4"/>
            </w:tcBorders>
            <w:shd w:fill="F4F6F9" w:color="auto" w:val="clear"/>
            <w:tcMar>
              <w:top w:type="dxa" w:w="100"/>
              <w:left w:type="dxa" w:w="140"/>
              <w:bottom w:type="dxa" w:w="100"/>
              <w:right w:type="dxa" w:w="140"/>
            </w:tcMar>
          </w:tcPr>
          <w:p>
            <w:pPr>
              <w:jc w:val="left"/>
            </w:pPr>
            <w:r>
              <w:rPr>
                <w:rFonts w:ascii="Calibri" w:cs="Calibri" w:eastAsia="Calibri" w:hAnsi="Calibri"/>
                <w:b/>
                <w:bCs/>
                <w:sz w:val="20"/>
                <w:szCs w:val="20"/>
              </w:rPr>
              <w:t xml:space="preserve">Ingénierie sociale ciblée</w:t>
            </w:r>
          </w:p>
        </w:tc>
        <w:tc>
          <w:tcPr>
            <w:tcW w:type="dxa" w:w="3180"/>
            <w:tcBorders>
              <w:top w:val="single" w:color="D7DCE3" w:sz="4"/>
              <w:left w:val="single" w:color="D7DCE3" w:sz="4"/>
              <w:bottom w:val="single" w:color="D7DCE3" w:sz="4"/>
              <w:right w:val="single" w:color="D7DCE3" w:sz="4"/>
            </w:tcBorders>
            <w:tcMar>
              <w:top w:type="dxa" w:w="100"/>
              <w:left w:type="dxa" w:w="140"/>
              <w:bottom w:type="dxa" w:w="100"/>
              <w:right w:type="dxa" w:w="140"/>
            </w:tcMar>
          </w:tcPr>
          <w:p>
            <w:pPr>
              <w:jc w:val="left"/>
            </w:pPr>
            <w:r>
              <w:rPr>
                <w:rFonts w:ascii="Calibri" w:cs="Calibri" w:eastAsia="Calibri" w:hAnsi="Calibri"/>
                <w:sz w:val="20"/>
                <w:szCs w:val="20"/>
              </w:rPr>
              <w:t xml:space="preserve">Détournement d’identité, manipulation</w:t>
            </w:r>
          </w:p>
        </w:tc>
        <w:tc>
          <w:tcPr>
            <w:tcW w:type="dxa" w:w="3180"/>
            <w:tcBorders>
              <w:top w:val="single" w:color="D7DCE3" w:sz="4"/>
              <w:left w:val="single" w:color="D7DCE3" w:sz="4"/>
              <w:bottom w:val="single" w:color="D7DCE3" w:sz="4"/>
              <w:right w:val="single" w:color="D7DCE3" w:sz="4"/>
            </w:tcBorders>
            <w:tcMar>
              <w:top w:type="dxa" w:w="100"/>
              <w:left w:type="dxa" w:w="140"/>
              <w:bottom w:type="dxa" w:w="100"/>
              <w:right w:type="dxa" w:w="140"/>
            </w:tcMar>
          </w:tcPr>
          <w:p>
            <w:pPr>
              <w:jc w:val="left"/>
            </w:pPr>
            <w:r>
              <w:rPr>
                <w:rFonts w:ascii="Calibri" w:cs="Calibri" w:eastAsia="Calibri" w:hAnsi="Calibri"/>
                <w:sz w:val="20"/>
                <w:szCs w:val="20"/>
              </w:rPr>
              <w:t xml:space="preserve">Sensibilisation, double authentification matérielle, procédures de vérification croisée</w:t>
            </w:r>
          </w:p>
        </w:tc>
      </w:tr>
      <w:tr>
        <w:tc>
          <w:tcPr>
            <w:tcW w:type="dxa" w:w="3000"/>
            <w:tcBorders>
              <w:top w:val="single" w:color="D7DCE3" w:sz="4"/>
              <w:left w:val="single" w:color="D7DCE3" w:sz="4"/>
              <w:bottom w:val="single" w:color="D7DCE3" w:sz="4"/>
              <w:right w:val="single" w:color="D7DCE3" w:sz="4"/>
            </w:tcBorders>
            <w:shd w:fill="F4F6F9" w:color="auto" w:val="clear"/>
            <w:tcMar>
              <w:top w:type="dxa" w:w="100"/>
              <w:left w:type="dxa" w:w="140"/>
              <w:bottom w:type="dxa" w:w="100"/>
              <w:right w:type="dxa" w:w="140"/>
            </w:tcMar>
          </w:tcPr>
          <w:p>
            <w:pPr>
              <w:jc w:val="left"/>
            </w:pPr>
            <w:r>
              <w:rPr>
                <w:rFonts w:ascii="Calibri" w:cs="Calibri" w:eastAsia="Calibri" w:hAnsi="Calibri"/>
                <w:b/>
                <w:bCs/>
                <w:sz w:val="20"/>
                <w:szCs w:val="20"/>
              </w:rPr>
              <w:t xml:space="preserve">Exposition accidentelle d’identités d’investigation</w:t>
            </w:r>
          </w:p>
        </w:tc>
        <w:tc>
          <w:tcPr>
            <w:tcW w:type="dxa" w:w="3180"/>
            <w:tcBorders>
              <w:top w:val="single" w:color="D7DCE3" w:sz="4"/>
              <w:left w:val="single" w:color="D7DCE3" w:sz="4"/>
              <w:bottom w:val="single" w:color="D7DCE3" w:sz="4"/>
              <w:right w:val="single" w:color="D7DCE3" w:sz="4"/>
            </w:tcBorders>
            <w:tcMar>
              <w:top w:type="dxa" w:w="100"/>
              <w:left w:type="dxa" w:w="140"/>
              <w:bottom w:type="dxa" w:w="100"/>
              <w:right w:type="dxa" w:w="140"/>
            </w:tcMar>
          </w:tcPr>
          <w:p>
            <w:pPr>
              <w:jc w:val="left"/>
            </w:pPr>
            <w:r>
              <w:rPr>
                <w:rFonts w:ascii="Calibri" w:cs="Calibri" w:eastAsia="Calibri" w:hAnsi="Calibri"/>
                <w:sz w:val="20"/>
                <w:szCs w:val="20"/>
              </w:rPr>
              <w:t xml:space="preserve">Perte d’avantage OSINT, risque réputationnel</w:t>
            </w:r>
          </w:p>
        </w:tc>
        <w:tc>
          <w:tcPr>
            <w:tcW w:type="dxa" w:w="3180"/>
            <w:tcBorders>
              <w:top w:val="single" w:color="D7DCE3" w:sz="4"/>
              <w:left w:val="single" w:color="D7DCE3" w:sz="4"/>
              <w:bottom w:val="single" w:color="D7DCE3" w:sz="4"/>
              <w:right w:val="single" w:color="D7DCE3" w:sz="4"/>
            </w:tcBorders>
            <w:tcMar>
              <w:top w:type="dxa" w:w="100"/>
              <w:left w:type="dxa" w:w="140"/>
              <w:bottom w:type="dxa" w:w="100"/>
              <w:right w:type="dxa" w:w="140"/>
            </w:tcMar>
          </w:tcPr>
          <w:p>
            <w:pPr>
              <w:jc w:val="left"/>
            </w:pPr>
            <w:r>
              <w:rPr>
                <w:rFonts w:ascii="Calibri" w:cs="Calibri" w:eastAsia="Calibri" w:hAnsi="Calibri"/>
                <w:sz w:val="20"/>
                <w:szCs w:val="20"/>
              </w:rPr>
              <w:t xml:space="preserve">Compartimentation stricte, VM jetables, passerelle d’anonymisation, formation</w:t>
            </w:r>
          </w:p>
        </w:tc>
      </w:tr>
      <w:tr>
        <w:tc>
          <w:tcPr>
            <w:tcW w:type="dxa" w:w="3000"/>
            <w:tcBorders>
              <w:top w:val="single" w:color="D7DCE3" w:sz="4"/>
              <w:left w:val="single" w:color="D7DCE3" w:sz="4"/>
              <w:bottom w:val="single" w:color="D7DCE3" w:sz="4"/>
              <w:right w:val="single" w:color="D7DCE3" w:sz="4"/>
            </w:tcBorders>
            <w:shd w:fill="F4F6F9" w:color="auto" w:val="clear"/>
            <w:tcMar>
              <w:top w:type="dxa" w:w="100"/>
              <w:left w:type="dxa" w:w="140"/>
              <w:bottom w:type="dxa" w:w="100"/>
              <w:right w:type="dxa" w:w="140"/>
            </w:tcMar>
          </w:tcPr>
          <w:p>
            <w:pPr>
              <w:jc w:val="left"/>
            </w:pPr>
            <w:r>
              <w:rPr>
                <w:rFonts w:ascii="Calibri" w:cs="Calibri" w:eastAsia="Calibri" w:hAnsi="Calibri"/>
                <w:b/>
                <w:bCs/>
                <w:sz w:val="20"/>
                <w:szCs w:val="20"/>
              </w:rPr>
              <w:t xml:space="preserve">Dépendance à un prestataire étranger</w:t>
            </w:r>
          </w:p>
        </w:tc>
        <w:tc>
          <w:tcPr>
            <w:tcW w:type="dxa" w:w="3180"/>
            <w:tcBorders>
              <w:top w:val="single" w:color="D7DCE3" w:sz="4"/>
              <w:left w:val="single" w:color="D7DCE3" w:sz="4"/>
              <w:bottom w:val="single" w:color="D7DCE3" w:sz="4"/>
              <w:right w:val="single" w:color="D7DCE3" w:sz="4"/>
            </w:tcBorders>
            <w:tcMar>
              <w:top w:type="dxa" w:w="100"/>
              <w:left w:type="dxa" w:w="140"/>
              <w:bottom w:type="dxa" w:w="100"/>
              <w:right w:type="dxa" w:w="140"/>
            </w:tcMar>
          </w:tcPr>
          <w:p>
            <w:pPr>
              <w:jc w:val="left"/>
            </w:pPr>
            <w:r>
              <w:rPr>
                <w:rFonts w:ascii="Calibri" w:cs="Calibri" w:eastAsia="Calibri" w:hAnsi="Calibri"/>
                <w:sz w:val="20"/>
                <w:szCs w:val="20"/>
              </w:rPr>
              <w:t xml:space="preserve">Perte de continuité, risque géopolitique</w:t>
            </w:r>
          </w:p>
        </w:tc>
        <w:tc>
          <w:tcPr>
            <w:tcW w:type="dxa" w:w="3180"/>
            <w:tcBorders>
              <w:top w:val="single" w:color="D7DCE3" w:sz="4"/>
              <w:left w:val="single" w:color="D7DCE3" w:sz="4"/>
              <w:bottom w:val="single" w:color="D7DCE3" w:sz="4"/>
              <w:right w:val="single" w:color="D7DCE3" w:sz="4"/>
            </w:tcBorders>
            <w:tcMar>
              <w:top w:type="dxa" w:w="100"/>
              <w:left w:type="dxa" w:w="140"/>
              <w:bottom w:type="dxa" w:w="100"/>
              <w:right w:type="dxa" w:w="140"/>
            </w:tcMar>
          </w:tcPr>
          <w:p>
            <w:pPr>
              <w:jc w:val="left"/>
            </w:pPr>
            <w:r>
              <w:rPr>
                <w:rFonts w:ascii="Calibri" w:cs="Calibri" w:eastAsia="Calibri" w:hAnsi="Calibri"/>
                <w:sz w:val="20"/>
                <w:szCs w:val="20"/>
              </w:rPr>
              <w:t xml:space="preserve">Privilégier l’auto-hébergement pour le niveau élevé, clauses de réversibilité dans les contrats</w:t>
            </w:r>
          </w:p>
        </w:tc>
      </w:tr>
      <w:tr>
        <w:tc>
          <w:tcPr>
            <w:tcW w:type="dxa" w:w="3000"/>
            <w:tcBorders>
              <w:top w:val="single" w:color="D7DCE3" w:sz="4"/>
              <w:left w:val="single" w:color="D7DCE3" w:sz="4"/>
              <w:bottom w:val="single" w:color="D7DCE3" w:sz="4"/>
              <w:right w:val="single" w:color="D7DCE3" w:sz="4"/>
            </w:tcBorders>
            <w:shd w:fill="F4F6F9" w:color="auto" w:val="clear"/>
            <w:tcMar>
              <w:top w:type="dxa" w:w="100"/>
              <w:left w:type="dxa" w:w="140"/>
              <w:bottom w:type="dxa" w:w="100"/>
              <w:right w:type="dxa" w:w="140"/>
            </w:tcMar>
          </w:tcPr>
          <w:p>
            <w:pPr>
              <w:jc w:val="left"/>
            </w:pPr>
            <w:r>
              <w:rPr>
                <w:rFonts w:ascii="Calibri" w:cs="Calibri" w:eastAsia="Calibri" w:hAnsi="Calibri"/>
                <w:b/>
                <w:bCs/>
                <w:sz w:val="20"/>
                <w:szCs w:val="20"/>
              </w:rPr>
              <w:t xml:space="preserve">Dérive réglementaire / usage</w:t>
            </w:r>
          </w:p>
        </w:tc>
        <w:tc>
          <w:tcPr>
            <w:tcW w:type="dxa" w:w="3180"/>
            <w:tcBorders>
              <w:top w:val="single" w:color="D7DCE3" w:sz="4"/>
              <w:left w:val="single" w:color="D7DCE3" w:sz="4"/>
              <w:bottom w:val="single" w:color="D7DCE3" w:sz="4"/>
              <w:right w:val="single" w:color="D7DCE3" w:sz="4"/>
            </w:tcBorders>
            <w:tcMar>
              <w:top w:type="dxa" w:w="100"/>
              <w:left w:type="dxa" w:w="140"/>
              <w:bottom w:type="dxa" w:w="100"/>
              <w:right w:type="dxa" w:w="140"/>
            </w:tcMar>
          </w:tcPr>
          <w:p>
            <w:pPr>
              <w:jc w:val="left"/>
            </w:pPr>
            <w:r>
              <w:rPr>
                <w:rFonts w:ascii="Calibri" w:cs="Calibri" w:eastAsia="Calibri" w:hAnsi="Calibri"/>
                <w:sz w:val="20"/>
                <w:szCs w:val="20"/>
              </w:rPr>
              <w:t xml:space="preserve">Risque juridique, contentieux</w:t>
            </w:r>
          </w:p>
        </w:tc>
        <w:tc>
          <w:tcPr>
            <w:tcW w:type="dxa" w:w="3180"/>
            <w:tcBorders>
              <w:top w:val="single" w:color="D7DCE3" w:sz="4"/>
              <w:left w:val="single" w:color="D7DCE3" w:sz="4"/>
              <w:bottom w:val="single" w:color="D7DCE3" w:sz="4"/>
              <w:right w:val="single" w:color="D7DCE3" w:sz="4"/>
            </w:tcBorders>
            <w:tcMar>
              <w:top w:type="dxa" w:w="100"/>
              <w:left w:type="dxa" w:w="140"/>
              <w:bottom w:type="dxa" w:w="100"/>
              <w:right w:type="dxa" w:w="140"/>
            </w:tcMar>
          </w:tcPr>
          <w:p>
            <w:pPr>
              <w:jc w:val="left"/>
            </w:pPr>
            <w:r>
              <w:rPr>
                <w:rFonts w:ascii="Calibri" w:cs="Calibri" w:eastAsia="Calibri" w:hAnsi="Calibri"/>
                <w:sz w:val="20"/>
                <w:szCs w:val="20"/>
              </w:rPr>
              <w:t xml:space="preserve">Référent juridique permanent, revue trimestrielle des pratiques, registre des investigations</w:t>
            </w:r>
          </w:p>
        </w:tc>
      </w:tr>
      <w:tr>
        <w:tc>
          <w:tcPr>
            <w:tcW w:type="dxa" w:w="3000"/>
            <w:tcBorders>
              <w:top w:val="single" w:color="D7DCE3" w:sz="4"/>
              <w:left w:val="single" w:color="D7DCE3" w:sz="4"/>
              <w:bottom w:val="single" w:color="D7DCE3" w:sz="4"/>
              <w:right w:val="single" w:color="D7DCE3" w:sz="4"/>
            </w:tcBorders>
            <w:shd w:fill="F4F6F9" w:color="auto" w:val="clear"/>
            <w:tcMar>
              <w:top w:type="dxa" w:w="100"/>
              <w:left w:type="dxa" w:w="140"/>
              <w:bottom w:type="dxa" w:w="100"/>
              <w:right w:type="dxa" w:w="140"/>
            </w:tcMar>
          </w:tcPr>
          <w:p>
            <w:pPr>
              <w:jc w:val="left"/>
            </w:pPr>
            <w:r>
              <w:rPr>
                <w:rFonts w:ascii="Calibri" w:cs="Calibri" w:eastAsia="Calibri" w:hAnsi="Calibri"/>
                <w:b/>
                <w:bCs/>
                <w:sz w:val="20"/>
                <w:szCs w:val="20"/>
              </w:rPr>
              <w:t xml:space="preserve">Fuite interne</w:t>
            </w:r>
          </w:p>
        </w:tc>
        <w:tc>
          <w:tcPr>
            <w:tcW w:type="dxa" w:w="3180"/>
            <w:tcBorders>
              <w:top w:val="single" w:color="D7DCE3" w:sz="4"/>
              <w:left w:val="single" w:color="D7DCE3" w:sz="4"/>
              <w:bottom w:val="single" w:color="D7DCE3" w:sz="4"/>
              <w:right w:val="single" w:color="D7DCE3" w:sz="4"/>
            </w:tcBorders>
            <w:tcMar>
              <w:top w:type="dxa" w:w="100"/>
              <w:left w:type="dxa" w:w="140"/>
              <w:bottom w:type="dxa" w:w="100"/>
              <w:right w:type="dxa" w:w="140"/>
            </w:tcMar>
          </w:tcPr>
          <w:p>
            <w:pPr>
              <w:jc w:val="left"/>
            </w:pPr>
            <w:r>
              <w:rPr>
                <w:rFonts w:ascii="Calibri" w:cs="Calibri" w:eastAsia="Calibri" w:hAnsi="Calibri"/>
                <w:sz w:val="20"/>
                <w:szCs w:val="20"/>
              </w:rPr>
              <w:t xml:space="preserve">Atteinte aux sources et méthodes</w:t>
            </w:r>
          </w:p>
        </w:tc>
        <w:tc>
          <w:tcPr>
            <w:tcW w:type="dxa" w:w="3180"/>
            <w:tcBorders>
              <w:top w:val="single" w:color="D7DCE3" w:sz="4"/>
              <w:left w:val="single" w:color="D7DCE3" w:sz="4"/>
              <w:bottom w:val="single" w:color="D7DCE3" w:sz="4"/>
              <w:right w:val="single" w:color="D7DCE3" w:sz="4"/>
            </w:tcBorders>
            <w:tcMar>
              <w:top w:type="dxa" w:w="100"/>
              <w:left w:type="dxa" w:w="140"/>
              <w:bottom w:type="dxa" w:w="100"/>
              <w:right w:type="dxa" w:w="140"/>
            </w:tcMar>
          </w:tcPr>
          <w:p>
            <w:pPr>
              <w:jc w:val="left"/>
            </w:pPr>
            <w:r>
              <w:rPr>
                <w:rFonts w:ascii="Calibri" w:cs="Calibri" w:eastAsia="Calibri" w:hAnsi="Calibri"/>
                <w:sz w:val="20"/>
                <w:szCs w:val="20"/>
              </w:rPr>
              <w:t xml:space="preserve">Habilitations rigoureuses, journalisation, audits inopinés, effectifs réduits</w:t>
            </w:r>
          </w:p>
        </w:tc>
      </w:tr>
    </w:tbl>
    <w:p>
      <w:pPr>
        <w:pStyle w:val="Heading1"/>
        <w:spacing w:after="120" w:before="360"/>
      </w:pPr>
      <w:r>
        <w:rPr>
          <w:rFonts w:ascii="Calibri" w:cs="Calibri" w:eastAsia="Calibri" w:hAnsi="Calibri"/>
          <w:b/>
          <w:bCs/>
          <w:color w:val="0B2A4A"/>
        </w:rPr>
        <w:t xml:space="preserve">11. Recommandations stratégiques</w:t>
      </w:r>
    </w:p>
    <w:p>
      <w:pPr>
        <w:spacing w:after="60" w:before="60" w:line="300"/>
        <w:jc w:val="both"/>
      </w:pPr>
      <w:r>
        <w:rPr>
          <w:rFonts w:ascii="Calibri" w:cs="Calibri" w:eastAsia="Calibri" w:hAnsi="Calibri"/>
        </w:rPr>
        <w:t xml:space="preserve">Au-delà du volet technique, quatre orientations devraient être considérées par l’autorité pour inscrire ce dispositif dans la durée et en assurer la pleine valeur :</w:t>
      </w:r>
    </w:p>
    <w:p>
      <w:pPr>
        <w:pStyle w:val="ListParagraph"/>
        <w:numPr>
          <w:ilvl w:val="0"/>
          <w:numId w:val="2"/>
        </w:numPr>
        <w:spacing w:after="40" w:before="40" w:line="280"/>
      </w:pPr>
      <w:r>
        <w:rPr>
          <w:rFonts w:ascii="Calibri" w:cs="Calibri" w:eastAsia="Calibri" w:hAnsi="Calibri"/>
          <w:b/>
          <w:bCs/>
          <w:color w:val="0B2A4A"/>
          <w:sz w:val="22"/>
          <w:szCs w:val="22"/>
        </w:rPr>
        <w:t xml:space="preserve">Souveraineté progressive : </w:t>
      </w:r>
      <w:r>
        <w:rPr>
          <w:rFonts w:ascii="Calibri" w:cs="Calibri" w:eastAsia="Calibri" w:hAnsi="Calibri"/>
          <w:sz w:val="22"/>
          <w:szCs w:val="22"/>
        </w:rPr>
        <w:t xml:space="preserve">privilégier les solutions auto-hébergeables pour les niveaux élevés de sensibilité, et négocier des clauses strictes de réversibilité avec les éditeurs étrangers.</w:t>
      </w:r>
    </w:p>
    <w:p>
      <w:pPr>
        <w:pStyle w:val="ListParagraph"/>
        <w:numPr>
          <w:ilvl w:val="0"/>
          <w:numId w:val="2"/>
        </w:numPr>
        <w:spacing w:after="40" w:before="40" w:line="280"/>
      </w:pPr>
      <w:r>
        <w:rPr>
          <w:rFonts w:ascii="Calibri" w:cs="Calibri" w:eastAsia="Calibri" w:hAnsi="Calibri"/>
          <w:b/>
          <w:bCs/>
          <w:color w:val="0B2A4A"/>
          <w:sz w:val="22"/>
          <w:szCs w:val="22"/>
        </w:rPr>
        <w:t xml:space="preserve">Coopération inter-services : </w:t>
      </w:r>
      <w:r>
        <w:rPr>
          <w:rFonts w:ascii="Calibri" w:cs="Calibri" w:eastAsia="Calibri" w:hAnsi="Calibri"/>
          <w:sz w:val="22"/>
          <w:szCs w:val="22"/>
        </w:rPr>
        <w:t xml:space="preserve">formaliser les flux avec le MTNMA et envisager une convention tripartite incluant un partenaire cyber de confiance.</w:t>
      </w:r>
    </w:p>
    <w:p>
      <w:pPr>
        <w:pStyle w:val="ListParagraph"/>
        <w:numPr>
          <w:ilvl w:val="0"/>
          <w:numId w:val="2"/>
        </w:numPr>
        <w:spacing w:after="40" w:before="40" w:line="280"/>
      </w:pPr>
      <w:r>
        <w:rPr>
          <w:rFonts w:ascii="Calibri" w:cs="Calibri" w:eastAsia="Calibri" w:hAnsi="Calibri"/>
          <w:b/>
          <w:bCs/>
          <w:color w:val="0B2A4A"/>
          <w:sz w:val="22"/>
          <w:szCs w:val="22"/>
        </w:rPr>
        <w:t xml:space="preserve">Capital humain : </w:t>
      </w:r>
      <w:r>
        <w:rPr>
          <w:rFonts w:ascii="Calibri" w:cs="Calibri" w:eastAsia="Calibri" w:hAnsi="Calibri"/>
          <w:sz w:val="22"/>
          <w:szCs w:val="22"/>
        </w:rPr>
        <w:t xml:space="preserve">investir prioritairement dans la formation d’agents mauritaniens plutôt que dans la seule acquisition d’outils ; prévoir un parcours de spécialisation à trois ans.</w:t>
      </w:r>
    </w:p>
    <w:p>
      <w:pPr>
        <w:pStyle w:val="ListParagraph"/>
        <w:numPr>
          <w:ilvl w:val="0"/>
          <w:numId w:val="2"/>
        </w:numPr>
        <w:spacing w:after="40" w:before="40" w:line="280"/>
      </w:pPr>
      <w:r>
        <w:rPr>
          <w:rFonts w:ascii="Calibri" w:cs="Calibri" w:eastAsia="Calibri" w:hAnsi="Calibri"/>
          <w:b/>
          <w:bCs/>
          <w:color w:val="0B2A4A"/>
          <w:sz w:val="22"/>
          <w:szCs w:val="22"/>
        </w:rPr>
        <w:t xml:space="preserve">Évaluation indépendante : </w:t>
      </w:r>
      <w:r>
        <w:rPr>
          <w:rFonts w:ascii="Calibri" w:cs="Calibri" w:eastAsia="Calibri" w:hAnsi="Calibri"/>
          <w:sz w:val="22"/>
          <w:szCs w:val="22"/>
        </w:rPr>
        <w:t xml:space="preserve">au terme de la première année, faire réaliser une évaluation externe du dispositif par un tiers de confiance, dont les conclusions seront remises au commanditaire.</w:t>
      </w:r>
    </w:p>
    <w:p>
      <w:pPr>
        <w:pStyle w:val="Heading1"/>
        <w:spacing w:after="120" w:before="360"/>
      </w:pPr>
      <w:r>
        <w:rPr>
          <w:rFonts w:ascii="Calibri" w:cs="Calibri" w:eastAsia="Calibri" w:hAnsi="Calibri"/>
          <w:b/>
          <w:bCs/>
          <w:color w:val="0B2A4A"/>
        </w:rPr>
        <w:t xml:space="preserve">12. Conclusion</w:t>
      </w:r>
    </w:p>
    <w:p>
      <w:pPr>
        <w:spacing w:after="60" w:before="60" w:line="300"/>
        <w:jc w:val="both"/>
      </w:pPr>
      <w:r>
        <w:rPr>
          <w:rFonts w:ascii="Calibri" w:cs="Calibri" w:eastAsia="Calibri" w:hAnsi="Calibri"/>
        </w:rPr>
        <w:t xml:space="preserve">L’architecture proposée combine maturité technologique, souveraineté maîtrisée et pragmatisme opérationnel. Elle est dimensionnée pour répondre aux besoins d’une structure sensible sans exiger un effort budgétaire ni humain disproportionné. La phase pilote peut être lancée rapidement, avec des bénéfices tangibles dès les premières semaines : diminution de l’exposition, lisibilité des menaces, capacité de restitution au niveau décisionnel.</w:t>
      </w:r>
    </w:p>
    <w:p>
      <w:pPr>
        <w:spacing w:after="60" w:before="60" w:line="300"/>
        <w:jc w:val="both"/>
      </w:pPr>
      <w:r>
        <w:rPr>
          <w:rFonts w:ascii="Calibri" w:cs="Calibri" w:eastAsia="Calibri" w:hAnsi="Calibri"/>
        </w:rPr>
        <w:t xml:space="preserve">La réussite du dispositif reposera, in fine, moins sur les outils que sur la qualité des femmes et des hommes mobilisés, sur la rigueur des procédures et sur la confiance accordée par l’autorité. C’est à ce triptyque — technologie, organisation, discipline — que la présente note invite à souscrire.</w:t>
      </w:r>
    </w:p>
    <w:p>
      <w:r>
        <w:br w:type="page"/>
      </w:r>
    </w:p>
    <w:p>
      <w:pPr>
        <w:pStyle w:val="Heading1"/>
        <w:spacing w:after="120" w:before="360"/>
      </w:pPr>
      <w:r>
        <w:rPr>
          <w:rFonts w:ascii="Calibri" w:cs="Calibri" w:eastAsia="Calibri" w:hAnsi="Calibri"/>
          <w:b/>
          <w:bCs/>
          <w:color w:val="0B2A4A"/>
        </w:rPr>
        <w:t xml:space="preserve">Annexe A —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7DCE3" w:sz="4"/>
              <w:left w:val="single" w:color="D7DCE3" w:sz="4"/>
              <w:bottom w:val="single" w:color="D7DCE3" w:sz="4"/>
              <w:right w:val="single" w:color="D7DCE3" w:sz="4"/>
            </w:tcBorders>
            <w:shd w:fill="0B2A4A" w:color="auto" w:val="clear"/>
            <w:tcMar>
              <w:top w:type="dxa" w:w="100"/>
              <w:left w:type="dxa" w:w="140"/>
              <w:bottom w:type="dxa" w:w="100"/>
              <w:right w:type="dxa" w:w="140"/>
            </w:tcMar>
          </w:tcPr>
          <w:p>
            <w:pPr>
              <w:jc w:val="left"/>
            </w:pPr>
            <w:r>
              <w:rPr>
                <w:rFonts w:ascii="Calibri" w:cs="Calibri" w:eastAsia="Calibri" w:hAnsi="Calibri"/>
                <w:b/>
                <w:bCs/>
                <w:color w:val="FFFFFF"/>
                <w:sz w:val="22"/>
                <w:szCs w:val="22"/>
              </w:rPr>
              <w:t xml:space="preserve">Terme</w:t>
            </w:r>
          </w:p>
        </w:tc>
        <w:tc>
          <w:tcPr>
            <w:tcW w:type="dxa" w:w="7160"/>
            <w:tcBorders>
              <w:top w:val="single" w:color="D7DCE3" w:sz="4"/>
              <w:left w:val="single" w:color="D7DCE3" w:sz="4"/>
              <w:bottom w:val="single" w:color="D7DCE3" w:sz="4"/>
              <w:right w:val="single" w:color="D7DCE3" w:sz="4"/>
            </w:tcBorders>
            <w:shd w:fill="0B2A4A" w:color="auto" w:val="clear"/>
            <w:tcMar>
              <w:top w:type="dxa" w:w="100"/>
              <w:left w:type="dxa" w:w="140"/>
              <w:bottom w:type="dxa" w:w="100"/>
              <w:right w:type="dxa" w:w="140"/>
            </w:tcMar>
          </w:tcPr>
          <w:p>
            <w:pPr>
              <w:jc w:val="left"/>
            </w:pPr>
            <w:r>
              <w:rPr>
                <w:rFonts w:ascii="Calibri" w:cs="Calibri" w:eastAsia="Calibri" w:hAnsi="Calibri"/>
                <w:b/>
                <w:bCs/>
                <w:color w:val="FFFFFF"/>
                <w:sz w:val="22"/>
                <w:szCs w:val="22"/>
              </w:rPr>
              <w:t xml:space="preserve">Définition</w:t>
            </w:r>
          </w:p>
        </w:tc>
      </w:tr>
      <w:tr>
        <w:tc>
          <w:tcPr>
            <w:tcW w:type="dxa" w:w="2200"/>
            <w:tcBorders>
              <w:top w:val="single" w:color="D7DCE3" w:sz="4"/>
              <w:left w:val="single" w:color="D7DCE3" w:sz="4"/>
              <w:bottom w:val="single" w:color="D7DCE3" w:sz="4"/>
              <w:right w:val="single" w:color="D7DCE3" w:sz="4"/>
            </w:tcBorders>
            <w:shd w:fill="FFFFFF" w:color="auto" w:val="clear"/>
            <w:tcMar>
              <w:top w:type="dxa" w:w="100"/>
              <w:left w:type="dxa" w:w="140"/>
              <w:bottom w:type="dxa" w:w="100"/>
              <w:right w:type="dxa" w:w="140"/>
            </w:tcMar>
          </w:tcPr>
          <w:p>
            <w:pPr>
              <w:jc w:val="left"/>
            </w:pPr>
            <w:r>
              <w:rPr>
                <w:rFonts w:ascii="Calibri" w:cs="Calibri" w:eastAsia="Calibri" w:hAnsi="Calibri"/>
                <w:b/>
                <w:bCs/>
                <w:sz w:val="20"/>
                <w:szCs w:val="20"/>
              </w:rPr>
              <w:t xml:space="preserve">CTI</w:t>
            </w:r>
          </w:p>
        </w:tc>
        <w:tc>
          <w:tcPr>
            <w:tcW w:type="dxa" w:w="7160"/>
            <w:tcBorders>
              <w:top w:val="single" w:color="D7DCE3" w:sz="4"/>
              <w:left w:val="single" w:color="D7DCE3" w:sz="4"/>
              <w:bottom w:val="single" w:color="D7DCE3" w:sz="4"/>
              <w:right w:val="single" w:color="D7DCE3" w:sz="4"/>
            </w:tcBorders>
            <w:shd w:fill="FFFFFF" w:color="auto" w:val="clear"/>
            <w:tcMar>
              <w:top w:type="dxa" w:w="100"/>
              <w:left w:type="dxa" w:w="140"/>
              <w:bottom w:type="dxa" w:w="100"/>
              <w:right w:type="dxa" w:w="140"/>
            </w:tcMar>
          </w:tcPr>
          <w:p>
            <w:pPr>
              <w:jc w:val="left"/>
            </w:pPr>
            <w:r>
              <w:rPr>
                <w:rFonts w:ascii="Calibri" w:cs="Calibri" w:eastAsia="Calibri" w:hAnsi="Calibri"/>
                <w:sz w:val="20"/>
                <w:szCs w:val="20"/>
              </w:rPr>
              <w:t xml:space="preserve">Cyber Threat Intelligence — renseignement sur les menaces informatiques.</w:t>
            </w:r>
          </w:p>
        </w:tc>
      </w:tr>
      <w:tr>
        <w:tc>
          <w:tcPr>
            <w:tcW w:type="dxa" w:w="2200"/>
            <w:tcBorders>
              <w:top w:val="single" w:color="D7DCE3" w:sz="4"/>
              <w:left w:val="single" w:color="D7DCE3" w:sz="4"/>
              <w:bottom w:val="single" w:color="D7DCE3" w:sz="4"/>
              <w:right w:val="single" w:color="D7DCE3" w:sz="4"/>
            </w:tcBorders>
            <w:shd w:fill="F4F6F9" w:color="auto" w:val="clear"/>
            <w:tcMar>
              <w:top w:type="dxa" w:w="100"/>
              <w:left w:type="dxa" w:w="140"/>
              <w:bottom w:type="dxa" w:w="100"/>
              <w:right w:type="dxa" w:w="140"/>
            </w:tcMar>
          </w:tcPr>
          <w:p>
            <w:pPr>
              <w:jc w:val="left"/>
            </w:pPr>
            <w:r>
              <w:rPr>
                <w:rFonts w:ascii="Calibri" w:cs="Calibri" w:eastAsia="Calibri" w:hAnsi="Calibri"/>
                <w:b/>
                <w:bCs/>
                <w:sz w:val="20"/>
                <w:szCs w:val="20"/>
              </w:rPr>
              <w:t xml:space="preserve">DLP</w:t>
            </w:r>
          </w:p>
        </w:tc>
        <w:tc>
          <w:tcPr>
            <w:tcW w:type="dxa" w:w="7160"/>
            <w:tcBorders>
              <w:top w:val="single" w:color="D7DCE3" w:sz="4"/>
              <w:left w:val="single" w:color="D7DCE3" w:sz="4"/>
              <w:bottom w:val="single" w:color="D7DCE3" w:sz="4"/>
              <w:right w:val="single" w:color="D7DCE3" w:sz="4"/>
            </w:tcBorders>
            <w:shd w:fill="F4F6F9" w:color="auto" w:val="clear"/>
            <w:tcMar>
              <w:top w:type="dxa" w:w="100"/>
              <w:left w:type="dxa" w:w="140"/>
              <w:bottom w:type="dxa" w:w="100"/>
              <w:right w:type="dxa" w:w="140"/>
            </w:tcMar>
          </w:tcPr>
          <w:p>
            <w:pPr>
              <w:jc w:val="left"/>
            </w:pPr>
            <w:r>
              <w:rPr>
                <w:rFonts w:ascii="Calibri" w:cs="Calibri" w:eastAsia="Calibri" w:hAnsi="Calibri"/>
                <w:sz w:val="20"/>
                <w:szCs w:val="20"/>
              </w:rPr>
              <w:t xml:space="preserve">Data Loss Prevention — prévention de la fuite de données.</w:t>
            </w:r>
          </w:p>
        </w:tc>
      </w:tr>
      <w:tr>
        <w:tc>
          <w:tcPr>
            <w:tcW w:type="dxa" w:w="2200"/>
            <w:tcBorders>
              <w:top w:val="single" w:color="D7DCE3" w:sz="4"/>
              <w:left w:val="single" w:color="D7DCE3" w:sz="4"/>
              <w:bottom w:val="single" w:color="D7DCE3" w:sz="4"/>
              <w:right w:val="single" w:color="D7DCE3" w:sz="4"/>
            </w:tcBorders>
            <w:shd w:fill="FFFFFF" w:color="auto" w:val="clear"/>
            <w:tcMar>
              <w:top w:type="dxa" w:w="100"/>
              <w:left w:type="dxa" w:w="140"/>
              <w:bottom w:type="dxa" w:w="100"/>
              <w:right w:type="dxa" w:w="140"/>
            </w:tcMar>
          </w:tcPr>
          <w:p>
            <w:pPr>
              <w:jc w:val="left"/>
            </w:pPr>
            <w:r>
              <w:rPr>
                <w:rFonts w:ascii="Calibri" w:cs="Calibri" w:eastAsia="Calibri" w:hAnsi="Calibri"/>
                <w:b/>
                <w:bCs/>
                <w:sz w:val="20"/>
                <w:szCs w:val="20"/>
              </w:rPr>
              <w:t xml:space="preserve">E2EE</w:t>
            </w:r>
          </w:p>
        </w:tc>
        <w:tc>
          <w:tcPr>
            <w:tcW w:type="dxa" w:w="7160"/>
            <w:tcBorders>
              <w:top w:val="single" w:color="D7DCE3" w:sz="4"/>
              <w:left w:val="single" w:color="D7DCE3" w:sz="4"/>
              <w:bottom w:val="single" w:color="D7DCE3" w:sz="4"/>
              <w:right w:val="single" w:color="D7DCE3" w:sz="4"/>
            </w:tcBorders>
            <w:shd w:fill="FFFFFF" w:color="auto" w:val="clear"/>
            <w:tcMar>
              <w:top w:type="dxa" w:w="100"/>
              <w:left w:type="dxa" w:w="140"/>
              <w:bottom w:type="dxa" w:w="100"/>
              <w:right w:type="dxa" w:w="140"/>
            </w:tcMar>
          </w:tcPr>
          <w:p>
            <w:pPr>
              <w:jc w:val="left"/>
            </w:pPr>
            <w:r>
              <w:rPr>
                <w:rFonts w:ascii="Calibri" w:cs="Calibri" w:eastAsia="Calibri" w:hAnsi="Calibri"/>
                <w:sz w:val="20"/>
                <w:szCs w:val="20"/>
              </w:rPr>
              <w:t xml:space="preserve">End-to-End Encryption — chiffrement de bout-en-bout.</w:t>
            </w:r>
          </w:p>
        </w:tc>
      </w:tr>
      <w:tr>
        <w:tc>
          <w:tcPr>
            <w:tcW w:type="dxa" w:w="2200"/>
            <w:tcBorders>
              <w:top w:val="single" w:color="D7DCE3" w:sz="4"/>
              <w:left w:val="single" w:color="D7DCE3" w:sz="4"/>
              <w:bottom w:val="single" w:color="D7DCE3" w:sz="4"/>
              <w:right w:val="single" w:color="D7DCE3" w:sz="4"/>
            </w:tcBorders>
            <w:shd w:fill="F4F6F9" w:color="auto" w:val="clear"/>
            <w:tcMar>
              <w:top w:type="dxa" w:w="100"/>
              <w:left w:type="dxa" w:w="140"/>
              <w:bottom w:type="dxa" w:w="100"/>
              <w:right w:type="dxa" w:w="140"/>
            </w:tcMar>
          </w:tcPr>
          <w:p>
            <w:pPr>
              <w:jc w:val="left"/>
            </w:pPr>
            <w:r>
              <w:rPr>
                <w:rFonts w:ascii="Calibri" w:cs="Calibri" w:eastAsia="Calibri" w:hAnsi="Calibri"/>
                <w:b/>
                <w:bCs/>
                <w:sz w:val="20"/>
                <w:szCs w:val="20"/>
              </w:rPr>
              <w:t xml:space="preserve">EDR</w:t>
            </w:r>
          </w:p>
        </w:tc>
        <w:tc>
          <w:tcPr>
            <w:tcW w:type="dxa" w:w="7160"/>
            <w:tcBorders>
              <w:top w:val="single" w:color="D7DCE3" w:sz="4"/>
              <w:left w:val="single" w:color="D7DCE3" w:sz="4"/>
              <w:bottom w:val="single" w:color="D7DCE3" w:sz="4"/>
              <w:right w:val="single" w:color="D7DCE3" w:sz="4"/>
            </w:tcBorders>
            <w:shd w:fill="F4F6F9" w:color="auto" w:val="clear"/>
            <w:tcMar>
              <w:top w:type="dxa" w:w="100"/>
              <w:left w:type="dxa" w:w="140"/>
              <w:bottom w:type="dxa" w:w="100"/>
              <w:right w:type="dxa" w:w="140"/>
            </w:tcMar>
          </w:tcPr>
          <w:p>
            <w:pPr>
              <w:jc w:val="left"/>
            </w:pPr>
            <w:r>
              <w:rPr>
                <w:rFonts w:ascii="Calibri" w:cs="Calibri" w:eastAsia="Calibri" w:hAnsi="Calibri"/>
                <w:sz w:val="20"/>
                <w:szCs w:val="20"/>
              </w:rPr>
              <w:t xml:space="preserve">Endpoint Detection and Response — détection et réponse sur les postes.</w:t>
            </w:r>
          </w:p>
        </w:tc>
      </w:tr>
      <w:tr>
        <w:tc>
          <w:tcPr>
            <w:tcW w:type="dxa" w:w="2200"/>
            <w:tcBorders>
              <w:top w:val="single" w:color="D7DCE3" w:sz="4"/>
              <w:left w:val="single" w:color="D7DCE3" w:sz="4"/>
              <w:bottom w:val="single" w:color="D7DCE3" w:sz="4"/>
              <w:right w:val="single" w:color="D7DCE3" w:sz="4"/>
            </w:tcBorders>
            <w:shd w:fill="FFFFFF" w:color="auto" w:val="clear"/>
            <w:tcMar>
              <w:top w:type="dxa" w:w="100"/>
              <w:left w:type="dxa" w:w="140"/>
              <w:bottom w:type="dxa" w:w="100"/>
              <w:right w:type="dxa" w:w="140"/>
            </w:tcMar>
          </w:tcPr>
          <w:p>
            <w:pPr>
              <w:jc w:val="left"/>
            </w:pPr>
            <w:r>
              <w:rPr>
                <w:rFonts w:ascii="Calibri" w:cs="Calibri" w:eastAsia="Calibri" w:hAnsi="Calibri"/>
                <w:b/>
                <w:bCs/>
                <w:sz w:val="20"/>
                <w:szCs w:val="20"/>
              </w:rPr>
              <w:t xml:space="preserve">FIDO2</w:t>
            </w:r>
          </w:p>
        </w:tc>
        <w:tc>
          <w:tcPr>
            <w:tcW w:type="dxa" w:w="7160"/>
            <w:tcBorders>
              <w:top w:val="single" w:color="D7DCE3" w:sz="4"/>
              <w:left w:val="single" w:color="D7DCE3" w:sz="4"/>
              <w:bottom w:val="single" w:color="D7DCE3" w:sz="4"/>
              <w:right w:val="single" w:color="D7DCE3" w:sz="4"/>
            </w:tcBorders>
            <w:shd w:fill="FFFFFF" w:color="auto" w:val="clear"/>
            <w:tcMar>
              <w:top w:type="dxa" w:w="100"/>
              <w:left w:type="dxa" w:w="140"/>
              <w:bottom w:type="dxa" w:w="100"/>
              <w:right w:type="dxa" w:w="140"/>
            </w:tcMar>
          </w:tcPr>
          <w:p>
            <w:pPr>
              <w:jc w:val="left"/>
            </w:pPr>
            <w:r>
              <w:rPr>
                <w:rFonts w:ascii="Calibri" w:cs="Calibri" w:eastAsia="Calibri" w:hAnsi="Calibri"/>
                <w:sz w:val="20"/>
                <w:szCs w:val="20"/>
              </w:rPr>
              <w:t xml:space="preserve">Norme de clés d’authentification matérielle (ex. YubiKey).</w:t>
            </w:r>
          </w:p>
        </w:tc>
      </w:tr>
      <w:tr>
        <w:tc>
          <w:tcPr>
            <w:tcW w:type="dxa" w:w="2200"/>
            <w:tcBorders>
              <w:top w:val="single" w:color="D7DCE3" w:sz="4"/>
              <w:left w:val="single" w:color="D7DCE3" w:sz="4"/>
              <w:bottom w:val="single" w:color="D7DCE3" w:sz="4"/>
              <w:right w:val="single" w:color="D7DCE3" w:sz="4"/>
            </w:tcBorders>
            <w:shd w:fill="F4F6F9" w:color="auto" w:val="clear"/>
            <w:tcMar>
              <w:top w:type="dxa" w:w="100"/>
              <w:left w:type="dxa" w:w="140"/>
              <w:bottom w:type="dxa" w:w="100"/>
              <w:right w:type="dxa" w:w="140"/>
            </w:tcMar>
          </w:tcPr>
          <w:p>
            <w:pPr>
              <w:jc w:val="left"/>
            </w:pPr>
            <w:r>
              <w:rPr>
                <w:rFonts w:ascii="Calibri" w:cs="Calibri" w:eastAsia="Calibri" w:hAnsi="Calibri"/>
                <w:b/>
                <w:bCs/>
                <w:sz w:val="20"/>
                <w:szCs w:val="20"/>
              </w:rPr>
              <w:t xml:space="preserve">HSM</w:t>
            </w:r>
          </w:p>
        </w:tc>
        <w:tc>
          <w:tcPr>
            <w:tcW w:type="dxa" w:w="7160"/>
            <w:tcBorders>
              <w:top w:val="single" w:color="D7DCE3" w:sz="4"/>
              <w:left w:val="single" w:color="D7DCE3" w:sz="4"/>
              <w:bottom w:val="single" w:color="D7DCE3" w:sz="4"/>
              <w:right w:val="single" w:color="D7DCE3" w:sz="4"/>
            </w:tcBorders>
            <w:shd w:fill="F4F6F9" w:color="auto" w:val="clear"/>
            <w:tcMar>
              <w:top w:type="dxa" w:w="100"/>
              <w:left w:type="dxa" w:w="140"/>
              <w:bottom w:type="dxa" w:w="100"/>
              <w:right w:type="dxa" w:w="140"/>
            </w:tcMar>
          </w:tcPr>
          <w:p>
            <w:pPr>
              <w:jc w:val="left"/>
            </w:pPr>
            <w:r>
              <w:rPr>
                <w:rFonts w:ascii="Calibri" w:cs="Calibri" w:eastAsia="Calibri" w:hAnsi="Calibri"/>
                <w:sz w:val="20"/>
                <w:szCs w:val="20"/>
              </w:rPr>
              <w:t xml:space="preserve">Hardware Security Module — module matériel de sécurité pour les clés cryptographiques.</w:t>
            </w:r>
          </w:p>
        </w:tc>
      </w:tr>
      <w:tr>
        <w:tc>
          <w:tcPr>
            <w:tcW w:type="dxa" w:w="2200"/>
            <w:tcBorders>
              <w:top w:val="single" w:color="D7DCE3" w:sz="4"/>
              <w:left w:val="single" w:color="D7DCE3" w:sz="4"/>
              <w:bottom w:val="single" w:color="D7DCE3" w:sz="4"/>
              <w:right w:val="single" w:color="D7DCE3" w:sz="4"/>
            </w:tcBorders>
            <w:shd w:fill="FFFFFF" w:color="auto" w:val="clear"/>
            <w:tcMar>
              <w:top w:type="dxa" w:w="100"/>
              <w:left w:type="dxa" w:w="140"/>
              <w:bottom w:type="dxa" w:w="100"/>
              <w:right w:type="dxa" w:w="140"/>
            </w:tcMar>
          </w:tcPr>
          <w:p>
            <w:pPr>
              <w:jc w:val="left"/>
            </w:pPr>
            <w:r>
              <w:rPr>
                <w:rFonts w:ascii="Calibri" w:cs="Calibri" w:eastAsia="Calibri" w:hAnsi="Calibri"/>
                <w:b/>
                <w:bCs/>
                <w:sz w:val="20"/>
                <w:szCs w:val="20"/>
              </w:rPr>
              <w:t xml:space="preserve">IoC</w:t>
            </w:r>
          </w:p>
        </w:tc>
        <w:tc>
          <w:tcPr>
            <w:tcW w:type="dxa" w:w="7160"/>
            <w:tcBorders>
              <w:top w:val="single" w:color="D7DCE3" w:sz="4"/>
              <w:left w:val="single" w:color="D7DCE3" w:sz="4"/>
              <w:bottom w:val="single" w:color="D7DCE3" w:sz="4"/>
              <w:right w:val="single" w:color="D7DCE3" w:sz="4"/>
            </w:tcBorders>
            <w:shd w:fill="FFFFFF" w:color="auto" w:val="clear"/>
            <w:tcMar>
              <w:top w:type="dxa" w:w="100"/>
              <w:left w:type="dxa" w:w="140"/>
              <w:bottom w:type="dxa" w:w="100"/>
              <w:right w:type="dxa" w:w="140"/>
            </w:tcMar>
          </w:tcPr>
          <w:p>
            <w:pPr>
              <w:jc w:val="left"/>
            </w:pPr>
            <w:r>
              <w:rPr>
                <w:rFonts w:ascii="Calibri" w:cs="Calibri" w:eastAsia="Calibri" w:hAnsi="Calibri"/>
                <w:sz w:val="20"/>
                <w:szCs w:val="20"/>
              </w:rPr>
              <w:t xml:space="preserve">Indicators of Compromise — indicateurs techniques de compromission.</w:t>
            </w:r>
          </w:p>
        </w:tc>
      </w:tr>
      <w:tr>
        <w:tc>
          <w:tcPr>
            <w:tcW w:type="dxa" w:w="2200"/>
            <w:tcBorders>
              <w:top w:val="single" w:color="D7DCE3" w:sz="4"/>
              <w:left w:val="single" w:color="D7DCE3" w:sz="4"/>
              <w:bottom w:val="single" w:color="D7DCE3" w:sz="4"/>
              <w:right w:val="single" w:color="D7DCE3" w:sz="4"/>
            </w:tcBorders>
            <w:shd w:fill="F4F6F9" w:color="auto" w:val="clear"/>
            <w:tcMar>
              <w:top w:type="dxa" w:w="100"/>
              <w:left w:type="dxa" w:w="140"/>
              <w:bottom w:type="dxa" w:w="100"/>
              <w:right w:type="dxa" w:w="140"/>
            </w:tcMar>
          </w:tcPr>
          <w:p>
            <w:pPr>
              <w:jc w:val="left"/>
            </w:pPr>
            <w:r>
              <w:rPr>
                <w:rFonts w:ascii="Calibri" w:cs="Calibri" w:eastAsia="Calibri" w:hAnsi="Calibri"/>
                <w:b/>
                <w:bCs/>
                <w:sz w:val="20"/>
                <w:szCs w:val="20"/>
              </w:rPr>
              <w:t xml:space="preserve">MDM</w:t>
            </w:r>
          </w:p>
        </w:tc>
        <w:tc>
          <w:tcPr>
            <w:tcW w:type="dxa" w:w="7160"/>
            <w:tcBorders>
              <w:top w:val="single" w:color="D7DCE3" w:sz="4"/>
              <w:left w:val="single" w:color="D7DCE3" w:sz="4"/>
              <w:bottom w:val="single" w:color="D7DCE3" w:sz="4"/>
              <w:right w:val="single" w:color="D7DCE3" w:sz="4"/>
            </w:tcBorders>
            <w:shd w:fill="F4F6F9" w:color="auto" w:val="clear"/>
            <w:tcMar>
              <w:top w:type="dxa" w:w="100"/>
              <w:left w:type="dxa" w:w="140"/>
              <w:bottom w:type="dxa" w:w="100"/>
              <w:right w:type="dxa" w:w="140"/>
            </w:tcMar>
          </w:tcPr>
          <w:p>
            <w:pPr>
              <w:jc w:val="left"/>
            </w:pPr>
            <w:r>
              <w:rPr>
                <w:rFonts w:ascii="Calibri" w:cs="Calibri" w:eastAsia="Calibri" w:hAnsi="Calibri"/>
                <w:sz w:val="20"/>
                <w:szCs w:val="20"/>
              </w:rPr>
              <w:t xml:space="preserve">Mobile Device Management — gestion centralisée des terminaux.</w:t>
            </w:r>
          </w:p>
        </w:tc>
      </w:tr>
      <w:tr>
        <w:tc>
          <w:tcPr>
            <w:tcW w:type="dxa" w:w="2200"/>
            <w:tcBorders>
              <w:top w:val="single" w:color="D7DCE3" w:sz="4"/>
              <w:left w:val="single" w:color="D7DCE3" w:sz="4"/>
              <w:bottom w:val="single" w:color="D7DCE3" w:sz="4"/>
              <w:right w:val="single" w:color="D7DCE3" w:sz="4"/>
            </w:tcBorders>
            <w:shd w:fill="FFFFFF" w:color="auto" w:val="clear"/>
            <w:tcMar>
              <w:top w:type="dxa" w:w="100"/>
              <w:left w:type="dxa" w:w="140"/>
              <w:bottom w:type="dxa" w:w="100"/>
              <w:right w:type="dxa" w:w="140"/>
            </w:tcMar>
          </w:tcPr>
          <w:p>
            <w:pPr>
              <w:jc w:val="left"/>
            </w:pPr>
            <w:r>
              <w:rPr>
                <w:rFonts w:ascii="Calibri" w:cs="Calibri" w:eastAsia="Calibri" w:hAnsi="Calibri"/>
                <w:b/>
                <w:bCs/>
                <w:sz w:val="20"/>
                <w:szCs w:val="20"/>
              </w:rPr>
              <w:t xml:space="preserve">OPSEC</w:t>
            </w:r>
          </w:p>
        </w:tc>
        <w:tc>
          <w:tcPr>
            <w:tcW w:type="dxa" w:w="7160"/>
            <w:tcBorders>
              <w:top w:val="single" w:color="D7DCE3" w:sz="4"/>
              <w:left w:val="single" w:color="D7DCE3" w:sz="4"/>
              <w:bottom w:val="single" w:color="D7DCE3" w:sz="4"/>
              <w:right w:val="single" w:color="D7DCE3" w:sz="4"/>
            </w:tcBorders>
            <w:shd w:fill="FFFFFF" w:color="auto" w:val="clear"/>
            <w:tcMar>
              <w:top w:type="dxa" w:w="100"/>
              <w:left w:type="dxa" w:w="140"/>
              <w:bottom w:type="dxa" w:w="100"/>
              <w:right w:type="dxa" w:w="140"/>
            </w:tcMar>
          </w:tcPr>
          <w:p>
            <w:pPr>
              <w:jc w:val="left"/>
            </w:pPr>
            <w:r>
              <w:rPr>
                <w:rFonts w:ascii="Calibri" w:cs="Calibri" w:eastAsia="Calibri" w:hAnsi="Calibri"/>
                <w:sz w:val="20"/>
                <w:szCs w:val="20"/>
              </w:rPr>
              <w:t xml:space="preserve">Operations Security — ensemble de pratiques visant à protéger les opérations sensibles.</w:t>
            </w:r>
          </w:p>
        </w:tc>
      </w:tr>
      <w:tr>
        <w:tc>
          <w:tcPr>
            <w:tcW w:type="dxa" w:w="2200"/>
            <w:tcBorders>
              <w:top w:val="single" w:color="D7DCE3" w:sz="4"/>
              <w:left w:val="single" w:color="D7DCE3" w:sz="4"/>
              <w:bottom w:val="single" w:color="D7DCE3" w:sz="4"/>
              <w:right w:val="single" w:color="D7DCE3" w:sz="4"/>
            </w:tcBorders>
            <w:shd w:fill="F4F6F9" w:color="auto" w:val="clear"/>
            <w:tcMar>
              <w:top w:type="dxa" w:w="100"/>
              <w:left w:type="dxa" w:w="140"/>
              <w:bottom w:type="dxa" w:w="100"/>
              <w:right w:type="dxa" w:w="140"/>
            </w:tcMar>
          </w:tcPr>
          <w:p>
            <w:pPr>
              <w:jc w:val="left"/>
            </w:pPr>
            <w:r>
              <w:rPr>
                <w:rFonts w:ascii="Calibri" w:cs="Calibri" w:eastAsia="Calibri" w:hAnsi="Calibri"/>
                <w:b/>
                <w:bCs/>
                <w:sz w:val="20"/>
                <w:szCs w:val="20"/>
              </w:rPr>
              <w:t xml:space="preserve">OSINT</w:t>
            </w:r>
          </w:p>
        </w:tc>
        <w:tc>
          <w:tcPr>
            <w:tcW w:type="dxa" w:w="7160"/>
            <w:tcBorders>
              <w:top w:val="single" w:color="D7DCE3" w:sz="4"/>
              <w:left w:val="single" w:color="D7DCE3" w:sz="4"/>
              <w:bottom w:val="single" w:color="D7DCE3" w:sz="4"/>
              <w:right w:val="single" w:color="D7DCE3" w:sz="4"/>
            </w:tcBorders>
            <w:shd w:fill="F4F6F9" w:color="auto" w:val="clear"/>
            <w:tcMar>
              <w:top w:type="dxa" w:w="100"/>
              <w:left w:type="dxa" w:w="140"/>
              <w:bottom w:type="dxa" w:w="100"/>
              <w:right w:type="dxa" w:w="140"/>
            </w:tcMar>
          </w:tcPr>
          <w:p>
            <w:pPr>
              <w:jc w:val="left"/>
            </w:pPr>
            <w:r>
              <w:rPr>
                <w:rFonts w:ascii="Calibri" w:cs="Calibri" w:eastAsia="Calibri" w:hAnsi="Calibri"/>
                <w:sz w:val="20"/>
                <w:szCs w:val="20"/>
              </w:rPr>
              <w:t xml:space="preserve">Open Source Intelligence — renseignement en sources ouvertes.</w:t>
            </w:r>
          </w:p>
        </w:tc>
      </w:tr>
      <w:tr>
        <w:tc>
          <w:tcPr>
            <w:tcW w:type="dxa" w:w="2200"/>
            <w:tcBorders>
              <w:top w:val="single" w:color="D7DCE3" w:sz="4"/>
              <w:left w:val="single" w:color="D7DCE3" w:sz="4"/>
              <w:bottom w:val="single" w:color="D7DCE3" w:sz="4"/>
              <w:right w:val="single" w:color="D7DCE3" w:sz="4"/>
            </w:tcBorders>
            <w:shd w:fill="FFFFFF" w:color="auto" w:val="clear"/>
            <w:tcMar>
              <w:top w:type="dxa" w:w="100"/>
              <w:left w:type="dxa" w:w="140"/>
              <w:bottom w:type="dxa" w:w="100"/>
              <w:right w:type="dxa" w:w="140"/>
            </w:tcMar>
          </w:tcPr>
          <w:p>
            <w:pPr>
              <w:jc w:val="left"/>
            </w:pPr>
            <w:r>
              <w:rPr>
                <w:rFonts w:ascii="Calibri" w:cs="Calibri" w:eastAsia="Calibri" w:hAnsi="Calibri"/>
                <w:b/>
                <w:bCs/>
                <w:sz w:val="20"/>
                <w:szCs w:val="20"/>
              </w:rPr>
              <w:t xml:space="preserve">PCA / PRA</w:t>
            </w:r>
          </w:p>
        </w:tc>
        <w:tc>
          <w:tcPr>
            <w:tcW w:type="dxa" w:w="7160"/>
            <w:tcBorders>
              <w:top w:val="single" w:color="D7DCE3" w:sz="4"/>
              <w:left w:val="single" w:color="D7DCE3" w:sz="4"/>
              <w:bottom w:val="single" w:color="D7DCE3" w:sz="4"/>
              <w:right w:val="single" w:color="D7DCE3" w:sz="4"/>
            </w:tcBorders>
            <w:shd w:fill="FFFFFF" w:color="auto" w:val="clear"/>
            <w:tcMar>
              <w:top w:type="dxa" w:w="100"/>
              <w:left w:type="dxa" w:w="140"/>
              <w:bottom w:type="dxa" w:w="100"/>
              <w:right w:type="dxa" w:w="140"/>
            </w:tcMar>
          </w:tcPr>
          <w:p>
            <w:pPr>
              <w:jc w:val="left"/>
            </w:pPr>
            <w:r>
              <w:rPr>
                <w:rFonts w:ascii="Calibri" w:cs="Calibri" w:eastAsia="Calibri" w:hAnsi="Calibri"/>
                <w:sz w:val="20"/>
                <w:szCs w:val="20"/>
              </w:rPr>
              <w:t xml:space="preserve">Plan de Continuité / Reprise d’Activité.</w:t>
            </w:r>
          </w:p>
        </w:tc>
      </w:tr>
      <w:tr>
        <w:tc>
          <w:tcPr>
            <w:tcW w:type="dxa" w:w="2200"/>
            <w:tcBorders>
              <w:top w:val="single" w:color="D7DCE3" w:sz="4"/>
              <w:left w:val="single" w:color="D7DCE3" w:sz="4"/>
              <w:bottom w:val="single" w:color="D7DCE3" w:sz="4"/>
              <w:right w:val="single" w:color="D7DCE3" w:sz="4"/>
            </w:tcBorders>
            <w:shd w:fill="F4F6F9" w:color="auto" w:val="clear"/>
            <w:tcMar>
              <w:top w:type="dxa" w:w="100"/>
              <w:left w:type="dxa" w:w="140"/>
              <w:bottom w:type="dxa" w:w="100"/>
              <w:right w:type="dxa" w:w="140"/>
            </w:tcMar>
          </w:tcPr>
          <w:p>
            <w:pPr>
              <w:jc w:val="left"/>
            </w:pPr>
            <w:r>
              <w:rPr>
                <w:rFonts w:ascii="Calibri" w:cs="Calibri" w:eastAsia="Calibri" w:hAnsi="Calibri"/>
                <w:b/>
                <w:bCs/>
                <w:sz w:val="20"/>
                <w:szCs w:val="20"/>
              </w:rPr>
              <w:t xml:space="preserve">SIEM</w:t>
            </w:r>
          </w:p>
        </w:tc>
        <w:tc>
          <w:tcPr>
            <w:tcW w:type="dxa" w:w="7160"/>
            <w:tcBorders>
              <w:top w:val="single" w:color="D7DCE3" w:sz="4"/>
              <w:left w:val="single" w:color="D7DCE3" w:sz="4"/>
              <w:bottom w:val="single" w:color="D7DCE3" w:sz="4"/>
              <w:right w:val="single" w:color="D7DCE3" w:sz="4"/>
            </w:tcBorders>
            <w:shd w:fill="F4F6F9" w:color="auto" w:val="clear"/>
            <w:tcMar>
              <w:top w:type="dxa" w:w="100"/>
              <w:left w:type="dxa" w:w="140"/>
              <w:bottom w:type="dxa" w:w="100"/>
              <w:right w:type="dxa" w:w="140"/>
            </w:tcMar>
          </w:tcPr>
          <w:p>
            <w:pPr>
              <w:jc w:val="left"/>
            </w:pPr>
            <w:r>
              <w:rPr>
                <w:rFonts w:ascii="Calibri" w:cs="Calibri" w:eastAsia="Calibri" w:hAnsi="Calibri"/>
                <w:sz w:val="20"/>
                <w:szCs w:val="20"/>
              </w:rPr>
              <w:t xml:space="preserve">Security Information and Event Management — gestion centralisée des événements de sécurité.</w:t>
            </w:r>
          </w:p>
        </w:tc>
      </w:tr>
      <w:tr>
        <w:tc>
          <w:tcPr>
            <w:tcW w:type="dxa" w:w="2200"/>
            <w:tcBorders>
              <w:top w:val="single" w:color="D7DCE3" w:sz="4"/>
              <w:left w:val="single" w:color="D7DCE3" w:sz="4"/>
              <w:bottom w:val="single" w:color="D7DCE3" w:sz="4"/>
              <w:right w:val="single" w:color="D7DCE3" w:sz="4"/>
            </w:tcBorders>
            <w:shd w:fill="FFFFFF" w:color="auto" w:val="clear"/>
            <w:tcMar>
              <w:top w:type="dxa" w:w="100"/>
              <w:left w:type="dxa" w:w="140"/>
              <w:bottom w:type="dxa" w:w="100"/>
              <w:right w:type="dxa" w:w="140"/>
            </w:tcMar>
          </w:tcPr>
          <w:p>
            <w:pPr>
              <w:jc w:val="left"/>
            </w:pPr>
            <w:r>
              <w:rPr>
                <w:rFonts w:ascii="Calibri" w:cs="Calibri" w:eastAsia="Calibri" w:hAnsi="Calibri"/>
                <w:b/>
                <w:bCs/>
                <w:sz w:val="20"/>
                <w:szCs w:val="20"/>
              </w:rPr>
              <w:t xml:space="preserve">SOCMINT</w:t>
            </w:r>
          </w:p>
        </w:tc>
        <w:tc>
          <w:tcPr>
            <w:tcW w:type="dxa" w:w="7160"/>
            <w:tcBorders>
              <w:top w:val="single" w:color="D7DCE3" w:sz="4"/>
              <w:left w:val="single" w:color="D7DCE3" w:sz="4"/>
              <w:bottom w:val="single" w:color="D7DCE3" w:sz="4"/>
              <w:right w:val="single" w:color="D7DCE3" w:sz="4"/>
            </w:tcBorders>
            <w:shd w:fill="FFFFFF" w:color="auto" w:val="clear"/>
            <w:tcMar>
              <w:top w:type="dxa" w:w="100"/>
              <w:left w:type="dxa" w:w="140"/>
              <w:bottom w:type="dxa" w:w="100"/>
              <w:right w:type="dxa" w:w="140"/>
            </w:tcMar>
          </w:tcPr>
          <w:p>
            <w:pPr>
              <w:jc w:val="left"/>
            </w:pPr>
            <w:r>
              <w:rPr>
                <w:rFonts w:ascii="Calibri" w:cs="Calibri" w:eastAsia="Calibri" w:hAnsi="Calibri"/>
                <w:sz w:val="20"/>
                <w:szCs w:val="20"/>
              </w:rPr>
              <w:t xml:space="preserve">Social Media Intelligence — renseignement issu des réseaux sociaux.</w:t>
            </w:r>
          </w:p>
        </w:tc>
      </w:tr>
    </w:tbl>
    <w:p>
      <w:pPr>
        <w:pStyle w:val="Heading1"/>
        <w:spacing w:after="120" w:before="360"/>
      </w:pPr>
      <w:r>
        <w:rPr>
          <w:rFonts w:ascii="Calibri" w:cs="Calibri" w:eastAsia="Calibri" w:hAnsi="Calibri"/>
          <w:b/>
          <w:bCs/>
          <w:color w:val="0B2A4A"/>
        </w:rPr>
        <w:t xml:space="preserve">Annexe B — Check-list de sécurité pour le détenteur d’un terminal sensible</w:t>
      </w:r>
    </w:p>
    <w:p>
      <w:pPr>
        <w:pStyle w:val="ListParagraph"/>
        <w:numPr>
          <w:ilvl w:val="0"/>
          <w:numId w:val="2"/>
        </w:numPr>
        <w:spacing w:after="40" w:before="40" w:line="280"/>
      </w:pPr>
      <w:r>
        <w:rPr>
          <w:rFonts w:ascii="Calibri" w:cs="Calibri" w:eastAsia="Calibri" w:hAnsi="Calibri"/>
          <w:sz w:val="22"/>
          <w:szCs w:val="22"/>
        </w:rPr>
        <w:t xml:space="preserve">Conserver le terminal physiquement en sa possession en toutes circonstances.</w:t>
      </w:r>
    </w:p>
    <w:p>
      <w:pPr>
        <w:pStyle w:val="ListParagraph"/>
        <w:numPr>
          <w:ilvl w:val="0"/>
          <w:numId w:val="2"/>
        </w:numPr>
        <w:spacing w:after="40" w:before="40" w:line="280"/>
      </w:pPr>
      <w:r>
        <w:rPr>
          <w:rFonts w:ascii="Calibri" w:cs="Calibri" w:eastAsia="Calibri" w:hAnsi="Calibri"/>
          <w:sz w:val="22"/>
          <w:szCs w:val="22"/>
        </w:rPr>
        <w:t xml:space="preserve">Ne jamais connecter le terminal à un réseau Wi-Fi inconnu ou public sans VPN validé.</w:t>
      </w:r>
    </w:p>
    <w:p>
      <w:pPr>
        <w:pStyle w:val="ListParagraph"/>
        <w:numPr>
          <w:ilvl w:val="0"/>
          <w:numId w:val="2"/>
        </w:numPr>
        <w:spacing w:after="40" w:before="40" w:line="280"/>
      </w:pPr>
      <w:r>
        <w:rPr>
          <w:rFonts w:ascii="Calibri" w:cs="Calibri" w:eastAsia="Calibri" w:hAnsi="Calibri"/>
          <w:sz w:val="22"/>
          <w:szCs w:val="22"/>
        </w:rPr>
        <w:t xml:space="preserve">Ne jamais brancher le terminal sur un ordinateur tiers, ni accepter de câble offert par un tiers.</w:t>
      </w:r>
    </w:p>
    <w:p>
      <w:pPr>
        <w:pStyle w:val="ListParagraph"/>
        <w:numPr>
          <w:ilvl w:val="0"/>
          <w:numId w:val="2"/>
        </w:numPr>
        <w:spacing w:after="40" w:before="40" w:line="280"/>
      </w:pPr>
      <w:r>
        <w:rPr>
          <w:rFonts w:ascii="Calibri" w:cs="Calibri" w:eastAsia="Calibri" w:hAnsi="Calibri"/>
          <w:sz w:val="22"/>
          <w:szCs w:val="22"/>
        </w:rPr>
        <w:t xml:space="preserve">Activer la double authentification matérielle (clé FIDO2) pour tout compte sensible.</w:t>
      </w:r>
    </w:p>
    <w:p>
      <w:pPr>
        <w:pStyle w:val="ListParagraph"/>
        <w:numPr>
          <w:ilvl w:val="0"/>
          <w:numId w:val="2"/>
        </w:numPr>
        <w:spacing w:after="40" w:before="40" w:line="280"/>
      </w:pPr>
      <w:r>
        <w:rPr>
          <w:rFonts w:ascii="Calibri" w:cs="Calibri" w:eastAsia="Calibri" w:hAnsi="Calibri"/>
          <w:sz w:val="22"/>
          <w:szCs w:val="22"/>
        </w:rPr>
        <w:t xml:space="preserve">Signaler immédiatement toute perte, tentative de vol, ou comportement anormal du terminal.</w:t>
      </w:r>
    </w:p>
    <w:p>
      <w:pPr>
        <w:pStyle w:val="ListParagraph"/>
        <w:numPr>
          <w:ilvl w:val="0"/>
          <w:numId w:val="2"/>
        </w:numPr>
        <w:spacing w:after="40" w:before="40" w:line="280"/>
      </w:pPr>
      <w:r>
        <w:rPr>
          <w:rFonts w:ascii="Calibri" w:cs="Calibri" w:eastAsia="Calibri" w:hAnsi="Calibri"/>
          <w:sz w:val="22"/>
          <w:szCs w:val="22"/>
        </w:rPr>
        <w:t xml:space="preserve">Désactiver la prévisualisation des messages sur l’écran verrouillé.</w:t>
      </w:r>
    </w:p>
    <w:p>
      <w:pPr>
        <w:pStyle w:val="ListParagraph"/>
        <w:numPr>
          <w:ilvl w:val="0"/>
          <w:numId w:val="2"/>
        </w:numPr>
        <w:spacing w:after="40" w:before="40" w:line="280"/>
      </w:pPr>
      <w:r>
        <w:rPr>
          <w:rFonts w:ascii="Calibri" w:cs="Calibri" w:eastAsia="Calibri" w:hAnsi="Calibri"/>
          <w:sz w:val="22"/>
          <w:szCs w:val="22"/>
        </w:rPr>
        <w:t xml:space="preserve">Lors des déplacements internationaux, laisser les appareils sensibles et utiliser des terminaux « de voyage ».</w:t>
      </w:r>
    </w:p>
    <w:p>
      <w:pPr>
        <w:pStyle w:val="ListParagraph"/>
        <w:numPr>
          <w:ilvl w:val="0"/>
          <w:numId w:val="2"/>
        </w:numPr>
        <w:spacing w:after="40" w:before="40" w:line="280"/>
      </w:pPr>
      <w:r>
        <w:rPr>
          <w:rFonts w:ascii="Calibri" w:cs="Calibri" w:eastAsia="Calibri" w:hAnsi="Calibri"/>
          <w:sz w:val="22"/>
          <w:szCs w:val="22"/>
        </w:rPr>
        <w:t xml:space="preserve">Renouveler le code de déverrouillage tous les 90 jours ; ne jamais le communiquer.</w:t>
      </w:r>
    </w:p>
    <w:p>
      <w:pPr>
        <w:pStyle w:val="ListParagraph"/>
        <w:numPr>
          <w:ilvl w:val="0"/>
          <w:numId w:val="2"/>
        </w:numPr>
        <w:spacing w:after="40" w:before="40" w:line="280"/>
      </w:pPr>
      <w:r>
        <w:rPr>
          <w:rFonts w:ascii="Calibri" w:cs="Calibri" w:eastAsia="Calibri" w:hAnsi="Calibri"/>
          <w:sz w:val="22"/>
          <w:szCs w:val="22"/>
        </w:rPr>
        <w:t xml:space="preserve">Avant toute réunion sensible, vérifier que les messageries tierces sont désactivées.</w:t>
      </w:r>
    </w:p>
    <w:p>
      <w:pPr>
        <w:pStyle w:val="ListParagraph"/>
        <w:numPr>
          <w:ilvl w:val="0"/>
          <w:numId w:val="2"/>
        </w:numPr>
        <w:spacing w:after="40" w:before="40" w:line="280"/>
      </w:pPr>
      <w:r>
        <w:rPr>
          <w:rFonts w:ascii="Calibri" w:cs="Calibri" w:eastAsia="Calibri" w:hAnsi="Calibri"/>
          <w:sz w:val="22"/>
          <w:szCs w:val="22"/>
        </w:rPr>
        <w:t xml:space="preserve">Accepter que le terminal soit soumis à des contrôles techniques périodiques.</w:t>
      </w:r>
    </w:p>
    <w:p>
      <w:pPr>
        <w:pStyle w:val="Heading1"/>
        <w:spacing w:after="120" w:before="360"/>
      </w:pPr>
      <w:r>
        <w:rPr>
          <w:rFonts w:ascii="Calibri" w:cs="Calibri" w:eastAsia="Calibri" w:hAnsi="Calibri"/>
          <w:b/>
          <w:bCs/>
          <w:color w:val="0B2A4A"/>
        </w:rPr>
        <w:t xml:space="preserve">Annexe C — Points de décision soumis à l’autorité</w:t>
      </w:r>
    </w:p>
    <w:p>
      <w:pPr>
        <w:pStyle w:val="ListParagraph"/>
        <w:numPr>
          <w:ilvl w:val="0"/>
          <w:numId w:val="3"/>
        </w:numPr>
        <w:spacing w:after="40" w:before="40" w:line="280"/>
      </w:pPr>
      <w:r>
        <w:rPr>
          <w:rFonts w:ascii="Calibri" w:cs="Calibri" w:eastAsia="Calibri" w:hAnsi="Calibri"/>
          <w:sz w:val="22"/>
          <w:szCs w:val="22"/>
        </w:rPr>
        <w:t xml:space="preserve">Validation du périmètre des utilisateurs habilités (première liste nominative).</w:t>
      </w:r>
    </w:p>
    <w:p>
      <w:pPr>
        <w:pStyle w:val="ListParagraph"/>
        <w:numPr>
          <w:ilvl w:val="0"/>
          <w:numId w:val="3"/>
        </w:numPr>
        <w:spacing w:after="40" w:before="40" w:line="280"/>
      </w:pPr>
      <w:r>
        <w:rPr>
          <w:rFonts w:ascii="Calibri" w:cs="Calibri" w:eastAsia="Calibri" w:hAnsi="Calibri"/>
          <w:sz w:val="22"/>
          <w:szCs w:val="22"/>
        </w:rPr>
        <w:t xml:space="preserve">Arbitrage sur le niveau de souveraineté cible (déploiement Matrix interne dès la phase 2 ou à partir de la phase 3).</w:t>
      </w:r>
    </w:p>
    <w:p>
      <w:pPr>
        <w:pStyle w:val="ListParagraph"/>
        <w:numPr>
          <w:ilvl w:val="0"/>
          <w:numId w:val="3"/>
        </w:numPr>
        <w:spacing w:after="40" w:before="40" w:line="280"/>
      </w:pPr>
      <w:r>
        <w:rPr>
          <w:rFonts w:ascii="Calibri" w:cs="Calibri" w:eastAsia="Calibri" w:hAnsi="Calibri"/>
          <w:sz w:val="22"/>
          <w:szCs w:val="22"/>
        </w:rPr>
        <w:t xml:space="preserve">Choix du régime d’acquisition pour les outils professionnels (achat direct, convention, délégation).</w:t>
      </w:r>
    </w:p>
    <w:p>
      <w:pPr>
        <w:pStyle w:val="ListParagraph"/>
        <w:numPr>
          <w:ilvl w:val="0"/>
          <w:numId w:val="3"/>
        </w:numPr>
        <w:spacing w:after="40" w:before="40" w:line="280"/>
      </w:pPr>
      <w:r>
        <w:rPr>
          <w:rFonts w:ascii="Calibri" w:cs="Calibri" w:eastAsia="Calibri" w:hAnsi="Calibri"/>
          <w:sz w:val="22"/>
          <w:szCs w:val="22"/>
        </w:rPr>
        <w:t xml:space="preserve">Désignation du responsable de cellule et du référent juridique.</w:t>
      </w:r>
    </w:p>
    <w:p>
      <w:pPr>
        <w:pStyle w:val="ListParagraph"/>
        <w:numPr>
          <w:ilvl w:val="0"/>
          <w:numId w:val="3"/>
        </w:numPr>
        <w:spacing w:after="40" w:before="40" w:line="280"/>
      </w:pPr>
      <w:r>
        <w:rPr>
          <w:rFonts w:ascii="Calibri" w:cs="Calibri" w:eastAsia="Calibri" w:hAnsi="Calibri"/>
          <w:sz w:val="22"/>
          <w:szCs w:val="22"/>
        </w:rPr>
        <w:t xml:space="preserve">Signature de la note de cadrage avec le MTNMA pour les flux Shadowserver et CTM360.</w:t>
      </w:r>
    </w:p>
    <w:p>
      <w:pPr>
        <w:pStyle w:val="ListParagraph"/>
        <w:numPr>
          <w:ilvl w:val="0"/>
          <w:numId w:val="3"/>
        </w:numPr>
        <w:spacing w:after="40" w:before="40" w:line="280"/>
      </w:pPr>
      <w:r>
        <w:rPr>
          <w:rFonts w:ascii="Calibri" w:cs="Calibri" w:eastAsia="Calibri" w:hAnsi="Calibri"/>
          <w:sz w:val="22"/>
          <w:szCs w:val="22"/>
        </w:rPr>
        <w:t xml:space="preserve">Niveau de reporting attendu par l’autorité (hebdomadaire / bimensuel / à la demande).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B2A4A" w:sz="6" w:space="2"/>
      </w:pBdr>
      <w:tabs>
        <w:tab w:val="center" w:pos="4680"/>
        <w:tab w:val="right" w:pos="9360"/>
      </w:tabs>
    </w:pPr>
    <w:r>
      <w:rPr>
        <w:rFonts w:ascii="Calibri" w:cs="Calibri" w:eastAsia="Calibri" w:hAnsi="Calibri"/>
        <w:color w:val="54606F"/>
        <w:sz w:val="18"/>
        <w:szCs w:val="18"/>
      </w:rPr>
      <w:t xml:space="preserve">Diffusion restreinte</w:t>
    </w:r>
    <w:r>
      <w:rPr>
        <w:rFonts w:ascii="Calibri" w:cs="Calibri" w:eastAsia="Calibri" w:hAnsi="Calibri"/>
        <w:b/>
        <w:bCs/>
        <w:color w:val="8B2E2E"/>
        <w:sz w:val="18"/>
        <w:szCs w:val="18"/>
      </w:rPr>
      <w:t xml:space="preserve">	Document CONFIDENTIEL</w:t>
    </w:r>
    <w:r>
      <w:rPr>
        <w:rFonts w:ascii="Calibri" w:cs="Calibri" w:eastAsia="Calibri" w:hAnsi="Calibri"/>
        <w:color w:val="54606F"/>
        <w:sz w:val="18"/>
        <w:szCs w:val="18"/>
      </w:rPr>
      <w:t xml:space="preserve">	Page </w:t>
    </w:r>
    <w:r>
      <w:rPr>
        <w:rFonts w:ascii="Calibri" w:cs="Calibri" w:eastAsia="Calibri" w:hAnsi="Calibri"/>
        <w:color w:val="54606F"/>
        <w:sz w:val="18"/>
        <w:szCs w:val="18"/>
      </w:rPr>
      <w:fldChar w:fldCharType="begin"/>
      <w:instrText xml:space="preserve">PAGE</w:instrText>
      <w:fldChar w:fldCharType="separate"/>
      <w:fldChar w:fldCharType="end"/>
    </w:r>
    <w:r>
      <w:rPr>
        <w:rFonts w:ascii="Calibri" w:cs="Calibri" w:eastAsia="Calibri" w:hAnsi="Calibri"/>
        <w:color w:val="54606F"/>
        <w:sz w:val="18"/>
        <w:szCs w:val="18"/>
      </w:rPr>
      <w:t xml:space="preserve"> / </w:t>
    </w:r>
    <w:r>
      <w:rPr>
        <w:rFonts w:ascii="Calibri" w:cs="Calibri" w:eastAsia="Calibri" w:hAnsi="Calibri"/>
        <w:color w:val="54606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B2A4A" w:sz="6" w:space="2"/>
      </w:pBdr>
      <w:tabs>
        <w:tab w:val="right" w:pos="9360"/>
      </w:tabs>
    </w:pPr>
    <w:r>
      <w:rPr>
        <w:rFonts w:ascii="Calibri" w:cs="Calibri" w:eastAsia="Calibri" w:hAnsi="Calibri"/>
        <w:color w:val="0B2A4A"/>
        <w:sz w:val="18"/>
        <w:szCs w:val="18"/>
      </w:rPr>
      <w:t xml:space="preserve">Architecture sécurisée — Messagerie &amp; OSINT</w:t>
    </w:r>
    <w:r>
      <w:rPr>
        <w:rFonts w:ascii="Calibri" w:cs="Calibri" w:eastAsia="Calibri" w:hAnsi="Calibri"/>
        <w:b/>
        <w:bCs/>
        <w:color w:val="8B2E2E"/>
        <w:sz w:val="18"/>
        <w:szCs w:val="18"/>
      </w:rPr>
      <w:t xml:space="preserve">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B2A4A" w:sz="12" w:space="2"/>
      </w:pBdr>
      <w:spacing w:after="140" w:before="360"/>
      <w:outlineLvl w:val="0"/>
    </w:pPr>
    <w:rPr>
      <w:rFonts w:ascii="Calibri" w:cs="Calibri" w:eastAsia="Calibri" w:hAnsi="Calibri"/>
      <w:b/>
      <w:bCs/>
      <w:color w:val="0B2A4A"/>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17406B"/>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1740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6b22e9fdfffc533724dba2d6cbb96088d9055d8.png"/><Relationship Id="rId10" Type="http://schemas.openxmlformats.org/officeDocument/2006/relationships/image" Target="media/72d2ad5ebf6ca2c1a086e367eec0a6a3be7b600f.png"/><Relationship Id="rId11" Type="http://schemas.openxmlformats.org/officeDocument/2006/relationships/image" Target="media/7dd71a78c94dca52b1ca17e1d36022c9d78a4343.png"/><Relationship Id="rId12" Type="http://schemas.openxmlformats.org/officeDocument/2006/relationships/image" Target="media/d67468b9cc743f066c7f8adbbd8a72f9a8549ef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 technique — Architecture sécurisée : messagerie et OSINT</dc:title>
  <dc:creator>Cellule technique</dc:creator>
  <dc:description>Document CONFIDENTIEL</dc:description>
  <cp:lastModifiedBy>Un-named</cp:lastModifiedBy>
  <cp:revision>1</cp:revision>
  <dcterms:created xsi:type="dcterms:W3CDTF">2026-04-22T12:52:58.511Z</dcterms:created>
  <dcterms:modified xsi:type="dcterms:W3CDTF">2026-04-22T12:52:58.511Z</dcterms:modified>
</cp:coreProperties>
</file>

<file path=docProps/custom.xml><?xml version="1.0" encoding="utf-8"?>
<Properties xmlns="http://schemas.openxmlformats.org/officeDocument/2006/custom-properties" xmlns:vt="http://schemas.openxmlformats.org/officeDocument/2006/docPropsVTypes"/>
</file>