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C3403C" w14:textId="77777777" w:rsidR="00A13EF7" w:rsidRDefault="00A13EF7" w:rsidP="00A13EF7">
      <w:pPr>
        <w:pStyle w:val="Title"/>
      </w:pPr>
      <w:r>
        <w:t>Transfer Learning for SPY Option Return Prediction</w:t>
      </w:r>
    </w:p>
    <w:p w14:paraId="0983EC1C" w14:textId="77777777" w:rsidR="00A13EF7" w:rsidRDefault="00A13EF7" w:rsidP="00A13EF7">
      <w:pPr>
        <w:pStyle w:val="Subtitle"/>
      </w:pPr>
      <w:r>
        <w:t>MSML612 Deep Learning Project Proposal</w:t>
      </w:r>
    </w:p>
    <w:p w14:paraId="25059C08" w14:textId="77777777" w:rsidR="00A13EF7" w:rsidRDefault="00A13EF7" w:rsidP="00A13EF7">
      <w:pPr>
        <w:pStyle w:val="Heading1"/>
      </w:pPr>
      <w:r>
        <w:t>Project overview</w:t>
      </w:r>
    </w:p>
    <w:p w14:paraId="633F98AD" w14:textId="77777777" w:rsidR="00A13EF7" w:rsidRDefault="00A13EF7" w:rsidP="00A13EF7">
      <w:r>
        <w:t>This project will investigate whether pretraining a deep-learning model on a longer history of SPY intraday price and volume data improves short-term option-return predictions. We want to help a trader decide whether to buy a selected SPY call, buy a selected put, or stay in cash. The goal is not simply to predict whether SPY will rise or fall, but whether the selected option can produce a worthwhile return after trading costs.</w:t>
      </w:r>
    </w:p>
    <w:p w14:paraId="19D1006A" w14:textId="77777777" w:rsidR="00A13EF7" w:rsidRDefault="00A13EF7" w:rsidP="00A13EF7">
      <w:r>
        <w:t xml:space="preserve">High-frequency data </w:t>
      </w:r>
      <w:proofErr w:type="gramStart"/>
      <w:r>
        <w:t>present</w:t>
      </w:r>
      <w:proofErr w:type="gramEnd"/>
      <w:r>
        <w:t xml:space="preserve"> a paradox associated with microstructure noise: collecting more frequent price observations does not necessarily improve conventional volatility estimates [3]. This gives us a reason to be careful about how we use intraday data. We will test whether the patterns the model learns improve predictions, rather than assume that it successfully filters noise.</w:t>
      </w:r>
    </w:p>
    <w:p w14:paraId="020994A4" w14:textId="77777777" w:rsidR="00A13EF7" w:rsidRDefault="00A13EF7" w:rsidP="00A13EF7">
      <w:r>
        <w:t xml:space="preserve">At 10:00 a.m. Eastern Time, the model will use completed observations from 9:30–9:59. The first 15 minutes establish the opening range; the next 15 show how SPY behaves relative to it. We will identify one approximately at-the-money </w:t>
      </w:r>
      <w:proofErr w:type="gramStart"/>
      <w:r>
        <w:t>call</w:t>
      </w:r>
      <w:proofErr w:type="gramEnd"/>
      <w:r>
        <w:t xml:space="preserve"> and </w:t>
      </w:r>
      <w:proofErr w:type="gramStart"/>
      <w:r>
        <w:t>one put</w:t>
      </w:r>
      <w:proofErr w:type="gramEnd"/>
      <w:r>
        <w:t xml:space="preserve"> using the nearest listed expiration strictly after today, then decide whether to buy either contract or stay in cash. This excludes 0DTE options. Entry will be simulated at 10:01 and exit at 11:01, allowing a one-minute execution delay and a fixed one-hour holding period.</w:t>
      </w:r>
    </w:p>
    <w:p w14:paraId="4497F88C" w14:textId="77777777" w:rsidR="00A13EF7" w:rsidRDefault="00A13EF7" w:rsidP="00A13EF7">
      <w:r>
        <w:t>SPY options could be bought and sold within the same trading day before 2022, but Tuesday and Thursday expirations were added in November 2022 [4]. We begin the primary options dataset after that change to make the nearest-future-expiration rule more consistent across weekdays, although weekends and holidays still affect maturity. This leaves relatively few daily training examples, which is one reason to investigate pretraining on older stock data. We will focus on one underlying, one daily decision, and one compact architecture. News sentiment, SPX, stop-loss rules, and live execution may be useful future additions.</w:t>
      </w:r>
    </w:p>
    <w:p w14:paraId="1526E9B5" w14:textId="77777777" w:rsidR="00A13EF7" w:rsidRDefault="00A13EF7" w:rsidP="00A13EF7">
      <w:pPr>
        <w:pStyle w:val="Heading1"/>
      </w:pPr>
      <w:r>
        <w:t>Research question</w:t>
      </w:r>
    </w:p>
    <w:p w14:paraId="10E07CE1" w14:textId="77777777" w:rsidR="00A13EF7" w:rsidRDefault="00A13EF7" w:rsidP="00A13EF7">
      <w:r>
        <w:t>Does pretraining on older SPY intraday data improve the accuracy and after-cost usefulness of one-hour SPY option-return predictions compared with training the same network from scratch?</w:t>
      </w:r>
    </w:p>
    <w:p w14:paraId="0F237917" w14:textId="77777777" w:rsidR="00A13EF7" w:rsidRDefault="00A13EF7" w:rsidP="00A13EF7">
      <w:r>
        <w:t xml:space="preserve">Das and colleagues’ </w:t>
      </w:r>
      <w:proofErr w:type="spellStart"/>
      <w:r>
        <w:t>TimesFM</w:t>
      </w:r>
      <w:proofErr w:type="spellEnd"/>
      <w:r>
        <w:t xml:space="preserve"> paper (ICML 2024) shows how pretraining can support forecasting on previously unseen time-series datasets [1]. MOMENT (ICML 2024) evaluates pretrained time-series models with limited supervision [2]. These papers motivate our approach, but we will use a smaller model trained specifically on SPY. Our proposed contribution is to test whether patterns learned from the underlying ETF transfer to one-hour option returns after trading costs. Comparing the same network with and without pretraining, using both full and reduced option-training </w:t>
      </w:r>
      <w:proofErr w:type="gramStart"/>
      <w:r>
        <w:t>sets,</w:t>
      </w:r>
      <w:proofErr w:type="gramEnd"/>
      <w:r>
        <w:t xml:space="preserve"> will show whether pretraining helps when option labels are scarce. The contribution is this focused empirical test, rather than a new neural architecture.</w:t>
      </w:r>
    </w:p>
    <w:p w14:paraId="5EE9276B" w14:textId="77777777" w:rsidR="00A13EF7" w:rsidRDefault="00A13EF7" w:rsidP="00A13EF7">
      <w:r>
        <w:br w:type="page"/>
      </w:r>
    </w:p>
    <w:p w14:paraId="319A1953" w14:textId="77777777" w:rsidR="00A13EF7" w:rsidRDefault="00A13EF7" w:rsidP="00A13EF7">
      <w:pPr>
        <w:pStyle w:val="Heading1"/>
      </w:pPr>
      <w:r>
        <w:lastRenderedPageBreak/>
        <w:t>Methodology</w:t>
      </w:r>
    </w:p>
    <w:p w14:paraId="7FCA5CBD" w14:textId="77777777" w:rsidR="00A13EF7" w:rsidRDefault="00A13EF7" w:rsidP="00A13EF7">
      <w:pPr>
        <w:pStyle w:val="Heading2"/>
      </w:pPr>
      <w:r>
        <w:t>Training data and preprocessing</w:t>
      </w:r>
    </w:p>
    <w:p w14:paraId="1154CBD4" w14:textId="77777777" w:rsidR="00A13EF7" w:rsidRDefault="00A13EF7" w:rsidP="00A13EF7">
      <w:r>
        <w:t>We propose using January 2016–December 2021 for stock pretraining and January–October 2022 for pretraining validation. Options will use November 21, 2022–December 2024 for training, 2025 for validation, and January–August 2026 as an untouched historical test. We will verify coverage and fix the boundaries before modeling. All examples from a trading day will stay together, and preprocessing will use only the corresponding training data. We will not randomly divide observations across training and test sets.</w:t>
      </w:r>
    </w:p>
    <w:p w14:paraId="7D1C3F95" w14:textId="77777777" w:rsidR="00A13EF7" w:rsidRDefault="00A13EF7" w:rsidP="00A13EF7">
      <w:r>
        <w:t xml:space="preserve">Data will include SPY one-minute OHLCV (Open, High, Low, Close, and Volume) bars and historical option bid/ask quotes, quote sizes, strikes, and expirations, including expired contracts. Alpaca and </w:t>
      </w:r>
      <w:proofErr w:type="spellStart"/>
      <w:r>
        <w:t>ThetaData</w:t>
      </w:r>
      <w:proofErr w:type="spellEnd"/>
      <w:r>
        <w:t xml:space="preserve"> are candidate providers; sample coverage and licensing must be checked. The option-training set has approximately 530 trading days before exclusions. </w:t>
      </w:r>
    </w:p>
    <w:p w14:paraId="3FC0207A" w14:textId="77777777" w:rsidR="00A13EF7" w:rsidRDefault="00A13EF7" w:rsidP="00A13EF7">
      <w:r>
        <w:t>Minute-level inputs will be returns, normalized candle ranges and bodies, and log volume. Additional inputs will include the overnight gap, opening-range width and price position, and morning realized volatility. Contract inputs will include premium relative to SPY, moneyness, remaining time to expiration, and relative bid–ask spread. No future exit price, full-day volume, or realized slippage will enter prediction features.</w:t>
      </w:r>
    </w:p>
    <w:p w14:paraId="48AAD125" w14:textId="77777777" w:rsidR="00A13EF7" w:rsidRDefault="00A13EF7" w:rsidP="00A13EF7">
      <w:pPr>
        <w:pStyle w:val="Heading2"/>
      </w:pPr>
      <w:r>
        <w:t>Model architecture and pretraining</w:t>
      </w:r>
    </w:p>
    <w:p w14:paraId="5C2656B3" w14:textId="77777777" w:rsidR="00A13EF7" w:rsidRDefault="00A13EF7" w:rsidP="00A13EF7">
      <w:r>
        <w:t>We will use a small temporal convolutional network to process each 30-minute sequence. It will have three convolutional blocks with approximately 32 channels, pooling, and dropout. This keeps the model manageable while allowing it to learn patterns across the morning. The same network will be trained in two stages: first on SPY outcomes, then on option returns.</w:t>
      </w:r>
    </w:p>
    <w:p w14:paraId="45D8FE33" w14:textId="77777777" w:rsidR="00A13EF7" w:rsidRDefault="00A13EF7" w:rsidP="00A13EF7">
      <w:r>
        <w:t xml:space="preserve">Pretraining will predict the following 60-minute SPY return and log realized volatility. Thirty-minute input windows will be sampled every 30 minutes, keeping inputs and outcomes within a regular session and partition. Targets will be standardized from pretraining-fit data, with equally weighted </w:t>
      </w:r>
      <w:proofErr w:type="gramStart"/>
      <w:r>
        <w:t>squared</w:t>
      </w:r>
      <w:proofErr w:type="gramEnd"/>
      <w:r>
        <w:t xml:space="preserve">-error losses. These extra windows provide more training </w:t>
      </w:r>
      <w:proofErr w:type="gramStart"/>
      <w:r>
        <w:t>examples, but</w:t>
      </w:r>
      <w:proofErr w:type="gramEnd"/>
      <w:r>
        <w:t xml:space="preserve"> overlapping outcomes do not create independent trading days.</w:t>
      </w:r>
    </w:p>
    <w:p w14:paraId="309CB6F5" w14:textId="77777777" w:rsidR="00A13EF7" w:rsidRDefault="00A13EF7" w:rsidP="00A13EF7">
      <w:r>
        <w:t xml:space="preserve">After pretraining, we will replace the stock prediction heads with a small option head that combines the learned morning representation with contract features. We will fine-tune the full network to output call and put returns. The model trained from scratch will use the same architecture, inputs, supervised training budget, and limited learning-rate search. Huber loss will reduce the influence of extreme errors. Its outputs are return </w:t>
      </w:r>
      <w:proofErr w:type="gramStart"/>
      <w:r>
        <w:t>estimates</w:t>
      </w:r>
      <w:proofErr w:type="gramEnd"/>
      <w:r>
        <w:t>; they are not guaranteed profits or necessarily conditional expected returns.</w:t>
      </w:r>
    </w:p>
    <w:p w14:paraId="072392F9" w14:textId="77777777" w:rsidR="00A13EF7" w:rsidRDefault="00A13EF7" w:rsidP="00A13EF7">
      <w:pPr>
        <w:pStyle w:val="Heading2"/>
      </w:pPr>
      <w:r>
        <w:t>Prediction targets and execution costs</w:t>
      </w:r>
    </w:p>
    <w:p w14:paraId="7ACA163F" w14:textId="77777777" w:rsidR="00A13EF7" w:rsidRDefault="00A13EF7" w:rsidP="00A13EF7">
      <w:r>
        <w:t xml:space="preserve">At 10:00, choose the strike nearest SPY, breaking equal-distance ties toward the lower strike. Freeze selection and features before the 10:01 fill. For one standard contract, net profit equals 100 × (11:01 bid − 10:01 ask), less entry and exit fees. The target </w:t>
      </w:r>
      <w:proofErr w:type="gramStart"/>
      <w:r>
        <w:t>return</w:t>
      </w:r>
      <w:proofErr w:type="gramEnd"/>
      <w:r>
        <w:t xml:space="preserve"> divides net profit by the entry cash outlay, including its fee. The broker fee assumption will be documented and fixed before testing.</w:t>
      </w:r>
    </w:p>
    <w:p w14:paraId="35C46D24" w14:textId="77777777" w:rsidR="00A13EF7" w:rsidRDefault="00A13EF7" w:rsidP="00A13EF7">
      <w:r>
        <w:t xml:space="preserve">Ask-to-bid pricing already includes spreads, so they will not be deducted twice. Sensitivity tests will add $0.01 and $0.02 adverse slippage per side. Invalid or stale quotes and insufficient displayed size will be checked under fixed rules. Quotes are execution proxies, not guaranteed </w:t>
      </w:r>
      <w:proofErr w:type="gramStart"/>
      <w:r>
        <w:t>fills</w:t>
      </w:r>
      <w:proofErr w:type="gramEnd"/>
      <w:r>
        <w:t>; exclusions and their frequency will be reported.</w:t>
      </w:r>
    </w:p>
    <w:p w14:paraId="4B9BDA77" w14:textId="77777777" w:rsidR="00A13EF7" w:rsidRDefault="00A13EF7" w:rsidP="00A13EF7">
      <w:pPr>
        <w:pStyle w:val="Heading2"/>
      </w:pPr>
      <w:r>
        <w:lastRenderedPageBreak/>
        <w:t>Evaluation and successful outcomes</w:t>
      </w:r>
    </w:p>
    <w:p w14:paraId="3518DFA6" w14:textId="77777777" w:rsidR="00A13EF7" w:rsidRDefault="00A13EF7" w:rsidP="00A13EF7">
      <w:r>
        <w:t xml:space="preserve">Benchmarks will include </w:t>
      </w:r>
      <w:proofErr w:type="gramStart"/>
      <w:r>
        <w:t>training-period</w:t>
      </w:r>
      <w:proofErr w:type="gramEnd"/>
      <w:r>
        <w:t xml:space="preserve"> constant forecasts and </w:t>
      </w:r>
      <w:proofErr w:type="spellStart"/>
      <w:r>
        <w:t>XGBoost</w:t>
      </w:r>
      <w:proofErr w:type="spellEnd"/>
      <w:r>
        <w:t xml:space="preserve"> with the same contract inputs and flattened minute observations. Pretrained and scratch networks will use both 100% and the most recent 50% of option-training dates, with three fixed seeds per setting. Comparisons within each data level isolate the benefit of pretraining; differences between levels also reflect the reduced set’s more recent coverage.</w:t>
      </w:r>
    </w:p>
    <w:p w14:paraId="1648A3AC" w14:textId="77777777" w:rsidR="00A13EF7" w:rsidRDefault="00A13EF7" w:rsidP="00A13EF7">
      <w:r>
        <w:t xml:space="preserve">The primary forecasting </w:t>
      </w:r>
      <w:proofErr w:type="gramStart"/>
      <w:r>
        <w:t>metric is mean</w:t>
      </w:r>
      <w:proofErr w:type="gramEnd"/>
      <w:r>
        <w:t xml:space="preserve"> absolute error across call and put returns; RMSE and seed variability are secondary. The main comparison uses the full training set. Five-day block bootstrap intervals for paired daily </w:t>
      </w:r>
      <w:proofErr w:type="gramStart"/>
      <w:r>
        <w:t>error</w:t>
      </w:r>
      <w:proofErr w:type="gramEnd"/>
      <w:r>
        <w:t xml:space="preserve"> and profit differences will summarize uncertainty while retaining short-range dependence.</w:t>
      </w:r>
    </w:p>
    <w:p w14:paraId="7BBBB215" w14:textId="77777777" w:rsidR="00A13EF7" w:rsidRDefault="00A13EF7" w:rsidP="00A13EF7">
      <w:r>
        <w:t xml:space="preserve">For trading, we will average the three seed forecasts for each neural setting and consider the contract with the higher predicted return. It must exceed a threshold chosen from 0%, 1%, 2%, and 5% on validation data. These are entry filters on predicted net option returns, not account-return goals or profit-taking levels. We will choose the threshold with the highest validation net profit and at least 30 trades; if none meets both requirements with positive profit, we will stay in cash. A lower threshold permits smaller predicted opportunities but may leave less room for errors and slippage. We will freeze the </w:t>
      </w:r>
      <w:proofErr w:type="gramStart"/>
      <w:r>
        <w:t>rule</w:t>
      </w:r>
      <w:proofErr w:type="gramEnd"/>
      <w:r>
        <w:t xml:space="preserve"> before testing.</w:t>
      </w:r>
    </w:p>
    <w:p w14:paraId="6AABBD19" w14:textId="77777777" w:rsidR="00A13EF7" w:rsidRDefault="00A13EF7" w:rsidP="00A13EF7">
      <w:r>
        <w:t xml:space="preserve">The </w:t>
      </w:r>
      <w:proofErr w:type="spellStart"/>
      <w:r>
        <w:t>backtest</w:t>
      </w:r>
      <w:proofErr w:type="spellEnd"/>
      <w:r>
        <w:t xml:space="preserve"> will allow at most one contract per day, starting with $10,000 cash, without leverage; unaffordable trades will be skipped. Report net profit, profit per trade, trade count, no-trade frequency, and maximum drawdown using daily equity, including cash days. Compare with the conventional benchmarks and holding cash. Report subscription expenses separately and test whether results survive greater execution costs.</w:t>
      </w:r>
    </w:p>
    <w:p w14:paraId="59825075" w14:textId="77777777" w:rsidR="00A13EF7" w:rsidRDefault="00A13EF7" w:rsidP="00A13EF7">
      <w:r>
        <w:t>A successful project will give us reproducible data preparation, trained models, fair comparisons, and a clear answer about whether pretraining helps. To show practical usefulness, the model would also need positive test results after costs and improvement over simpler alternatives. Better predictions without profitable trading, or finding that pretraining does not help, would still be useful research outcomes. Profitability is worth investigating, but it is not an assumed result.</w:t>
      </w:r>
    </w:p>
    <w:p w14:paraId="77557350" w14:textId="77777777" w:rsidR="00A13EF7" w:rsidRDefault="00A13EF7" w:rsidP="00A13EF7">
      <w:pPr>
        <w:pStyle w:val="Heading1"/>
      </w:pPr>
      <w:r>
        <w:t>References</w:t>
      </w:r>
    </w:p>
    <w:p w14:paraId="2435C9F6" w14:textId="77777777" w:rsidR="00A13EF7" w:rsidRDefault="00A13EF7" w:rsidP="00A13EF7">
      <w:pPr>
        <w:spacing w:line="230" w:lineRule="exact"/>
      </w:pPr>
      <w:r>
        <w:rPr>
          <w:sz w:val="19"/>
        </w:rPr>
        <w:t>[1] Das, A., Kong, W., Sen, R., &amp; Zhou, Y. (2024). A decoder-only foundation model for time-series forecasting. ICML, PMLR 235, 10148–10167. https://proceedings.mlr.press/v235/das24c.html</w:t>
      </w:r>
    </w:p>
    <w:p w14:paraId="3E91AC9F" w14:textId="77777777" w:rsidR="00A13EF7" w:rsidRDefault="00A13EF7" w:rsidP="00A13EF7">
      <w:pPr>
        <w:spacing w:line="230" w:lineRule="exact"/>
      </w:pPr>
      <w:r>
        <w:rPr>
          <w:sz w:val="19"/>
        </w:rPr>
        <w:t xml:space="preserve">[2] Goswami, M., Szafer, K., Choudhry, A., Cai, Y., Li, S., &amp; </w:t>
      </w:r>
      <w:proofErr w:type="spellStart"/>
      <w:r>
        <w:rPr>
          <w:sz w:val="19"/>
        </w:rPr>
        <w:t>Dubrawski</w:t>
      </w:r>
      <w:proofErr w:type="spellEnd"/>
      <w:r>
        <w:rPr>
          <w:sz w:val="19"/>
        </w:rPr>
        <w:t>, A. (2024). MOMENT: A Family of Open Time-series Foundation Models. ICML, PMLR 235, 16115–16152. https://proceedings.mlr.press/v235/goswami24a.html</w:t>
      </w:r>
    </w:p>
    <w:p w14:paraId="759829D3" w14:textId="77777777" w:rsidR="00A13EF7" w:rsidRDefault="00A13EF7" w:rsidP="00A13EF7">
      <w:pPr>
        <w:spacing w:line="230" w:lineRule="exact"/>
      </w:pPr>
      <w:r>
        <w:rPr>
          <w:sz w:val="19"/>
        </w:rPr>
        <w:t xml:space="preserve">[3] </w:t>
      </w:r>
      <w:proofErr w:type="spellStart"/>
      <w:r>
        <w:rPr>
          <w:sz w:val="19"/>
        </w:rPr>
        <w:t>Bacry</w:t>
      </w:r>
      <w:proofErr w:type="spellEnd"/>
      <w:r>
        <w:rPr>
          <w:sz w:val="19"/>
        </w:rPr>
        <w:t xml:space="preserve">, E., Delattre, S., Hoffmann, M., &amp; </w:t>
      </w:r>
      <w:proofErr w:type="spellStart"/>
      <w:r>
        <w:rPr>
          <w:sz w:val="19"/>
        </w:rPr>
        <w:t>Muzy</w:t>
      </w:r>
      <w:proofErr w:type="spellEnd"/>
      <w:r>
        <w:rPr>
          <w:sz w:val="19"/>
        </w:rPr>
        <w:t>, J. F. (2013). Modelling microstructure noise with mutually exciting point processes. Quantitative Finance, 13(1), 65–77. https://doi.org/10.1080/14697688.2011.647054</w:t>
      </w:r>
    </w:p>
    <w:p w14:paraId="69896A3A" w14:textId="77777777" w:rsidR="00A13EF7" w:rsidRPr="00470009" w:rsidRDefault="00A13EF7" w:rsidP="00A13EF7">
      <w:pPr>
        <w:spacing w:line="230" w:lineRule="exact"/>
      </w:pPr>
      <w:r>
        <w:rPr>
          <w:sz w:val="19"/>
        </w:rPr>
        <w:t xml:space="preserve">[4] </w:t>
      </w:r>
      <w:proofErr w:type="spellStart"/>
      <w:r>
        <w:rPr>
          <w:sz w:val="19"/>
        </w:rPr>
        <w:t>Cboe</w:t>
      </w:r>
      <w:proofErr w:type="spellEnd"/>
      <w:r>
        <w:rPr>
          <w:sz w:val="19"/>
        </w:rPr>
        <w:t>. (2022). Update—</w:t>
      </w:r>
      <w:proofErr w:type="spellStart"/>
      <w:r>
        <w:rPr>
          <w:sz w:val="19"/>
        </w:rPr>
        <w:t>Cboe</w:t>
      </w:r>
      <w:proofErr w:type="spellEnd"/>
      <w:r>
        <w:rPr>
          <w:sz w:val="19"/>
        </w:rPr>
        <w:t xml:space="preserve"> Options to List SPY and QQQ Tuesday and Thursday Expiring Weekly Options. Expiration history also documented at https://datashop.cboe.com/faqs</w:t>
      </w:r>
    </w:p>
    <w:p w14:paraId="57BD2689" w14:textId="77777777" w:rsidR="00A13EF7" w:rsidRPr="00441586" w:rsidRDefault="00A13EF7" w:rsidP="00A13EF7"/>
    <w:p w14:paraId="1829E781" w14:textId="77777777" w:rsidR="00AA40BD" w:rsidRPr="00A13EF7" w:rsidRDefault="00AA40BD" w:rsidP="00A13EF7"/>
    <w:sectPr w:rsidR="00AA40BD" w:rsidRPr="00A13EF7" w:rsidSect="00441586">
      <w:footerReference w:type="default" r:id="rId5"/>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183C2" w14:textId="77777777" w:rsidR="00441586" w:rsidRDefault="00441586">
    <w:pPr>
      <w:pStyle w:val="Footer"/>
      <w:jc w:val="right"/>
    </w:pPr>
    <w:r>
      <w:fldChar w:fldCharType="begin"/>
    </w:r>
    <w:r>
      <w:instrText>PAGE</w:instrText>
    </w:r>
    <w:r>
      <w:fldChar w:fldCharType="separate"/>
    </w:r>
    <w:r>
      <w:rPr>
        <w:noProof/>
      </w:rPr>
      <w:t>1</w:t>
    </w:r>
    <w:r>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EC2404"/>
    <w:multiLevelType w:val="multilevel"/>
    <w:tmpl w:val="C94A9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B86D17"/>
    <w:multiLevelType w:val="multilevel"/>
    <w:tmpl w:val="CBBA4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7E2726"/>
    <w:multiLevelType w:val="multilevel"/>
    <w:tmpl w:val="0952E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E10196"/>
    <w:multiLevelType w:val="multilevel"/>
    <w:tmpl w:val="10167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2B3ECE"/>
    <w:multiLevelType w:val="multilevel"/>
    <w:tmpl w:val="3280B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7E2B14"/>
    <w:multiLevelType w:val="multilevel"/>
    <w:tmpl w:val="913E8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DD6BEB"/>
    <w:multiLevelType w:val="multilevel"/>
    <w:tmpl w:val="DB084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B32605"/>
    <w:multiLevelType w:val="multilevel"/>
    <w:tmpl w:val="87DA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C372AF"/>
    <w:multiLevelType w:val="multilevel"/>
    <w:tmpl w:val="E8F49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10321B"/>
    <w:multiLevelType w:val="multilevel"/>
    <w:tmpl w:val="E1FC1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D60BC5"/>
    <w:multiLevelType w:val="multilevel"/>
    <w:tmpl w:val="89C4C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7549C2"/>
    <w:multiLevelType w:val="multilevel"/>
    <w:tmpl w:val="B06E1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3F158D"/>
    <w:multiLevelType w:val="multilevel"/>
    <w:tmpl w:val="E5104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6F7540"/>
    <w:multiLevelType w:val="multilevel"/>
    <w:tmpl w:val="F5A8B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4805149">
    <w:abstractNumId w:val="0"/>
  </w:num>
  <w:num w:numId="2" w16cid:durableId="1268390993">
    <w:abstractNumId w:val="2"/>
  </w:num>
  <w:num w:numId="3" w16cid:durableId="360058492">
    <w:abstractNumId w:val="4"/>
  </w:num>
  <w:num w:numId="4" w16cid:durableId="1296449003">
    <w:abstractNumId w:val="13"/>
  </w:num>
  <w:num w:numId="5" w16cid:durableId="1790709313">
    <w:abstractNumId w:val="7"/>
  </w:num>
  <w:num w:numId="6" w16cid:durableId="1377506684">
    <w:abstractNumId w:val="10"/>
  </w:num>
  <w:num w:numId="7" w16cid:durableId="471602332">
    <w:abstractNumId w:val="9"/>
  </w:num>
  <w:num w:numId="8" w16cid:durableId="1496842544">
    <w:abstractNumId w:val="5"/>
  </w:num>
  <w:num w:numId="9" w16cid:durableId="27611669">
    <w:abstractNumId w:val="8"/>
  </w:num>
  <w:num w:numId="10" w16cid:durableId="1335721852">
    <w:abstractNumId w:val="6"/>
  </w:num>
  <w:num w:numId="11" w16cid:durableId="311177249">
    <w:abstractNumId w:val="1"/>
  </w:num>
  <w:num w:numId="12" w16cid:durableId="902985931">
    <w:abstractNumId w:val="12"/>
  </w:num>
  <w:num w:numId="13" w16cid:durableId="2022079185">
    <w:abstractNumId w:val="3"/>
  </w:num>
  <w:num w:numId="14" w16cid:durableId="73964375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091F"/>
    <w:rsid w:val="00004353"/>
    <w:rsid w:val="001B2420"/>
    <w:rsid w:val="001F0ACA"/>
    <w:rsid w:val="00213299"/>
    <w:rsid w:val="002250C1"/>
    <w:rsid w:val="0024445A"/>
    <w:rsid w:val="00277CDF"/>
    <w:rsid w:val="00287DD8"/>
    <w:rsid w:val="00422A1A"/>
    <w:rsid w:val="004238DE"/>
    <w:rsid w:val="00441586"/>
    <w:rsid w:val="00683693"/>
    <w:rsid w:val="007018A7"/>
    <w:rsid w:val="007E000C"/>
    <w:rsid w:val="007F38F0"/>
    <w:rsid w:val="00861D35"/>
    <w:rsid w:val="008868B4"/>
    <w:rsid w:val="009A38D1"/>
    <w:rsid w:val="00A13EF7"/>
    <w:rsid w:val="00A20BBF"/>
    <w:rsid w:val="00A32368"/>
    <w:rsid w:val="00A73F65"/>
    <w:rsid w:val="00AA40BD"/>
    <w:rsid w:val="00AA7B84"/>
    <w:rsid w:val="00AB3499"/>
    <w:rsid w:val="00B21238"/>
    <w:rsid w:val="00B2326A"/>
    <w:rsid w:val="00B748F0"/>
    <w:rsid w:val="00CE5E80"/>
    <w:rsid w:val="00CF58DE"/>
    <w:rsid w:val="00D4482B"/>
    <w:rsid w:val="00D77E6B"/>
    <w:rsid w:val="00DA55B0"/>
    <w:rsid w:val="00DB55B6"/>
    <w:rsid w:val="00DC3A21"/>
    <w:rsid w:val="00DE3DE4"/>
    <w:rsid w:val="00F35721"/>
    <w:rsid w:val="00F5091F"/>
    <w:rsid w:val="00FC45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91DE41"/>
  <w15:chartTrackingRefBased/>
  <w15:docId w15:val="{B41E0F7D-0948-40E1-81F0-F1D7C8C988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1586"/>
    <w:pPr>
      <w:spacing w:after="140" w:line="259" w:lineRule="auto"/>
    </w:pPr>
    <w:rPr>
      <w:rFonts w:ascii="Calibri" w:eastAsiaTheme="minorEastAsia" w:hAnsi="Calibri"/>
      <w:kern w:val="0"/>
      <w:sz w:val="22"/>
      <w:szCs w:val="22"/>
      <w14:ligatures w14:val="none"/>
    </w:rPr>
  </w:style>
  <w:style w:type="paragraph" w:styleId="Heading1">
    <w:name w:val="heading 1"/>
    <w:basedOn w:val="Normal"/>
    <w:next w:val="Normal"/>
    <w:link w:val="Heading1Char"/>
    <w:uiPriority w:val="9"/>
    <w:qFormat/>
    <w:rsid w:val="00F5091F"/>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F5091F"/>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F5091F"/>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F5091F"/>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F5091F"/>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F5091F"/>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F5091F"/>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F5091F"/>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F5091F"/>
    <w:pPr>
      <w:keepNext/>
      <w:keepLines/>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09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509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09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09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09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09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09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09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091F"/>
    <w:rPr>
      <w:rFonts w:eastAsiaTheme="majorEastAsia" w:cstheme="majorBidi"/>
      <w:color w:val="272727" w:themeColor="text1" w:themeTint="D8"/>
    </w:rPr>
  </w:style>
  <w:style w:type="paragraph" w:styleId="Title">
    <w:name w:val="Title"/>
    <w:basedOn w:val="Normal"/>
    <w:next w:val="Normal"/>
    <w:link w:val="TitleChar"/>
    <w:uiPriority w:val="10"/>
    <w:qFormat/>
    <w:rsid w:val="00F5091F"/>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F509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091F"/>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F509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091F"/>
    <w:pPr>
      <w:spacing w:before="160" w:after="160" w:line="278" w:lineRule="auto"/>
      <w:jc w:val="center"/>
    </w:pPr>
    <w:rPr>
      <w:rFonts w:asciiTheme="minorHAnsi" w:eastAsiaTheme="minorHAnsi" w:hAnsi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F5091F"/>
    <w:rPr>
      <w:i/>
      <w:iCs/>
      <w:color w:val="404040" w:themeColor="text1" w:themeTint="BF"/>
    </w:rPr>
  </w:style>
  <w:style w:type="paragraph" w:styleId="ListParagraph">
    <w:name w:val="List Paragraph"/>
    <w:basedOn w:val="Normal"/>
    <w:uiPriority w:val="34"/>
    <w:qFormat/>
    <w:rsid w:val="00F5091F"/>
    <w:pPr>
      <w:spacing w:after="160" w:line="278" w:lineRule="auto"/>
      <w:ind w:left="720"/>
      <w:contextualSpacing/>
    </w:pPr>
    <w:rPr>
      <w:rFonts w:asciiTheme="minorHAnsi" w:eastAsiaTheme="minorHAnsi" w:hAnsiTheme="minorHAnsi"/>
      <w:kern w:val="2"/>
      <w:sz w:val="24"/>
      <w:szCs w:val="24"/>
      <w14:ligatures w14:val="standardContextual"/>
    </w:rPr>
  </w:style>
  <w:style w:type="character" w:styleId="IntenseEmphasis">
    <w:name w:val="Intense Emphasis"/>
    <w:basedOn w:val="DefaultParagraphFont"/>
    <w:uiPriority w:val="21"/>
    <w:qFormat/>
    <w:rsid w:val="00F5091F"/>
    <w:rPr>
      <w:i/>
      <w:iCs/>
      <w:color w:val="0F4761" w:themeColor="accent1" w:themeShade="BF"/>
    </w:rPr>
  </w:style>
  <w:style w:type="paragraph" w:styleId="IntenseQuote">
    <w:name w:val="Intense Quote"/>
    <w:basedOn w:val="Normal"/>
    <w:next w:val="Normal"/>
    <w:link w:val="IntenseQuoteChar"/>
    <w:uiPriority w:val="30"/>
    <w:qFormat/>
    <w:rsid w:val="00F5091F"/>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F5091F"/>
    <w:rPr>
      <w:i/>
      <w:iCs/>
      <w:color w:val="0F4761" w:themeColor="accent1" w:themeShade="BF"/>
    </w:rPr>
  </w:style>
  <w:style w:type="character" w:styleId="IntenseReference">
    <w:name w:val="Intense Reference"/>
    <w:basedOn w:val="DefaultParagraphFont"/>
    <w:uiPriority w:val="32"/>
    <w:qFormat/>
    <w:rsid w:val="00F5091F"/>
    <w:rPr>
      <w:b/>
      <w:bCs/>
      <w:smallCaps/>
      <w:color w:val="0F4761" w:themeColor="accent1" w:themeShade="BF"/>
      <w:spacing w:val="5"/>
    </w:rPr>
  </w:style>
  <w:style w:type="character" w:styleId="PlaceholderText">
    <w:name w:val="Placeholder Text"/>
    <w:basedOn w:val="DefaultParagraphFont"/>
    <w:uiPriority w:val="99"/>
    <w:semiHidden/>
    <w:rsid w:val="00F35721"/>
    <w:rPr>
      <w:color w:val="666666"/>
    </w:rPr>
  </w:style>
  <w:style w:type="paragraph" w:styleId="Footer">
    <w:name w:val="footer"/>
    <w:basedOn w:val="Normal"/>
    <w:link w:val="FooterChar"/>
    <w:uiPriority w:val="99"/>
    <w:unhideWhenUsed/>
    <w:rsid w:val="004415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1586"/>
    <w:rPr>
      <w:rFonts w:ascii="Calibri" w:eastAsiaTheme="minorEastAsia" w:hAnsi="Calibri"/>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footer" Target="foot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3290</TotalTime>
  <Pages>3</Pages>
  <Words>1438</Words>
  <Characters>8202</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Bradley Stephen Scott</dc:creator>
  <cp:keywords/>
  <dc:description/>
  <cp:lastModifiedBy>Bradley Stephen Scott</cp:lastModifiedBy>
  <cp:revision>4</cp:revision>
  <dcterms:created xsi:type="dcterms:W3CDTF">2026-09-21T00:59:00Z</dcterms:created>
  <dcterms:modified xsi:type="dcterms:W3CDTF">2026-09-23T02:51:00Z</dcterms:modified>
</cp:coreProperties>
</file>