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143C5" w14:textId="1F7123F7" w:rsidR="00035E5C" w:rsidRPr="00035E5C" w:rsidRDefault="00035E5C" w:rsidP="00035E5C">
      <w:pPr>
        <w:pStyle w:val="Heading1"/>
        <w:rPr>
          <w:b/>
          <w:bCs/>
          <w:u w:val="single"/>
        </w:rPr>
      </w:pPr>
      <w:r w:rsidRPr="00035E5C">
        <w:rPr>
          <w:b/>
          <w:bCs/>
          <w:u w:val="single"/>
        </w:rPr>
        <w:t>PART 1</w:t>
      </w:r>
    </w:p>
    <w:p w14:paraId="77753CEA" w14:textId="020E7E55" w:rsidR="00BA692B" w:rsidRPr="00B75334" w:rsidRDefault="00BA692B" w:rsidP="00BA692B">
      <w:pPr>
        <w:pStyle w:val="NormalWeb"/>
        <w:rPr>
          <w:rFonts w:ascii="Segoe UI" w:hAnsi="Segoe UI" w:cs="Segoe UI"/>
        </w:rPr>
      </w:pPr>
      <w:r w:rsidRPr="00B75334">
        <w:rPr>
          <w:rFonts w:ascii="Segoe UI" w:hAnsi="Segoe UI" w:cs="Segoe UI"/>
          <w:b/>
          <w:bCs/>
        </w:rPr>
        <w:t>Exploratory Data Analysis Summary</w:t>
      </w:r>
    </w:p>
    <w:p w14:paraId="67AECF0C" w14:textId="6BBE39EF" w:rsidR="00BA692B" w:rsidRPr="00B75334" w:rsidRDefault="00BA692B" w:rsidP="00BA692B">
      <w:pPr>
        <w:pStyle w:val="NormalWeb"/>
        <w:rPr>
          <w:rFonts w:ascii="Segoe UI" w:hAnsi="Segoe UI" w:cs="Segoe UI"/>
        </w:rPr>
      </w:pPr>
      <w:r w:rsidRPr="00B75334">
        <w:rPr>
          <w:rFonts w:ascii="Segoe UI" w:hAnsi="Segoe UI" w:cs="Segoe UI"/>
        </w:rPr>
        <w:t xml:space="preserve">The initial structural investigation of the Steel Industry Energy Consumption dataset revealed a robust time-series structure requiring targeted feature engineering to extract predictive signals. During the data quality assessment, the IQR method identified </w:t>
      </w:r>
      <w:proofErr w:type="gramStart"/>
      <w:r w:rsidR="00B75334">
        <w:rPr>
          <w:rFonts w:ascii="Segoe UI" w:hAnsi="Segoe UI" w:cs="Segoe UI"/>
          <w:b/>
          <w:bCs/>
        </w:rPr>
        <w:t xml:space="preserve">328 </w:t>
      </w:r>
      <w:r w:rsidRPr="00B75334">
        <w:rPr>
          <w:rFonts w:ascii="Segoe UI" w:hAnsi="Segoe UI" w:cs="Segoe UI"/>
        </w:rPr>
        <w:t xml:space="preserve"> outliers</w:t>
      </w:r>
      <w:proofErr w:type="gramEnd"/>
      <w:r w:rsidRPr="00B75334">
        <w:rPr>
          <w:rFonts w:ascii="Segoe UI" w:hAnsi="Segoe UI" w:cs="Segoe UI"/>
        </w:rPr>
        <w:t xml:space="preserve"> within the primary target variable, </w:t>
      </w:r>
      <w:proofErr w:type="spellStart"/>
      <w:r w:rsidRPr="00B75334">
        <w:rPr>
          <w:rStyle w:val="HTMLCode"/>
          <w:rFonts w:ascii="Segoe UI" w:hAnsi="Segoe UI" w:cs="Segoe UI"/>
          <w:b/>
          <w:bCs/>
        </w:rPr>
        <w:t>Usage_kWh</w:t>
      </w:r>
      <w:proofErr w:type="spellEnd"/>
      <w:r w:rsidRPr="00B75334">
        <w:rPr>
          <w:rFonts w:ascii="Segoe UI" w:hAnsi="Segoe UI" w:cs="Segoe UI"/>
        </w:rPr>
        <w:t>. These outliers heavily skew toward the upper bound, indicating intermittent, extreme spikes in power draw rather than erroneous sensor readings, which is characteristic of heavy industrial machinery operations.</w:t>
      </w:r>
    </w:p>
    <w:p w14:paraId="3849EAE2" w14:textId="17AC0614" w:rsidR="00BA692B" w:rsidRPr="00B75334" w:rsidRDefault="00BA692B" w:rsidP="00BA692B">
      <w:pPr>
        <w:pStyle w:val="NormalWeb"/>
        <w:rPr>
          <w:rFonts w:ascii="Segoe UI" w:hAnsi="Segoe UI" w:cs="Segoe UI"/>
        </w:rPr>
      </w:pPr>
      <w:r w:rsidRPr="00B75334">
        <w:rPr>
          <w:rFonts w:ascii="Segoe UI" w:hAnsi="Segoe UI" w:cs="Segoe UI"/>
        </w:rPr>
        <w:t xml:space="preserve">Correlation analysis across the engineered dataset highlighted the primary drivers of energy consumption. The top three features most strongly correlated with </w:t>
      </w:r>
      <w:proofErr w:type="spellStart"/>
      <w:r w:rsidRPr="00B75334">
        <w:rPr>
          <w:rStyle w:val="HTMLCode"/>
          <w:rFonts w:ascii="Segoe UI" w:hAnsi="Segoe UI" w:cs="Segoe UI"/>
          <w:b/>
          <w:bCs/>
        </w:rPr>
        <w:t>Usage_kWh</w:t>
      </w:r>
      <w:proofErr w:type="spellEnd"/>
      <w:r w:rsidRPr="00B75334">
        <w:rPr>
          <w:rFonts w:ascii="Segoe UI" w:hAnsi="Segoe UI" w:cs="Segoe UI"/>
        </w:rPr>
        <w:t xml:space="preserve"> are </w:t>
      </w:r>
      <w:proofErr w:type="gramStart"/>
      <w:r w:rsidR="00B75334" w:rsidRPr="00B75334">
        <w:rPr>
          <w:rFonts w:ascii="Segoe UI" w:hAnsi="Segoe UI" w:cs="Segoe UI"/>
          <w:b/>
          <w:bCs/>
        </w:rPr>
        <w:t>CO2(</w:t>
      </w:r>
      <w:proofErr w:type="gramEnd"/>
      <w:r w:rsidR="00B75334" w:rsidRPr="00B75334">
        <w:rPr>
          <w:rFonts w:ascii="Segoe UI" w:hAnsi="Segoe UI" w:cs="Segoe UI"/>
          <w:b/>
          <w:bCs/>
        </w:rPr>
        <w:t>tCO2)</w:t>
      </w:r>
      <w:r w:rsidRPr="00B75334">
        <w:rPr>
          <w:rFonts w:ascii="Segoe UI" w:hAnsi="Segoe UI" w:cs="Segoe UI"/>
        </w:rPr>
        <w:t xml:space="preserve">, </w:t>
      </w:r>
      <w:proofErr w:type="spellStart"/>
      <w:r w:rsidR="00B75334" w:rsidRPr="00B75334">
        <w:rPr>
          <w:rFonts w:ascii="Segoe UI" w:hAnsi="Segoe UI" w:cs="Segoe UI"/>
          <w:b/>
          <w:bCs/>
        </w:rPr>
        <w:t>Lagging_Current_Reactive.Power_kVarh</w:t>
      </w:r>
      <w:proofErr w:type="spellEnd"/>
      <w:r w:rsidRPr="00B75334">
        <w:rPr>
          <w:rFonts w:ascii="Segoe UI" w:hAnsi="Segoe UI" w:cs="Segoe UI"/>
        </w:rPr>
        <w:t xml:space="preserve">, and </w:t>
      </w:r>
      <w:proofErr w:type="spellStart"/>
      <w:r w:rsidR="00B75334" w:rsidRPr="00B75334">
        <w:rPr>
          <w:rFonts w:ascii="Segoe UI" w:hAnsi="Segoe UI" w:cs="Segoe UI"/>
          <w:b/>
          <w:bCs/>
        </w:rPr>
        <w:t>High_Load</w:t>
      </w:r>
      <w:proofErr w:type="spellEnd"/>
      <w:r w:rsidRPr="00B75334">
        <w:rPr>
          <w:rFonts w:ascii="Segoe UI" w:hAnsi="Segoe UI" w:cs="Segoe UI"/>
        </w:rPr>
        <w:t>. The strong relationship with reactive power metrics suggests that the efficiency of the power grid within the plant is closely tied to overall volume consumption.</w:t>
      </w:r>
    </w:p>
    <w:p w14:paraId="06C4ACAF" w14:textId="77777777" w:rsidR="00BA692B" w:rsidRPr="00B75334" w:rsidRDefault="00BA692B" w:rsidP="00BA692B">
      <w:pPr>
        <w:pStyle w:val="NormalWeb"/>
        <w:rPr>
          <w:rFonts w:ascii="Segoe UI" w:hAnsi="Segoe UI" w:cs="Segoe UI"/>
        </w:rPr>
      </w:pPr>
      <w:r w:rsidRPr="00B75334">
        <w:rPr>
          <w:rFonts w:ascii="Segoe UI" w:hAnsi="Segoe UI" w:cs="Segoe UI"/>
        </w:rPr>
        <w:t>The most prominent operational pattern discovered is the strict temporal dependency of energy usage. The line chart mapping average consumption by hour demonstrates a distinct cyclical trough during the early morning hours, followed by sustained, elevated consumption throughout standard operational shifts. Furthermore, the grouped bar chart confirms that categorical "Maximum Load" designations perfectly align with peak empirical usage.</w:t>
      </w:r>
    </w:p>
    <w:p w14:paraId="42215B1D" w14:textId="77777777" w:rsidR="00BA692B" w:rsidRPr="00B75334" w:rsidRDefault="00BA692B" w:rsidP="00BA692B">
      <w:pPr>
        <w:pStyle w:val="NormalWeb"/>
        <w:rPr>
          <w:rFonts w:ascii="Segoe UI" w:hAnsi="Segoe UI" w:cs="Segoe UI"/>
        </w:rPr>
      </w:pPr>
      <w:r w:rsidRPr="00B75334">
        <w:rPr>
          <w:rFonts w:ascii="Segoe UI" w:hAnsi="Segoe UI" w:cs="Segoe UI"/>
        </w:rPr>
        <w:t>Based on these distributions, the primary hypothesis is that energy spikes are systematically driven by production scheduling rather than external environmental factors. The sharp transitions between load types and hourly usage suggest that the activation of specific heavy-duty smelting or rolling equipment during designated shifts is the root cause of the isolated high-load outliers observed in the dataset.</w:t>
      </w:r>
    </w:p>
    <w:p w14:paraId="1A5F3080" w14:textId="70ED0BD2" w:rsidR="00035E5C" w:rsidRDefault="00035E5C">
      <w:r>
        <w:br w:type="page"/>
      </w:r>
    </w:p>
    <w:p w14:paraId="50EB601D" w14:textId="5F804A65" w:rsidR="00472806" w:rsidRDefault="00035E5C" w:rsidP="00035E5C">
      <w:pPr>
        <w:pStyle w:val="Heading1"/>
        <w:rPr>
          <w:b/>
          <w:bCs/>
          <w:u w:val="single"/>
        </w:rPr>
      </w:pPr>
      <w:r w:rsidRPr="00035E5C">
        <w:rPr>
          <w:b/>
          <w:bCs/>
          <w:u w:val="single"/>
        </w:rPr>
        <w:lastRenderedPageBreak/>
        <w:t>Part 2</w:t>
      </w:r>
    </w:p>
    <w:p w14:paraId="29E8BFA4" w14:textId="77777777" w:rsidR="00035E5C" w:rsidRPr="00035E5C" w:rsidRDefault="00035E5C" w:rsidP="00035E5C">
      <w:pPr>
        <w:spacing w:before="100" w:beforeAutospacing="1" w:after="100" w:afterAutospacing="1" w:line="240" w:lineRule="auto"/>
        <w:rPr>
          <w:rFonts w:ascii="Segoe UI" w:eastAsia="Times New Roman" w:hAnsi="Segoe UI" w:cs="Segoe UI"/>
          <w:sz w:val="24"/>
          <w:szCs w:val="24"/>
        </w:rPr>
      </w:pPr>
      <w:r w:rsidRPr="00035E5C">
        <w:rPr>
          <w:rFonts w:ascii="Segoe UI" w:eastAsia="Times New Roman" w:hAnsi="Segoe UI" w:cs="Segoe UI"/>
          <w:b/>
          <w:bCs/>
          <w:sz w:val="24"/>
          <w:szCs w:val="24"/>
        </w:rPr>
        <w:t>Model Selection &amp; Baseline Establishment</w:t>
      </w:r>
    </w:p>
    <w:p w14:paraId="34A12022" w14:textId="77777777" w:rsidR="009004BB" w:rsidRPr="009004BB" w:rsidRDefault="009004BB" w:rsidP="009004BB">
      <w:pPr>
        <w:spacing w:before="100" w:beforeAutospacing="1" w:after="100" w:afterAutospacing="1" w:line="240" w:lineRule="auto"/>
        <w:rPr>
          <w:rFonts w:ascii="Segoe UI" w:eastAsia="Times New Roman" w:hAnsi="Segoe UI" w:cs="Segoe UI"/>
          <w:sz w:val="24"/>
          <w:szCs w:val="24"/>
        </w:rPr>
      </w:pPr>
      <w:r w:rsidRPr="009004BB">
        <w:rPr>
          <w:rFonts w:ascii="Segoe UI" w:eastAsia="Times New Roman" w:hAnsi="Segoe UI" w:cs="Segoe UI"/>
          <w:sz w:val="24"/>
          <w:szCs w:val="24"/>
        </w:rPr>
        <w:t xml:space="preserve">For the categorical encoding strategy, </w:t>
      </w:r>
      <w:r w:rsidRPr="009004BB">
        <w:rPr>
          <w:rFonts w:ascii="Segoe UI" w:eastAsia="Times New Roman" w:hAnsi="Segoe UI" w:cs="Segoe UI"/>
          <w:b/>
          <w:bCs/>
          <w:sz w:val="24"/>
          <w:szCs w:val="24"/>
        </w:rPr>
        <w:t>One-Hot Encoding</w:t>
      </w:r>
      <w:r w:rsidRPr="009004BB">
        <w:rPr>
          <w:rFonts w:ascii="Segoe UI" w:eastAsia="Times New Roman" w:hAnsi="Segoe UI" w:cs="Segoe UI"/>
          <w:sz w:val="24"/>
          <w:szCs w:val="24"/>
        </w:rPr>
        <w:t xml:space="preserve"> was selected for both </w:t>
      </w:r>
      <w:proofErr w:type="spellStart"/>
      <w:r w:rsidRPr="009004BB">
        <w:rPr>
          <w:rFonts w:ascii="Segoe UI" w:eastAsia="Times New Roman" w:hAnsi="Segoe UI" w:cs="Segoe UI"/>
          <w:sz w:val="24"/>
          <w:szCs w:val="24"/>
        </w:rPr>
        <w:t>Load_Type</w:t>
      </w:r>
      <w:proofErr w:type="spellEnd"/>
      <w:r w:rsidRPr="009004BB">
        <w:rPr>
          <w:rFonts w:ascii="Segoe UI" w:eastAsia="Times New Roman" w:hAnsi="Segoe UI" w:cs="Segoe UI"/>
          <w:sz w:val="24"/>
          <w:szCs w:val="24"/>
        </w:rPr>
        <w:t xml:space="preserve"> and </w:t>
      </w:r>
      <w:proofErr w:type="spellStart"/>
      <w:r w:rsidRPr="009004BB">
        <w:rPr>
          <w:rFonts w:ascii="Segoe UI" w:eastAsia="Times New Roman" w:hAnsi="Segoe UI" w:cs="Segoe UI"/>
          <w:sz w:val="24"/>
          <w:szCs w:val="24"/>
        </w:rPr>
        <w:t>day_of_week</w:t>
      </w:r>
      <w:proofErr w:type="spellEnd"/>
      <w:r w:rsidRPr="009004BB">
        <w:rPr>
          <w:rFonts w:ascii="Segoe UI" w:eastAsia="Times New Roman" w:hAnsi="Segoe UI" w:cs="Segoe UI"/>
          <w:sz w:val="24"/>
          <w:szCs w:val="24"/>
        </w:rPr>
        <w:t>. While the days of the week possess a sequential nature, assigning arbitrary integers (0-6) forces a linear model to assume that Sunday (6) is inherently "greater" than Monday (0) in a strict mathematical sense, which degrades regression performance. One-Hot Encoding isolates these categories into independent binary vectors, allowing the algorithms to assign distinct, unbiased weights to each specific operational condition.</w:t>
      </w:r>
    </w:p>
    <w:p w14:paraId="245A7592" w14:textId="77777777" w:rsidR="009004BB" w:rsidRPr="009004BB" w:rsidRDefault="009004BB" w:rsidP="009004BB">
      <w:pPr>
        <w:spacing w:before="100" w:beforeAutospacing="1" w:after="100" w:afterAutospacing="1" w:line="240" w:lineRule="auto"/>
        <w:rPr>
          <w:rFonts w:ascii="Segoe UI" w:eastAsia="Times New Roman" w:hAnsi="Segoe UI" w:cs="Segoe UI"/>
          <w:sz w:val="24"/>
          <w:szCs w:val="24"/>
        </w:rPr>
      </w:pPr>
      <w:r w:rsidRPr="009004BB">
        <w:rPr>
          <w:rFonts w:ascii="Segoe UI" w:eastAsia="Times New Roman" w:hAnsi="Segoe UI" w:cs="Segoe UI"/>
          <w:sz w:val="24"/>
          <w:szCs w:val="24"/>
        </w:rPr>
        <w:t xml:space="preserve">Upon evaluating the four baseline models, the </w:t>
      </w:r>
      <w:r w:rsidRPr="009004BB">
        <w:rPr>
          <w:rFonts w:ascii="Segoe UI" w:eastAsia="Times New Roman" w:hAnsi="Segoe UI" w:cs="Segoe UI"/>
          <w:b/>
          <w:bCs/>
          <w:sz w:val="24"/>
          <w:szCs w:val="24"/>
        </w:rPr>
        <w:t>Random Forest Regressor</w:t>
      </w:r>
      <w:r w:rsidRPr="009004BB">
        <w:rPr>
          <w:rFonts w:ascii="Segoe UI" w:eastAsia="Times New Roman" w:hAnsi="Segoe UI" w:cs="Segoe UI"/>
          <w:sz w:val="24"/>
          <w:szCs w:val="24"/>
        </w:rPr>
        <w:t xml:space="preserve"> significantly outperformed the other architectures across all evaluated metrics.</w:t>
      </w:r>
    </w:p>
    <w:p w14:paraId="3D5D24E0" w14:textId="77777777" w:rsidR="009004BB" w:rsidRPr="009004BB" w:rsidRDefault="009004BB" w:rsidP="009004BB">
      <w:pPr>
        <w:spacing w:before="100" w:beforeAutospacing="1" w:after="100" w:afterAutospacing="1" w:line="240" w:lineRule="auto"/>
        <w:rPr>
          <w:rFonts w:ascii="Segoe UI" w:eastAsia="Times New Roman" w:hAnsi="Segoe UI" w:cs="Segoe UI"/>
          <w:sz w:val="24"/>
          <w:szCs w:val="24"/>
        </w:rPr>
      </w:pPr>
      <w:r w:rsidRPr="009004BB">
        <w:rPr>
          <w:rFonts w:ascii="Segoe UI" w:eastAsia="Times New Roman" w:hAnsi="Segoe UI" w:cs="Segoe UI"/>
          <w:sz w:val="24"/>
          <w:szCs w:val="24"/>
        </w:rPr>
        <w:t xml:space="preserve">The </w:t>
      </w:r>
      <w:r w:rsidRPr="009004BB">
        <w:rPr>
          <w:rFonts w:ascii="Segoe UI" w:eastAsia="Times New Roman" w:hAnsi="Segoe UI" w:cs="Segoe UI"/>
          <w:b/>
          <w:bCs/>
          <w:sz w:val="24"/>
          <w:szCs w:val="24"/>
        </w:rPr>
        <w:t>linear models (Linear Regression and Ridge Regression)</w:t>
      </w:r>
      <w:r w:rsidRPr="009004BB">
        <w:rPr>
          <w:rFonts w:ascii="Segoe UI" w:eastAsia="Times New Roman" w:hAnsi="Segoe UI" w:cs="Segoe UI"/>
          <w:sz w:val="24"/>
          <w:szCs w:val="24"/>
        </w:rPr>
        <w:t xml:space="preserve"> exhibited the highest error rates, both yielding a Test RMSE of approximately </w:t>
      </w:r>
      <w:r w:rsidRPr="009004BB">
        <w:rPr>
          <w:rFonts w:ascii="Segoe UI" w:eastAsia="Times New Roman" w:hAnsi="Segoe UI" w:cs="Segoe UI"/>
          <w:b/>
          <w:bCs/>
          <w:sz w:val="24"/>
          <w:szCs w:val="24"/>
        </w:rPr>
        <w:t>4.14</w:t>
      </w:r>
      <w:r w:rsidRPr="009004BB">
        <w:rPr>
          <w:rFonts w:ascii="Segoe UI" w:eastAsia="Times New Roman" w:hAnsi="Segoe UI" w:cs="Segoe UI"/>
          <w:sz w:val="24"/>
          <w:szCs w:val="24"/>
        </w:rPr>
        <w:t xml:space="preserve"> and a Cross-Validation (CV) Mean RMSE of </w:t>
      </w:r>
      <w:r w:rsidRPr="009004BB">
        <w:rPr>
          <w:rFonts w:ascii="Segoe UI" w:eastAsia="Times New Roman" w:hAnsi="Segoe UI" w:cs="Segoe UI"/>
          <w:b/>
          <w:bCs/>
          <w:sz w:val="24"/>
          <w:szCs w:val="24"/>
        </w:rPr>
        <w:t>4.60</w:t>
      </w:r>
      <w:r w:rsidRPr="009004BB">
        <w:rPr>
          <w:rFonts w:ascii="Segoe UI" w:eastAsia="Times New Roman" w:hAnsi="Segoe UI" w:cs="Segoe UI"/>
          <w:sz w:val="24"/>
          <w:szCs w:val="24"/>
        </w:rPr>
        <w:t>. While they capture the overarching trend, they fail to model the complex, non-linear interactions between the power factors and the categorical load shifts.</w:t>
      </w:r>
    </w:p>
    <w:p w14:paraId="395C801D" w14:textId="77777777" w:rsidR="009004BB" w:rsidRPr="009004BB" w:rsidRDefault="009004BB" w:rsidP="009004BB">
      <w:pPr>
        <w:spacing w:before="100" w:beforeAutospacing="1" w:after="100" w:afterAutospacing="1" w:line="240" w:lineRule="auto"/>
        <w:rPr>
          <w:rFonts w:ascii="Segoe UI" w:eastAsia="Times New Roman" w:hAnsi="Segoe UI" w:cs="Segoe UI"/>
          <w:sz w:val="24"/>
          <w:szCs w:val="24"/>
        </w:rPr>
      </w:pPr>
      <w:r w:rsidRPr="009004BB">
        <w:rPr>
          <w:rFonts w:ascii="Segoe UI" w:eastAsia="Times New Roman" w:hAnsi="Segoe UI" w:cs="Segoe UI"/>
          <w:sz w:val="24"/>
          <w:szCs w:val="24"/>
        </w:rPr>
        <w:t xml:space="preserve">The tree-based models demonstrated vastly superior structural understanding of the dataset. The Decision Tree achieved a Test RMSE of </w:t>
      </w:r>
      <w:r w:rsidRPr="009004BB">
        <w:rPr>
          <w:rFonts w:ascii="Segoe UI" w:eastAsia="Times New Roman" w:hAnsi="Segoe UI" w:cs="Segoe UI"/>
          <w:b/>
          <w:bCs/>
          <w:sz w:val="24"/>
          <w:szCs w:val="24"/>
        </w:rPr>
        <w:t>1.411955</w:t>
      </w:r>
      <w:r w:rsidRPr="009004BB">
        <w:rPr>
          <w:rFonts w:ascii="Segoe UI" w:eastAsia="Times New Roman" w:hAnsi="Segoe UI" w:cs="Segoe UI"/>
          <w:sz w:val="24"/>
          <w:szCs w:val="24"/>
        </w:rPr>
        <w:t xml:space="preserve">. However, it exhibited minor signs of variance across different data folds, with its CV Mean RMSE rising to </w:t>
      </w:r>
      <w:r w:rsidRPr="009004BB">
        <w:rPr>
          <w:rFonts w:ascii="Segoe UI" w:eastAsia="Times New Roman" w:hAnsi="Segoe UI" w:cs="Segoe UI"/>
          <w:b/>
          <w:bCs/>
          <w:sz w:val="24"/>
          <w:szCs w:val="24"/>
        </w:rPr>
        <w:t>1.541306</w:t>
      </w:r>
      <w:r w:rsidRPr="009004BB">
        <w:rPr>
          <w:rFonts w:ascii="Segoe UI" w:eastAsia="Times New Roman" w:hAnsi="Segoe UI" w:cs="Segoe UI"/>
          <w:sz w:val="24"/>
          <w:szCs w:val="24"/>
        </w:rPr>
        <w:t>.</w:t>
      </w:r>
    </w:p>
    <w:p w14:paraId="2CABB11A" w14:textId="0020AEA5" w:rsidR="009004BB" w:rsidRPr="009004BB" w:rsidRDefault="009004BB" w:rsidP="009004BB">
      <w:pPr>
        <w:spacing w:before="100" w:beforeAutospacing="1" w:after="100" w:afterAutospacing="1" w:line="240" w:lineRule="auto"/>
        <w:rPr>
          <w:rFonts w:ascii="Segoe UI" w:eastAsia="Times New Roman" w:hAnsi="Segoe UI" w:cs="Segoe UI"/>
          <w:sz w:val="24"/>
          <w:szCs w:val="24"/>
        </w:rPr>
      </w:pPr>
      <w:r w:rsidRPr="009004BB">
        <w:rPr>
          <w:rFonts w:ascii="Segoe UI" w:eastAsia="Times New Roman" w:hAnsi="Segoe UI" w:cs="Segoe UI"/>
          <w:sz w:val="24"/>
          <w:szCs w:val="24"/>
        </w:rPr>
        <w:t xml:space="preserve">The </w:t>
      </w:r>
      <w:r w:rsidRPr="009004BB">
        <w:rPr>
          <w:rFonts w:ascii="Segoe UI" w:eastAsia="Times New Roman" w:hAnsi="Segoe UI" w:cs="Segoe UI"/>
          <w:b/>
          <w:bCs/>
          <w:sz w:val="24"/>
          <w:szCs w:val="24"/>
        </w:rPr>
        <w:t>Random Forest Regressor</w:t>
      </w:r>
      <w:r w:rsidRPr="009004BB">
        <w:rPr>
          <w:rFonts w:ascii="Segoe UI" w:eastAsia="Times New Roman" w:hAnsi="Segoe UI" w:cs="Segoe UI"/>
          <w:sz w:val="24"/>
          <w:szCs w:val="24"/>
        </w:rPr>
        <w:t xml:space="preserve"> proved to be the most robust and accurate model. It achieved a Test RMSE of </w:t>
      </w:r>
      <w:r w:rsidRPr="009004BB">
        <w:rPr>
          <w:rFonts w:ascii="Segoe UI" w:eastAsia="Times New Roman" w:hAnsi="Segoe UI" w:cs="Segoe UI"/>
          <w:b/>
          <w:bCs/>
          <w:sz w:val="24"/>
          <w:szCs w:val="24"/>
        </w:rPr>
        <w:t>1.047135</w:t>
      </w:r>
      <w:r w:rsidRPr="009004BB">
        <w:rPr>
          <w:rFonts w:ascii="Segoe UI" w:eastAsia="Times New Roman" w:hAnsi="Segoe UI" w:cs="Segoe UI"/>
          <w:sz w:val="24"/>
          <w:szCs w:val="24"/>
        </w:rPr>
        <w:t xml:space="preserve"> and an R-squared of </w:t>
      </w:r>
      <w:r w:rsidRPr="009004BB">
        <w:rPr>
          <w:rFonts w:ascii="Segoe UI" w:eastAsia="Times New Roman" w:hAnsi="Segoe UI" w:cs="Segoe UI"/>
          <w:b/>
          <w:bCs/>
          <w:sz w:val="24"/>
          <w:szCs w:val="24"/>
        </w:rPr>
        <w:t>0.999035</w:t>
      </w:r>
      <w:r w:rsidRPr="009004BB">
        <w:rPr>
          <w:rFonts w:ascii="Segoe UI" w:eastAsia="Times New Roman" w:hAnsi="Segoe UI" w:cs="Segoe UI"/>
          <w:sz w:val="24"/>
          <w:szCs w:val="24"/>
        </w:rPr>
        <w:t>, indicating it explains over 99.9% of the variance in the target variable. The scatter plot of Predicted vs. Actual Usage for the Random Forest confirms this, showing extremely tight alignment along the diagonal perfect</w:t>
      </w:r>
      <w:r>
        <w:rPr>
          <w:rFonts w:ascii="Segoe UI" w:eastAsia="Times New Roman" w:hAnsi="Segoe UI" w:cs="Segoe UI"/>
          <w:sz w:val="24"/>
          <w:szCs w:val="24"/>
        </w:rPr>
        <w:t xml:space="preserve"> </w:t>
      </w:r>
      <w:r w:rsidRPr="009004BB">
        <w:rPr>
          <w:rFonts w:ascii="Segoe UI" w:eastAsia="Times New Roman" w:hAnsi="Segoe UI" w:cs="Segoe UI"/>
          <w:sz w:val="24"/>
          <w:szCs w:val="24"/>
        </w:rPr>
        <w:t xml:space="preserve">prediction line with minimal dispersion at both low and high energy consumption thresholds. Furthermore, its </w:t>
      </w:r>
      <w:proofErr w:type="gramStart"/>
      <w:r w:rsidRPr="009004BB">
        <w:rPr>
          <w:rFonts w:ascii="Segoe UI" w:eastAsia="Times New Roman" w:hAnsi="Segoe UI" w:cs="Segoe UI"/>
          <w:sz w:val="24"/>
          <w:szCs w:val="24"/>
        </w:rPr>
        <w:t>5</w:t>
      </w:r>
      <w:r>
        <w:rPr>
          <w:rFonts w:ascii="Segoe UI" w:eastAsia="Times New Roman" w:hAnsi="Segoe UI" w:cs="Segoe UI"/>
          <w:sz w:val="24"/>
          <w:szCs w:val="24"/>
        </w:rPr>
        <w:t xml:space="preserve"> </w:t>
      </w:r>
      <w:r w:rsidRPr="009004BB">
        <w:rPr>
          <w:rFonts w:ascii="Segoe UI" w:eastAsia="Times New Roman" w:hAnsi="Segoe UI" w:cs="Segoe UI"/>
          <w:sz w:val="24"/>
          <w:szCs w:val="24"/>
        </w:rPr>
        <w:t>fold</w:t>
      </w:r>
      <w:proofErr w:type="gramEnd"/>
      <w:r w:rsidRPr="009004BB">
        <w:rPr>
          <w:rFonts w:ascii="Segoe UI" w:eastAsia="Times New Roman" w:hAnsi="Segoe UI" w:cs="Segoe UI"/>
          <w:sz w:val="24"/>
          <w:szCs w:val="24"/>
        </w:rPr>
        <w:t xml:space="preserve"> CV Mean RMSE of </w:t>
      </w:r>
      <w:r w:rsidRPr="009004BB">
        <w:rPr>
          <w:rFonts w:ascii="Segoe UI" w:eastAsia="Times New Roman" w:hAnsi="Segoe UI" w:cs="Segoe UI"/>
          <w:b/>
          <w:bCs/>
          <w:sz w:val="24"/>
          <w:szCs w:val="24"/>
        </w:rPr>
        <w:t>1.135788</w:t>
      </w:r>
      <w:r w:rsidRPr="009004BB">
        <w:rPr>
          <w:rFonts w:ascii="Segoe UI" w:eastAsia="Times New Roman" w:hAnsi="Segoe UI" w:cs="Segoe UI"/>
          <w:sz w:val="24"/>
          <w:szCs w:val="24"/>
        </w:rPr>
        <w:t xml:space="preserve"> aligns closely with its test performance, suggesting excellent generalization without severe overfitting.</w:t>
      </w:r>
    </w:p>
    <w:p w14:paraId="4E85DCAA" w14:textId="00D89BEE" w:rsidR="00035E5C" w:rsidRPr="009004BB" w:rsidRDefault="009004BB" w:rsidP="009004BB">
      <w:pPr>
        <w:spacing w:before="100" w:beforeAutospacing="1" w:after="100" w:afterAutospacing="1" w:line="240" w:lineRule="auto"/>
        <w:rPr>
          <w:rFonts w:ascii="Segoe UI" w:eastAsia="Times New Roman" w:hAnsi="Segoe UI" w:cs="Segoe UI"/>
          <w:sz w:val="24"/>
          <w:szCs w:val="24"/>
        </w:rPr>
      </w:pPr>
      <w:r w:rsidRPr="009004BB">
        <w:rPr>
          <w:rFonts w:ascii="Segoe UI" w:eastAsia="Times New Roman" w:hAnsi="Segoe UI" w:cs="Segoe UI"/>
          <w:sz w:val="24"/>
          <w:szCs w:val="24"/>
        </w:rPr>
        <w:t xml:space="preserve">Going forward, the Random Forest Regressor will serve as the primary architecture for this pipeline. Future iterations will focus on hyperparameter tuning (e.g., optimizing </w:t>
      </w:r>
      <w:proofErr w:type="spellStart"/>
      <w:r w:rsidRPr="009004BB">
        <w:rPr>
          <w:rFonts w:ascii="Segoe UI" w:eastAsia="Times New Roman" w:hAnsi="Segoe UI" w:cs="Segoe UI"/>
          <w:sz w:val="24"/>
          <w:szCs w:val="24"/>
        </w:rPr>
        <w:t>n_estimators</w:t>
      </w:r>
      <w:proofErr w:type="spellEnd"/>
      <w:r w:rsidRPr="009004BB">
        <w:rPr>
          <w:rFonts w:ascii="Segoe UI" w:eastAsia="Times New Roman" w:hAnsi="Segoe UI" w:cs="Segoe UI"/>
          <w:sz w:val="24"/>
          <w:szCs w:val="24"/>
        </w:rPr>
        <w:t xml:space="preserve"> and </w:t>
      </w:r>
      <w:proofErr w:type="spellStart"/>
      <w:r w:rsidRPr="009004BB">
        <w:rPr>
          <w:rFonts w:ascii="Segoe UI" w:eastAsia="Times New Roman" w:hAnsi="Segoe UI" w:cs="Segoe UI"/>
          <w:sz w:val="24"/>
          <w:szCs w:val="24"/>
        </w:rPr>
        <w:t>max_depth</w:t>
      </w:r>
      <w:proofErr w:type="spellEnd"/>
      <w:r w:rsidRPr="009004BB">
        <w:rPr>
          <w:rFonts w:ascii="Segoe UI" w:eastAsia="Times New Roman" w:hAnsi="Segoe UI" w:cs="Segoe UI"/>
          <w:sz w:val="24"/>
          <w:szCs w:val="24"/>
        </w:rPr>
        <w:t>) and feature importance analysis to potentially prune less impactful variables and optimize inference speed without sacrificing predictive accuracy.</w:t>
      </w:r>
    </w:p>
    <w:sectPr w:rsidR="00035E5C" w:rsidRPr="00900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CA3"/>
    <w:rsid w:val="00035E5C"/>
    <w:rsid w:val="00472806"/>
    <w:rsid w:val="009004BB"/>
    <w:rsid w:val="00B75334"/>
    <w:rsid w:val="00BA692B"/>
    <w:rsid w:val="00D37C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AB8F"/>
  <w15:chartTrackingRefBased/>
  <w15:docId w15:val="{9E93C165-E14F-4967-ADA3-E0F611203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E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5E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69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A692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35E5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35E5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271562">
      <w:bodyDiv w:val="1"/>
      <w:marLeft w:val="0"/>
      <w:marRight w:val="0"/>
      <w:marTop w:val="0"/>
      <w:marBottom w:val="0"/>
      <w:divBdr>
        <w:top w:val="none" w:sz="0" w:space="0" w:color="auto"/>
        <w:left w:val="none" w:sz="0" w:space="0" w:color="auto"/>
        <w:bottom w:val="none" w:sz="0" w:space="0" w:color="auto"/>
        <w:right w:val="none" w:sz="0" w:space="0" w:color="auto"/>
      </w:divBdr>
    </w:div>
    <w:div w:id="912934524">
      <w:bodyDiv w:val="1"/>
      <w:marLeft w:val="0"/>
      <w:marRight w:val="0"/>
      <w:marTop w:val="0"/>
      <w:marBottom w:val="0"/>
      <w:divBdr>
        <w:top w:val="none" w:sz="0" w:space="0" w:color="auto"/>
        <w:left w:val="none" w:sz="0" w:space="0" w:color="auto"/>
        <w:bottom w:val="none" w:sz="0" w:space="0" w:color="auto"/>
        <w:right w:val="none" w:sz="0" w:space="0" w:color="auto"/>
      </w:divBdr>
    </w:div>
    <w:div w:id="149101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dc:creator>
  <cp:keywords/>
  <dc:description/>
  <cp:lastModifiedBy>SAAD</cp:lastModifiedBy>
  <cp:revision>4</cp:revision>
  <dcterms:created xsi:type="dcterms:W3CDTF">2026-07-08T06:10:00Z</dcterms:created>
  <dcterms:modified xsi:type="dcterms:W3CDTF">2026-07-19T07:04:00Z</dcterms:modified>
</cp:coreProperties>
</file>