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3B3AE" w14:textId="6F5D2575" w:rsidR="00276F13" w:rsidRPr="00276F13" w:rsidRDefault="00276F13" w:rsidP="00276F13">
      <w:pPr>
        <w:pStyle w:val="Heading1"/>
        <w:rPr>
          <w:b/>
          <w:bCs/>
          <w:u w:val="single"/>
        </w:rPr>
      </w:pPr>
      <w:r w:rsidRPr="00276F13">
        <w:rPr>
          <w:b/>
          <w:bCs/>
          <w:u w:val="single"/>
        </w:rPr>
        <w:t>Part 1:</w:t>
      </w:r>
    </w:p>
    <w:p w14:paraId="68F1C02C" w14:textId="05385078" w:rsidR="00276F13" w:rsidRPr="00276F13" w:rsidRDefault="00276F13" w:rsidP="00276F13">
      <w:pPr>
        <w:pStyle w:val="NormalWeb"/>
        <w:rPr>
          <w:rFonts w:ascii="Segoe UI" w:hAnsi="Segoe UI" w:cs="Segoe UI"/>
        </w:rPr>
      </w:pPr>
      <w:r w:rsidRPr="00276F13">
        <w:rPr>
          <w:rFonts w:ascii="Segoe UI" w:hAnsi="Segoe UI" w:cs="Segoe UI"/>
          <w:b/>
          <w:bCs/>
        </w:rPr>
        <w:t>Exploratory Data Analysis Summary</w:t>
      </w:r>
    </w:p>
    <w:p w14:paraId="1D6640A9" w14:textId="2A50E8A3" w:rsidR="00276F13" w:rsidRPr="00276F13" w:rsidRDefault="00276F13" w:rsidP="00276F13">
      <w:pPr>
        <w:pStyle w:val="NormalWeb"/>
        <w:rPr>
          <w:rFonts w:ascii="Segoe UI" w:hAnsi="Segoe UI" w:cs="Segoe UI"/>
        </w:rPr>
      </w:pPr>
      <w:r w:rsidRPr="00276F13">
        <w:rPr>
          <w:rFonts w:ascii="Segoe UI" w:hAnsi="Segoe UI" w:cs="Segoe UI"/>
        </w:rPr>
        <w:t xml:space="preserve">The initial structural investigation of the Steel Industry Energy Consumption dataset revealed a robust time-series structure requiring targeted feature engineering to extract predictive signals. During the data quality assessment, the IQR method identified </w:t>
      </w:r>
      <w:r>
        <w:rPr>
          <w:rFonts w:ascii="Segoe UI" w:hAnsi="Segoe UI" w:cs="Segoe UI"/>
          <w:b/>
          <w:bCs/>
        </w:rPr>
        <w:t>328</w:t>
      </w:r>
      <w:r w:rsidRPr="00276F13">
        <w:rPr>
          <w:rFonts w:ascii="Segoe UI" w:hAnsi="Segoe UI" w:cs="Segoe UI"/>
        </w:rPr>
        <w:t xml:space="preserve"> outliers within the primary target variable, </w:t>
      </w:r>
      <w:proofErr w:type="spellStart"/>
      <w:r w:rsidRPr="00276F13">
        <w:rPr>
          <w:rStyle w:val="HTMLCode"/>
          <w:rFonts w:ascii="Segoe UI" w:eastAsiaTheme="majorEastAsia" w:hAnsi="Segoe UI" w:cs="Segoe UI"/>
        </w:rPr>
        <w:t>Usage_kWh</w:t>
      </w:r>
      <w:proofErr w:type="spellEnd"/>
      <w:r w:rsidRPr="00276F13">
        <w:rPr>
          <w:rFonts w:ascii="Segoe UI" w:hAnsi="Segoe UI" w:cs="Segoe UI"/>
        </w:rPr>
        <w:t>. These outliers heavily skew toward the upper bound, indicating intermittent, extreme spikes in power draw rather than erroneous sensor readings, which is characteristic of heavy industrial machinery operations.</w:t>
      </w:r>
    </w:p>
    <w:p w14:paraId="76CB63B7" w14:textId="62ED5DFA" w:rsidR="00276F13" w:rsidRPr="00276F13" w:rsidRDefault="00276F13" w:rsidP="00276F13">
      <w:pPr>
        <w:pStyle w:val="NormalWeb"/>
        <w:rPr>
          <w:rFonts w:ascii="Segoe UI" w:hAnsi="Segoe UI" w:cs="Segoe UI"/>
        </w:rPr>
      </w:pPr>
      <w:r w:rsidRPr="00276F13">
        <w:rPr>
          <w:rFonts w:ascii="Segoe UI" w:hAnsi="Segoe UI" w:cs="Segoe UI"/>
        </w:rPr>
        <w:t xml:space="preserve">Correlation analysis across the engineered dataset highlighted the primary drivers of energy consumption. The top three features most strongly correlated with </w:t>
      </w:r>
      <w:proofErr w:type="spellStart"/>
      <w:r w:rsidRPr="00276F13">
        <w:rPr>
          <w:rStyle w:val="HTMLCode"/>
          <w:rFonts w:ascii="Segoe UI" w:eastAsiaTheme="majorEastAsia" w:hAnsi="Segoe UI" w:cs="Segoe UI"/>
        </w:rPr>
        <w:t>Usage_kWh</w:t>
      </w:r>
      <w:proofErr w:type="spellEnd"/>
      <w:r w:rsidRPr="00276F13">
        <w:rPr>
          <w:rFonts w:ascii="Segoe UI" w:hAnsi="Segoe UI" w:cs="Segoe UI"/>
        </w:rPr>
        <w:t xml:space="preserve"> are </w:t>
      </w:r>
      <w:proofErr w:type="gramStart"/>
      <w:r w:rsidRPr="00276F13">
        <w:rPr>
          <w:rFonts w:ascii="Segoe UI" w:hAnsi="Segoe UI" w:cs="Segoe UI"/>
          <w:b/>
          <w:bCs/>
        </w:rPr>
        <w:t>CO2(</w:t>
      </w:r>
      <w:proofErr w:type="gramEnd"/>
      <w:r w:rsidRPr="00276F13">
        <w:rPr>
          <w:rFonts w:ascii="Segoe UI" w:hAnsi="Segoe UI" w:cs="Segoe UI"/>
          <w:b/>
          <w:bCs/>
        </w:rPr>
        <w:t>tCO2)</w:t>
      </w:r>
      <w:r w:rsidRPr="00276F13">
        <w:rPr>
          <w:rFonts w:ascii="Segoe UI" w:hAnsi="Segoe UI" w:cs="Segoe UI"/>
        </w:rPr>
        <w:t xml:space="preserve">, </w:t>
      </w:r>
      <w:proofErr w:type="spellStart"/>
      <w:r w:rsidRPr="00276F13">
        <w:rPr>
          <w:rFonts w:ascii="Segoe UI" w:hAnsi="Segoe UI" w:cs="Segoe UI"/>
          <w:b/>
          <w:bCs/>
        </w:rPr>
        <w:t>Lagging_Current_Reactive.Power_kVarh</w:t>
      </w:r>
      <w:proofErr w:type="spellEnd"/>
      <w:r w:rsidRPr="00276F13">
        <w:rPr>
          <w:rFonts w:ascii="Segoe UI" w:hAnsi="Segoe UI" w:cs="Segoe UI"/>
        </w:rPr>
        <w:t xml:space="preserve">, and </w:t>
      </w:r>
      <w:proofErr w:type="spellStart"/>
      <w:r w:rsidRPr="00276F13">
        <w:rPr>
          <w:rFonts w:ascii="Segoe UI" w:hAnsi="Segoe UI" w:cs="Segoe UI"/>
          <w:b/>
          <w:bCs/>
        </w:rPr>
        <w:t>High_Load</w:t>
      </w:r>
      <w:proofErr w:type="spellEnd"/>
      <w:r w:rsidRPr="00276F13">
        <w:rPr>
          <w:rFonts w:ascii="Segoe UI" w:hAnsi="Segoe UI" w:cs="Segoe UI"/>
        </w:rPr>
        <w:t>. The strong relationship with reactive power metrics suggests that the efficiency of the power grid within the plant is closely tied to overall volume consumption.</w:t>
      </w:r>
    </w:p>
    <w:p w14:paraId="73BD58E4" w14:textId="77777777" w:rsidR="00276F13" w:rsidRPr="00276F13" w:rsidRDefault="00276F13" w:rsidP="00276F13">
      <w:pPr>
        <w:pStyle w:val="NormalWeb"/>
        <w:rPr>
          <w:rFonts w:ascii="Segoe UI" w:hAnsi="Segoe UI" w:cs="Segoe UI"/>
        </w:rPr>
      </w:pPr>
      <w:r w:rsidRPr="00276F13">
        <w:rPr>
          <w:rFonts w:ascii="Segoe UI" w:hAnsi="Segoe UI" w:cs="Segoe UI"/>
        </w:rPr>
        <w:t>The most prominent operational pattern discovered is the strict temporal dependency of energy usage. The line chart mapping average consumption by hour demonstrates a distinct cyclical trough during the early morning hours, followed by sustained, elevated consumption throughout standard operational shifts. Furthermore, the grouped bar chart confirms that categorical "Maximum Load" designations perfectly align with peak empirical usage.</w:t>
      </w:r>
    </w:p>
    <w:p w14:paraId="420814F2" w14:textId="77777777" w:rsidR="00276F13" w:rsidRPr="00276F13" w:rsidRDefault="00276F13" w:rsidP="00276F13">
      <w:pPr>
        <w:pStyle w:val="NormalWeb"/>
        <w:rPr>
          <w:rFonts w:ascii="Segoe UI" w:hAnsi="Segoe UI" w:cs="Segoe UI"/>
        </w:rPr>
      </w:pPr>
      <w:r w:rsidRPr="00276F13">
        <w:rPr>
          <w:rFonts w:ascii="Segoe UI" w:hAnsi="Segoe UI" w:cs="Segoe UI"/>
        </w:rPr>
        <w:t>Based on these distributions, the primary hypothesis is that energy spikes are systematically driven by production scheduling rather than external environmental factors. The sharp transitions between load types and hourly usage suggest that the activation of specific heavy-duty smelting or rolling equipment during designated shifts is the root cause of the isolated high-load outliers observed in the dataset.</w:t>
      </w:r>
    </w:p>
    <w:p w14:paraId="24FD2DD4" w14:textId="5B4ECA69" w:rsidR="00276F13" w:rsidRDefault="00276F13">
      <w:r>
        <w:br w:type="page"/>
      </w:r>
    </w:p>
    <w:p w14:paraId="78B7F210" w14:textId="44030FE8" w:rsidR="00943754" w:rsidRDefault="00276F13" w:rsidP="00276F13">
      <w:pPr>
        <w:pStyle w:val="Heading1"/>
        <w:rPr>
          <w:b/>
          <w:bCs/>
          <w:u w:val="single"/>
        </w:rPr>
      </w:pPr>
      <w:r w:rsidRPr="00276F13">
        <w:rPr>
          <w:b/>
          <w:bCs/>
          <w:u w:val="single"/>
        </w:rPr>
        <w:lastRenderedPageBreak/>
        <w:t>Part 2:</w:t>
      </w:r>
    </w:p>
    <w:p w14:paraId="21A93695" w14:textId="77777777" w:rsidR="00276F13" w:rsidRPr="00276F13" w:rsidRDefault="00276F13" w:rsidP="00276F13">
      <w:pPr>
        <w:pStyle w:val="NormalWeb"/>
        <w:rPr>
          <w:rFonts w:ascii="Segoe UI" w:hAnsi="Segoe UI" w:cs="Segoe UI"/>
        </w:rPr>
      </w:pPr>
      <w:r w:rsidRPr="00276F13">
        <w:rPr>
          <w:rFonts w:ascii="Segoe UI" w:hAnsi="Segoe UI" w:cs="Segoe UI"/>
          <w:b/>
          <w:bCs/>
        </w:rPr>
        <w:t>Model Selection &amp; Baseline Establishment</w:t>
      </w:r>
    </w:p>
    <w:p w14:paraId="739FAEE5" w14:textId="21C6B024" w:rsidR="00276F13" w:rsidRPr="00276F13" w:rsidRDefault="00276F13" w:rsidP="00276F13">
      <w:pPr>
        <w:pStyle w:val="NormalWeb"/>
        <w:rPr>
          <w:rFonts w:ascii="Segoe UI" w:hAnsi="Segoe UI" w:cs="Segoe UI"/>
        </w:rPr>
      </w:pPr>
      <w:r w:rsidRPr="00276F13">
        <w:rPr>
          <w:rFonts w:ascii="Segoe UI" w:hAnsi="Segoe UI" w:cs="Segoe UI"/>
        </w:rPr>
        <w:t>During the data preparation phase, One-Hot Encoding was applied to the categorical features (</w:t>
      </w:r>
      <w:proofErr w:type="spellStart"/>
      <w:r w:rsidRPr="00276F13">
        <w:rPr>
          <w:rStyle w:val="HTMLCode"/>
          <w:rFonts w:ascii="Segoe UI" w:eastAsiaTheme="majorEastAsia" w:hAnsi="Segoe UI" w:cs="Segoe UI"/>
        </w:rPr>
        <w:t>Load_Type</w:t>
      </w:r>
      <w:proofErr w:type="spellEnd"/>
      <w:r w:rsidRPr="00276F13">
        <w:rPr>
          <w:rFonts w:ascii="Segoe UI" w:hAnsi="Segoe UI" w:cs="Segoe UI"/>
        </w:rPr>
        <w:t xml:space="preserve"> and </w:t>
      </w:r>
      <w:proofErr w:type="spellStart"/>
      <w:r w:rsidRPr="00276F13">
        <w:rPr>
          <w:rStyle w:val="HTMLCode"/>
          <w:rFonts w:ascii="Segoe UI" w:eastAsiaTheme="majorEastAsia" w:hAnsi="Segoe UI" w:cs="Segoe UI"/>
        </w:rPr>
        <w:t>day_of_week</w:t>
      </w:r>
      <w:proofErr w:type="spellEnd"/>
      <w:r w:rsidRPr="00276F13">
        <w:rPr>
          <w:rFonts w:ascii="Segoe UI" w:hAnsi="Segoe UI" w:cs="Segoe UI"/>
        </w:rPr>
        <w:t>). This strategy was chosen over label encoding because these features lack a strict, uniform ordinal relationship</w:t>
      </w:r>
      <w:r w:rsidR="008375CF">
        <w:rPr>
          <w:rFonts w:ascii="Segoe UI" w:hAnsi="Segoe UI" w:cs="Segoe UI"/>
        </w:rPr>
        <w:t xml:space="preserve"> and</w:t>
      </w:r>
      <w:r w:rsidRPr="00276F13">
        <w:rPr>
          <w:rFonts w:ascii="Segoe UI" w:hAnsi="Segoe UI" w:cs="Segoe UI"/>
        </w:rPr>
        <w:t xml:space="preserve"> applying integer labels would force distance</w:t>
      </w:r>
      <w:r w:rsidR="008375CF">
        <w:rPr>
          <w:rFonts w:ascii="Segoe UI" w:hAnsi="Segoe UI" w:cs="Segoe UI"/>
        </w:rPr>
        <w:t xml:space="preserve"> </w:t>
      </w:r>
      <w:r w:rsidRPr="00276F13">
        <w:rPr>
          <w:rFonts w:ascii="Segoe UI" w:hAnsi="Segoe UI" w:cs="Segoe UI"/>
        </w:rPr>
        <w:t>based and linear models to infer mathematical magnitudes that do not exist, there</w:t>
      </w:r>
      <w:r w:rsidR="008375CF">
        <w:rPr>
          <w:rFonts w:ascii="Segoe UI" w:hAnsi="Segoe UI" w:cs="Segoe UI"/>
        </w:rPr>
        <w:t>fore</w:t>
      </w:r>
      <w:r w:rsidRPr="00276F13">
        <w:rPr>
          <w:rFonts w:ascii="Segoe UI" w:hAnsi="Segoe UI" w:cs="Segoe UI"/>
        </w:rPr>
        <w:t xml:space="preserve"> degrading regression performance.</w:t>
      </w:r>
    </w:p>
    <w:p w14:paraId="50056CF2" w14:textId="45237D04" w:rsidR="00276F13" w:rsidRPr="00276F13" w:rsidRDefault="00276F13" w:rsidP="00276F13">
      <w:pPr>
        <w:pStyle w:val="NormalWeb"/>
        <w:rPr>
          <w:rFonts w:ascii="Segoe UI" w:hAnsi="Segoe UI" w:cs="Segoe UI"/>
        </w:rPr>
      </w:pPr>
      <w:r w:rsidRPr="00276F13">
        <w:rPr>
          <w:rFonts w:ascii="Segoe UI" w:hAnsi="Segoe UI" w:cs="Segoe UI"/>
        </w:rPr>
        <w:t xml:space="preserve">Upon evaluating the four baseline architectures, the </w:t>
      </w:r>
      <w:r w:rsidRPr="00276F13">
        <w:rPr>
          <w:rFonts w:ascii="Segoe UI" w:hAnsi="Segoe UI" w:cs="Segoe UI"/>
          <w:b/>
          <w:bCs/>
        </w:rPr>
        <w:t>Random Forest Regressor</w:t>
      </w:r>
      <w:r w:rsidRPr="00276F13">
        <w:rPr>
          <w:rFonts w:ascii="Segoe UI" w:hAnsi="Segoe UI" w:cs="Segoe UI"/>
        </w:rPr>
        <w:t xml:space="preserve"> significantly outperformed the alternatives across all core metrics.</w:t>
      </w:r>
    </w:p>
    <w:p w14:paraId="7B314D29" w14:textId="6BBC9812" w:rsidR="00276F13" w:rsidRPr="00276F13" w:rsidRDefault="00276F13" w:rsidP="00276F13">
      <w:pPr>
        <w:pStyle w:val="NormalWeb"/>
        <w:rPr>
          <w:rFonts w:ascii="Segoe UI" w:hAnsi="Segoe UI" w:cs="Segoe UI"/>
        </w:rPr>
      </w:pPr>
      <w:r w:rsidRPr="00276F13">
        <w:rPr>
          <w:rFonts w:ascii="Segoe UI" w:hAnsi="Segoe UI" w:cs="Segoe UI"/>
        </w:rPr>
        <w:t xml:space="preserve">The linear algorithms (Linear Regression and Ridge Regression) exhibited the highest error rates, yielding a Test RMSE of approximately </w:t>
      </w:r>
      <w:r w:rsidR="008375CF" w:rsidRPr="008375CF">
        <w:rPr>
          <w:rFonts w:ascii="Segoe UI" w:hAnsi="Segoe UI" w:cs="Segoe UI"/>
          <w:b/>
          <w:bCs/>
        </w:rPr>
        <w:t>4.140520</w:t>
      </w:r>
      <w:r w:rsidRPr="00276F13">
        <w:rPr>
          <w:rFonts w:ascii="Segoe UI" w:hAnsi="Segoe UI" w:cs="Segoe UI"/>
        </w:rPr>
        <w:t xml:space="preserve"> and a Cross-Validation (CV) Mean RMSE of </w:t>
      </w:r>
      <w:r w:rsidR="008375CF" w:rsidRPr="008375CF">
        <w:rPr>
          <w:rFonts w:ascii="Segoe UI" w:hAnsi="Segoe UI" w:cs="Segoe UI"/>
          <w:b/>
          <w:bCs/>
        </w:rPr>
        <w:t>4.603427</w:t>
      </w:r>
      <w:r w:rsidRPr="00276F13">
        <w:rPr>
          <w:rFonts w:ascii="Segoe UI" w:hAnsi="Segoe UI" w:cs="Segoe UI"/>
        </w:rPr>
        <w:t>. While capable of capturing overarching trends, they lack the capacity to model the complex, non-linear interactions between the reactive power factors and operational shifts.</w:t>
      </w:r>
    </w:p>
    <w:p w14:paraId="2D6A2883" w14:textId="7A6B159E" w:rsidR="00276F13" w:rsidRPr="00276F13" w:rsidRDefault="00276F13" w:rsidP="00276F13">
      <w:pPr>
        <w:pStyle w:val="NormalWeb"/>
        <w:rPr>
          <w:rFonts w:ascii="Segoe UI" w:hAnsi="Segoe UI" w:cs="Segoe UI"/>
        </w:rPr>
      </w:pPr>
      <w:r w:rsidRPr="00276F13">
        <w:rPr>
          <w:rFonts w:ascii="Segoe UI" w:hAnsi="Segoe UI" w:cs="Segoe UI"/>
        </w:rPr>
        <w:t xml:space="preserve">The tree-based algorithms demonstrated a vastly superior structural understanding of the dataset. The Decision Tree achieved a Test RMSE of </w:t>
      </w:r>
      <w:r w:rsidR="008375CF" w:rsidRPr="008375CF">
        <w:rPr>
          <w:rFonts w:ascii="Segoe UI" w:hAnsi="Segoe UI" w:cs="Segoe UI"/>
          <w:b/>
          <w:bCs/>
        </w:rPr>
        <w:t>1.411955</w:t>
      </w:r>
      <w:r w:rsidRPr="00276F13">
        <w:rPr>
          <w:rFonts w:ascii="Segoe UI" w:hAnsi="Segoe UI" w:cs="Segoe UI"/>
        </w:rPr>
        <w:t xml:space="preserve">. However, it exhibited signs of variance and slight overfitting, as indicated by its CV Mean RMSE rising to </w:t>
      </w:r>
      <w:r w:rsidR="008375CF" w:rsidRPr="008375CF">
        <w:rPr>
          <w:rFonts w:ascii="Segoe UI" w:hAnsi="Segoe UI" w:cs="Segoe UI"/>
          <w:b/>
          <w:bCs/>
        </w:rPr>
        <w:t>1.541306</w:t>
      </w:r>
      <w:r w:rsidRPr="00276F13">
        <w:rPr>
          <w:rFonts w:ascii="Segoe UI" w:hAnsi="Segoe UI" w:cs="Segoe UI"/>
        </w:rPr>
        <w:t xml:space="preserve"> across different data folds.</w:t>
      </w:r>
    </w:p>
    <w:p w14:paraId="5CA104ED" w14:textId="77BB6AA2" w:rsidR="00276F13" w:rsidRPr="00276F13" w:rsidRDefault="00276F13" w:rsidP="00276F13">
      <w:pPr>
        <w:pStyle w:val="NormalWeb"/>
        <w:rPr>
          <w:rFonts w:ascii="Segoe UI" w:hAnsi="Segoe UI" w:cs="Segoe UI"/>
        </w:rPr>
      </w:pPr>
      <w:r w:rsidRPr="00276F13">
        <w:rPr>
          <w:rFonts w:ascii="Segoe UI" w:hAnsi="Segoe UI" w:cs="Segoe UI"/>
        </w:rPr>
        <w:t xml:space="preserve">The </w:t>
      </w:r>
      <w:r w:rsidR="008375CF" w:rsidRPr="008375CF">
        <w:rPr>
          <w:rFonts w:ascii="Segoe UI" w:hAnsi="Segoe UI" w:cs="Segoe UI"/>
          <w:b/>
          <w:bCs/>
        </w:rPr>
        <w:t>Random Forest</w:t>
      </w:r>
      <w:r w:rsidRPr="00276F13">
        <w:rPr>
          <w:rFonts w:ascii="Segoe UI" w:hAnsi="Segoe UI" w:cs="Segoe UI"/>
        </w:rPr>
        <w:t xml:space="preserve"> proved to be the most robust architecture. It achieved an optimal Test RMSE of </w:t>
      </w:r>
      <w:r w:rsidR="008375CF" w:rsidRPr="008375CF">
        <w:rPr>
          <w:rFonts w:ascii="Segoe UI" w:hAnsi="Segoe UI" w:cs="Segoe UI"/>
          <w:b/>
          <w:bCs/>
        </w:rPr>
        <w:t>1.047135</w:t>
      </w:r>
      <w:r w:rsidRPr="00276F13">
        <w:rPr>
          <w:rFonts w:ascii="Segoe UI" w:hAnsi="Segoe UI" w:cs="Segoe UI"/>
        </w:rPr>
        <w:t xml:space="preserve"> and an </w:t>
      </w:r>
      <w:r w:rsidRPr="00276F13">
        <w:rPr>
          <w:rStyle w:val="math-inline"/>
          <w:rFonts w:ascii="Segoe UI" w:hAnsi="Segoe UI" w:cs="Segoe UI"/>
        </w:rPr>
        <w:t>R</w:t>
      </w:r>
      <w:r w:rsidR="008375CF">
        <w:rPr>
          <w:rStyle w:val="math-inline"/>
          <w:rFonts w:ascii="Segoe UI" w:hAnsi="Segoe UI" w:cs="Segoe UI"/>
          <w:vertAlign w:val="superscript"/>
        </w:rPr>
        <w:t>2</w:t>
      </w:r>
      <w:r w:rsidRPr="00276F13">
        <w:rPr>
          <w:rFonts w:ascii="Segoe UI" w:hAnsi="Segoe UI" w:cs="Segoe UI"/>
        </w:rPr>
        <w:t xml:space="preserve"> of </w:t>
      </w:r>
      <w:r w:rsidR="008375CF" w:rsidRPr="008375CF">
        <w:rPr>
          <w:rFonts w:ascii="Segoe UI" w:hAnsi="Segoe UI" w:cs="Segoe UI"/>
          <w:b/>
          <w:bCs/>
        </w:rPr>
        <w:t>0.999035</w:t>
      </w:r>
      <w:r w:rsidRPr="00276F13">
        <w:rPr>
          <w:rFonts w:ascii="Segoe UI" w:hAnsi="Segoe UI" w:cs="Segoe UI"/>
        </w:rPr>
        <w:t xml:space="preserve">, successfully capturing the vast majority of variance in energy usage. Furthermore, its 5-fold CV Mean RMSE of </w:t>
      </w:r>
      <w:r w:rsidR="008375CF" w:rsidRPr="008375CF">
        <w:rPr>
          <w:rFonts w:ascii="Segoe UI" w:hAnsi="Segoe UI" w:cs="Segoe UI"/>
          <w:b/>
          <w:bCs/>
        </w:rPr>
        <w:t>1.135788</w:t>
      </w:r>
      <w:r w:rsidRPr="00276F13">
        <w:rPr>
          <w:rFonts w:ascii="Segoe UI" w:hAnsi="Segoe UI" w:cs="Segoe UI"/>
        </w:rPr>
        <w:t xml:space="preserve"> aligns closely with its test performance, suggesting excellent generalization without severe overfitting. The scatter plot of Predicted vs. Actual usage confirms this, displaying tight alignment along the optimal prediction diagonal with minimal dispersion at both the low and high consumption extremes.</w:t>
      </w:r>
    </w:p>
    <w:p w14:paraId="44860821" w14:textId="10458F0B" w:rsidR="00276F13" w:rsidRPr="000F320B" w:rsidRDefault="00276F13" w:rsidP="000F320B">
      <w:pPr>
        <w:pStyle w:val="NormalWeb"/>
        <w:rPr>
          <w:rFonts w:ascii="Segoe UI" w:hAnsi="Segoe UI" w:cs="Segoe UI"/>
        </w:rPr>
      </w:pPr>
      <w:r w:rsidRPr="00276F13">
        <w:rPr>
          <w:rFonts w:ascii="Segoe UI" w:hAnsi="Segoe UI" w:cs="Segoe UI"/>
        </w:rPr>
        <w:t xml:space="preserve">Moving forward, the </w:t>
      </w:r>
      <w:r w:rsidR="00A47A05">
        <w:rPr>
          <w:rFonts w:ascii="Segoe UI" w:hAnsi="Segoe UI" w:cs="Segoe UI"/>
          <w:b/>
          <w:bCs/>
        </w:rPr>
        <w:t xml:space="preserve">Random Forest </w:t>
      </w:r>
      <w:r w:rsidRPr="00276F13">
        <w:rPr>
          <w:rFonts w:ascii="Segoe UI" w:hAnsi="Segoe UI" w:cs="Segoe UI"/>
        </w:rPr>
        <w:t>will serve as the primary architecture for this pipeline. Future optimization iterations will focus on hyperparameter tuning and feature importance pruning to streamline inference efficiency without sacrificing predictive accuracy.</w:t>
      </w:r>
    </w:p>
    <w:sectPr w:rsidR="00276F13" w:rsidRPr="000F3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FF2"/>
    <w:rsid w:val="000F320B"/>
    <w:rsid w:val="00276F13"/>
    <w:rsid w:val="008375CF"/>
    <w:rsid w:val="00943754"/>
    <w:rsid w:val="00A47A05"/>
    <w:rsid w:val="00D31F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52EFC"/>
  <w15:chartTrackingRefBased/>
  <w15:docId w15:val="{0DC34065-C4F9-4F08-8812-348C3476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F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76F1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76F1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276F13"/>
    <w:rPr>
      <w:rFonts w:asciiTheme="majorHAnsi" w:eastAsiaTheme="majorEastAsia" w:hAnsiTheme="majorHAnsi" w:cstheme="majorBidi"/>
      <w:color w:val="2F5496" w:themeColor="accent1" w:themeShade="BF"/>
      <w:sz w:val="32"/>
      <w:szCs w:val="32"/>
    </w:rPr>
  </w:style>
  <w:style w:type="character" w:customStyle="1" w:styleId="math-inline">
    <w:name w:val="math-inline"/>
    <w:basedOn w:val="DefaultParagraphFont"/>
    <w:rsid w:val="00276F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854489">
      <w:bodyDiv w:val="1"/>
      <w:marLeft w:val="0"/>
      <w:marRight w:val="0"/>
      <w:marTop w:val="0"/>
      <w:marBottom w:val="0"/>
      <w:divBdr>
        <w:top w:val="none" w:sz="0" w:space="0" w:color="auto"/>
        <w:left w:val="none" w:sz="0" w:space="0" w:color="auto"/>
        <w:bottom w:val="none" w:sz="0" w:space="0" w:color="auto"/>
        <w:right w:val="none" w:sz="0" w:space="0" w:color="auto"/>
      </w:divBdr>
    </w:div>
    <w:div w:id="186135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dc:creator>
  <cp:keywords/>
  <dc:description/>
  <cp:lastModifiedBy>SAAD</cp:lastModifiedBy>
  <cp:revision>7</cp:revision>
  <dcterms:created xsi:type="dcterms:W3CDTF">2026-07-19T07:19:00Z</dcterms:created>
  <dcterms:modified xsi:type="dcterms:W3CDTF">2026-07-19T07:40:00Z</dcterms:modified>
</cp:coreProperties>
</file>