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1A1A"/>
          <w:sz w:val="36"/>
        </w:rPr>
        <w:t>ProverbGap MCQ: Hardened Adversarial Distractor Generation</w:t>
      </w:r>
    </w:p>
    <w:p>
      <w:pPr>
        <w:jc w:val="center"/>
      </w:pPr>
      <w:r>
        <w:rPr>
          <w:i/>
          <w:color w:val="444444"/>
          <w:sz w:val="22"/>
        </w:rPr>
        <w:t>Research Brief for Collaborators, Reviewers, and Community Annotators</w:t>
      </w:r>
    </w:p>
    <w:p/>
    <w:p>
      <w:pPr>
        <w:pStyle w:val="Heading1"/>
      </w:pPr>
      <w:r>
        <w:t>1. One Question Through the Pipeline</w:t>
      </w:r>
    </w:p>
    <w:p>
      <w:r>
        <w:t>Arabic proverb: مراية الحب عمياء / بصلة المحب خروف</w:t>
        <w:br/>
        <w:t>Gloss: Love is blind.</w:t>
        <w:br/>
        <w:t>Four English options generated by a heterogeneous model committee:</w:t>
      </w:r>
    </w:p>
    <w:p>
      <w:r>
        <w:t>A) Deep affection often blinds individuals to the imperfections of those they cherish. (correct)</w:t>
        <w:br/>
      </w:r>
      <w:r>
        <w:t>B) Love can transform even the most humble offerings into something precious.</w:t>
        <w:br/>
      </w:r>
      <w:r>
        <w:t>C) True devotion means accepting a partner's flaws without any desire for change.</w:t>
        <w:br/>
      </w:r>
      <w:r>
        <w:t>D) The believer is not bitten from the same hole twice.</w:t>
      </w:r>
      <w:r>
        <w:br/>
        <w:br/>
        <w:t>Four blind LLM auditors vote A–D. If 3 or 4 agree on a wrong answer, the item becomes a high-consensus-wrong (HCW) failure — the distractor is tempting enough to fool the committee.</w:t>
      </w:r>
    </w:p>
    <w:p>
      <w:r>
        <w:t>Scale this to 180 MCQs across 15 proverbs in 3 languages, each seen by 4 auditors (720 model-question rows). We test: H1 — Do adversarial distractors resist shortcuts? H2 — Does the corpus fallback sampler produce confident-wrong traps? H3 — Is there a per-language gap in distractor quality?</w:t>
      </w:r>
    </w:p>
    <w:p>
      <w:pPr>
        <w:pStyle w:val="Heading1"/>
      </w:pPr>
      <w:r>
        <w:t>2. The Problem</w:t>
      </w:r>
    </w:p>
    <w:p>
      <w:r>
        <w:t>Earlier distractor-generation work produced MCQs that were either trivially easy (100% consensus correct) or confidently wrong (auditors agree on the wrong answer). The root cause was a corpus-based fallback sampler: when NLI paraphrase or correct-meaning-leak filters rejected a model-generated distractor, the pipeline sampled a fallback from other proverbs' meanings — often generic moral statements or culturally mismatched idioms. Those fallbacks were plausible enough to attract auditor consensus, but wrong.</w:t>
      </w:r>
    </w:p>
    <w:p>
      <w:r>
        <w:t>Key insight: You cannot trust distractors unless the fallback sampler is replaced or its output is filtered as aggressively as generator outputs. Our design applies the same filter stack to both.</w:t>
      </w:r>
    </w:p>
    <w:p>
      <w:pPr>
        <w:pStyle w:val="Heading1"/>
      </w:pPr>
      <w:r>
        <w:t>3. Our Methodological Fix</w:t>
      </w:r>
    </w:p>
    <w:p>
      <w:r>
        <w:t>A hardened distractor-generation and blind-audit pipeline for English, Arabic, and Yoruba proverbs. Every item passes through adversarial prompt variants, dynamic model pools, semantic/NLI/length/idiom filters, and a blind options-only audit committee.</w:t>
      </w:r>
    </w:p>
    <w:p>
      <w:r>
        <w:t>Dataset: 180 MCQs (v68 production; 15 proverbs × 4 variants × 3 generators)</w:t>
        <w:br/>
        <w:t>Languages: English (5), Arabic (5), Yoruba (5)</w:t>
        <w:br/>
        <w:t>Generators: qwen/qwen3.7-max, google/gemma-4-31b-it, google/gemini-2.5-flash</w:t>
        <w:br/>
        <w:t>Auditors: meta-llama/llama-3.3-70b-instruct, mistralai/mistral-small-3.2-24b-instruct, google/gemma-3-27b-it, deepseek/deepseek-v3.2</w:t>
        <w:br/>
        <w:t>Filters: Blocklist, correct-meaning leak guard, NLI paraphrase filter, length parity (±35%/±45%), duplicate repair, offensive-content guard</w:t>
      </w:r>
    </w:p>
    <w:p>
      <w:pPr>
        <w:pStyle w:val="Heading1"/>
      </w:pPr>
      <w:r>
        <w:t>4. What the Data Shows (v68 Production Dataset)</w:t>
      </w:r>
    </w:p>
    <w:p>
      <w:r>
        <w:t>The frozen v67 config was run at N=5. Cost was $0.85 / $5.00 cap. All shortcut-resistance gates failed except duplicates and key balance — which is itself a citable finding.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v68 N=5</w:t>
            </w:r>
          </w:p>
        </w:tc>
        <w:tc>
          <w:tcPr>
            <w:tcW w:type="dxa" w:w="2160"/>
          </w:tcPr>
          <w:p>
            <w:r>
              <w:t>Target</w:t>
            </w:r>
          </w:p>
        </w:tc>
        <w:tc>
          <w:tcPr>
            <w:tcW w:type="dxa" w:w="2160"/>
          </w:tcPr>
          <w:p>
            <w:r>
              <w:t>Status</w:t>
            </w:r>
          </w:p>
        </w:tc>
      </w:tr>
      <w:tr>
        <w:tc>
          <w:tcPr>
            <w:tcW w:type="dxa" w:w="2160"/>
          </w:tcPr>
          <w:p>
            <w:r>
              <w:t>Consensus accuracy</w:t>
            </w:r>
          </w:p>
        </w:tc>
        <w:tc>
          <w:tcPr>
            <w:tcW w:type="dxa" w:w="2160"/>
          </w:tcPr>
          <w:p>
            <w:r>
              <w:t>56.7% (102/180)</w:t>
            </w:r>
          </w:p>
        </w:tc>
        <w:tc>
          <w:tcPr>
            <w:tcW w:type="dxa" w:w="2160"/>
          </w:tcPr>
          <w:p>
            <w:r>
              <w:t>—</w:t>
            </w:r>
          </w:p>
        </w:tc>
        <w:tc>
          <w:tcPr>
            <w:tcW w:type="dxa" w:w="2160"/>
          </w:tcPr>
          <w:p>
            <w:r>
              <w:t>—</w:t>
            </w:r>
          </w:p>
        </w:tc>
      </w:tr>
      <w:tr>
        <w:tc>
          <w:tcPr>
            <w:tcW w:type="dxa" w:w="2160"/>
          </w:tcPr>
          <w:p>
            <w:r>
              <w:t>Perfect consensus</w:t>
            </w:r>
          </w:p>
        </w:tc>
        <w:tc>
          <w:tcPr>
            <w:tcW w:type="dxa" w:w="2160"/>
          </w:tcPr>
          <w:p>
            <w:r>
              <w:t>41.7% (75/180)</w:t>
            </w:r>
          </w:p>
        </w:tc>
        <w:tc>
          <w:tcPr>
            <w:tcW w:type="dxa" w:w="2160"/>
          </w:tcPr>
          <w:p>
            <w:r>
              <w:t>&lt; 30%</w:t>
            </w:r>
          </w:p>
        </w:tc>
        <w:tc>
          <w:tcPr>
            <w:tcW w:type="dxa" w:w="2160"/>
          </w:tcPr>
          <w:p>
            <w:r>
              <w:t>FAIL</w:t>
            </w:r>
          </w:p>
        </w:tc>
      </w:tr>
      <w:tr>
        <w:tc>
          <w:tcPr>
            <w:tcW w:type="dxa" w:w="2160"/>
          </w:tcPr>
          <w:p>
            <w:r>
              <w:t>High-consensus-wrong (HCW)</w:t>
            </w:r>
          </w:p>
        </w:tc>
        <w:tc>
          <w:tcPr>
            <w:tcW w:type="dxa" w:w="2160"/>
          </w:tcPr>
          <w:p>
            <w:r>
              <w:t>27.8% (50/180)</w:t>
            </w:r>
          </w:p>
        </w:tc>
        <w:tc>
          <w:tcPr>
            <w:tcW w:type="dxa" w:w="2160"/>
          </w:tcPr>
          <w:p>
            <w:r>
              <w:t>&lt; 10%</w:t>
            </w:r>
          </w:p>
        </w:tc>
        <w:tc>
          <w:tcPr>
            <w:tcW w:type="dxa" w:w="2160"/>
          </w:tcPr>
          <w:p>
            <w:r>
              <w:t>FAIL</w:t>
            </w:r>
          </w:p>
        </w:tc>
      </w:tr>
      <w:tr>
        <w:tc>
          <w:tcPr>
            <w:tcW w:type="dxa" w:w="2160"/>
          </w:tcPr>
          <w:p>
            <w:r>
              <w:t>Partial + fallback</w:t>
            </w:r>
          </w:p>
        </w:tc>
        <w:tc>
          <w:tcPr>
            <w:tcW w:type="dxa" w:w="2160"/>
          </w:tcPr>
          <w:p>
            <w:r>
              <w:t>43.9% (79/180)</w:t>
            </w:r>
          </w:p>
        </w:tc>
        <w:tc>
          <w:tcPr>
            <w:tcW w:type="dxa" w:w="2160"/>
          </w:tcPr>
          <w:p>
            <w:r>
              <w:t>&lt; 15%</w:t>
            </w:r>
          </w:p>
        </w:tc>
        <w:tc>
          <w:tcPr>
            <w:tcW w:type="dxa" w:w="2160"/>
          </w:tcPr>
          <w:p>
            <w:r>
              <w:t>FAIL</w:t>
            </w:r>
          </w:p>
        </w:tc>
      </w:tr>
      <w:tr>
        <w:tc>
          <w:tcPr>
            <w:tcW w:type="dxa" w:w="2160"/>
          </w:tcPr>
          <w:p>
            <w:r>
              <w:t>Duplicate options</w:t>
            </w:r>
          </w:p>
        </w:tc>
        <w:tc>
          <w:tcPr>
            <w:tcW w:type="dxa" w:w="2160"/>
          </w:tcPr>
          <w:p>
            <w:r>
              <w:t>0</w:t>
            </w:r>
          </w:p>
        </w:tc>
        <w:tc>
          <w:tcPr>
            <w:tcW w:type="dxa" w:w="2160"/>
          </w:tcPr>
          <w:p>
            <w:r>
              <w:t>0</w:t>
            </w:r>
          </w:p>
        </w:tc>
        <w:tc>
          <w:tcPr>
            <w:tcW w:type="dxa" w:w="2160"/>
          </w:tcPr>
          <w:p>
            <w:r>
              <w:t>PASS</w:t>
            </w:r>
          </w:p>
        </w:tc>
      </w:tr>
      <w:tr>
        <w:tc>
          <w:tcPr>
            <w:tcW w:type="dxa" w:w="2160"/>
          </w:tcPr>
          <w:p>
            <w:r>
              <w:t>Correct-key balance</w:t>
            </w:r>
          </w:p>
        </w:tc>
        <w:tc>
          <w:tcPr>
            <w:tcW w:type="dxa" w:w="2160"/>
          </w:tcPr>
          <w:p>
            <w:r>
              <w:t>45 / 45 / 45 / 45</w:t>
            </w:r>
          </w:p>
        </w:tc>
        <w:tc>
          <w:tcPr>
            <w:tcW w:type="dxa" w:w="2160"/>
          </w:tcPr>
          <w:p>
            <w:r>
              <w:t>~25% each</w:t>
            </w:r>
          </w:p>
        </w:tc>
        <w:tc>
          <w:tcPr>
            <w:tcW w:type="dxa" w:w="2160"/>
          </w:tcPr>
          <w:p>
            <w:r>
              <w:t>PASS</w:t>
            </w:r>
          </w:p>
        </w:tc>
      </w:tr>
      <w:tr>
        <w:tc>
          <w:tcPr>
            <w:tcW w:type="dxa" w:w="2160"/>
          </w:tcPr>
          <w:p>
            <w:r>
              <w:t>Missing audit votes</w:t>
            </w:r>
          </w:p>
        </w:tc>
        <w:tc>
          <w:tcPr>
            <w:tcW w:type="dxa" w:w="2160"/>
          </w:tcPr>
          <w:p>
            <w:r>
              <w:t>0 / 720</w:t>
            </w:r>
          </w:p>
        </w:tc>
        <w:tc>
          <w:tcPr>
            <w:tcW w:type="dxa" w:w="2160"/>
          </w:tcPr>
          <w:p>
            <w:r>
              <w:t>0</w:t>
            </w:r>
          </w:p>
        </w:tc>
        <w:tc>
          <w:tcPr>
            <w:tcW w:type="dxa" w:w="2160"/>
          </w:tcPr>
          <w:p>
            <w:r>
              <w:t>PASS</w:t>
            </w:r>
          </w:p>
        </w:tc>
      </w:tr>
    </w:tbl>
    <w:p/>
    <w:p>
      <w:r>
        <w:rPr>
          <w:b/>
        </w:rPr>
        <w:t xml:space="preserve">Per-language consensus accuracy: </w:t>
      </w:r>
      <w:r>
        <w:t>English 65.0%, Arabic 53.3%, Yoruba 51.7%. All meet the ≥50% gate, but Arabic and Yoruba are fragile. English is too easy (45% perfect consensus). The most serious issue is HCW, which rose from 11.1% at N=1 to 27.8% at N=5 because corpus fallbacks frequently attract auditor consensus. This is the exact failure mode the paper will document as a reproducible taxonomy: generic reversal, near-paraphrase trap, confident-wrong fallback, cultural mismatch, length/register imbalance.</w:t>
      </w:r>
    </w:p>
    <w:p>
      <w:r>
        <w:t>Why some gates fail is a contribution, not just a bug. The v68 dataset is frozen, reproducible, and ready for human validation.</w:t>
      </w:r>
    </w:p>
    <w:p>
      <w:pPr>
        <w:pStyle w:val="Heading1"/>
      </w:pPr>
      <w:r>
        <w:t>5. Current State: Annotation Workflow</w:t>
      </w:r>
    </w:p>
    <w:p>
      <w:r>
        <w:t>We have built a reviewer-proof annotation layer ready for native-speaker collaborators.</w:t>
      </w:r>
    </w:p>
    <w:p>
      <w:r>
        <w:t>Sample: 60 MCQs (20 per language) stratified by generation status and consensus correctness</w:t>
        <w:br/>
        <w:t>Blinding: Correct labels, consensus labels, and all vote columns are removed before export</w:t>
        <w:br/>
        <w:t>Rubric: Correct answer (A–D), distractor plausibility (1–5), shortcut flags, confidence (1–3)</w:t>
        <w:br/>
        <w:t>Quality controls: Attention checks, timing gates, post-hoc quality filters</w:t>
        <w:br/>
        <w:t>LLM proxy IAA: 3 closed OpenRouter models on the 60-item sample show Fleiss κ = 0.67 and 78% match to gold meaning; they match the v68 consensus label only 50–58%, confirming the committee is unreliable on ~22% of items.</w:t>
      </w:r>
    </w:p>
    <w:p>
      <w:pPr>
        <w:pStyle w:val="Heading1"/>
      </w:pPr>
      <w:r>
        <w:t>6. Validation: Why This Holds 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Result</w:t>
            </w:r>
          </w:p>
        </w:tc>
        <w:tc>
          <w:tcPr>
            <w:tcW w:type="dxa" w:w="2880"/>
          </w:tcPr>
          <w:p>
            <w:r>
              <w:t>Status</w:t>
            </w:r>
          </w:p>
        </w:tc>
      </w:tr>
      <w:tr>
        <w:tc>
          <w:tcPr>
            <w:tcW w:type="dxa" w:w="2880"/>
          </w:tcPr>
          <w:p>
            <w:r>
              <w:t>Pipeline integrity</w:t>
            </w:r>
          </w:p>
        </w:tc>
        <w:tc>
          <w:tcPr>
            <w:tcW w:type="dxa" w:w="2880"/>
          </w:tcPr>
          <w:p>
            <w:r>
              <w:t>0 parse failures, 0 API failures across 4 auditors × 180 items</w:t>
            </w:r>
          </w:p>
        </w:tc>
        <w:tc>
          <w:tcPr>
            <w:tcW w:type="dxa" w:w="2880"/>
          </w:tcPr>
          <w:p>
            <w:r>
              <w:t>PASS</w:t>
            </w:r>
          </w:p>
        </w:tc>
      </w:tr>
      <w:tr>
        <w:tc>
          <w:tcPr>
            <w:tcW w:type="dxa" w:w="2880"/>
          </w:tcPr>
          <w:p>
            <w:r>
              <w:t>Cost transparency</w:t>
            </w:r>
          </w:p>
        </w:tc>
        <w:tc>
          <w:tcPr>
            <w:tcW w:type="dxa" w:w="2880"/>
          </w:tcPr>
          <w:p>
            <w:r>
              <w:t>$0.85 total for v68 run, fully logged</w:t>
            </w:r>
          </w:p>
        </w:tc>
        <w:tc>
          <w:tcPr>
            <w:tcW w:type="dxa" w:w="2880"/>
          </w:tcPr>
          <w:p>
            <w:r>
              <w:t>PASS</w:t>
            </w:r>
          </w:p>
        </w:tc>
      </w:tr>
      <w:tr>
        <w:tc>
          <w:tcPr>
            <w:tcW w:type="dxa" w:w="2880"/>
          </w:tcPr>
          <w:p>
            <w:r>
              <w:t>Key balance</w:t>
            </w:r>
          </w:p>
        </w:tc>
        <w:tc>
          <w:tcPr>
            <w:tcW w:type="dxa" w:w="2880"/>
          </w:tcPr>
          <w:p>
            <w:r>
              <w:t>45/45/45/45 A/B/C/D across all languages</w:t>
            </w:r>
          </w:p>
        </w:tc>
        <w:tc>
          <w:tcPr>
            <w:tcW w:type="dxa" w:w="2880"/>
          </w:tcPr>
          <w:p>
            <w:r>
              <w:t>PASS</w:t>
            </w:r>
          </w:p>
        </w:tc>
      </w:tr>
      <w:tr>
        <w:tc>
          <w:tcPr>
            <w:tcW w:type="dxa" w:w="2880"/>
          </w:tcPr>
          <w:p>
            <w:r>
              <w:t>Duplicate suppression</w:t>
            </w:r>
          </w:p>
        </w:tc>
        <w:tc>
          <w:tcPr>
            <w:tcW w:type="dxa" w:w="2880"/>
          </w:tcPr>
          <w:p>
            <w:r>
              <w:t>0 exact duplicates, near-duplicates repaired</w:t>
            </w:r>
          </w:p>
        </w:tc>
        <w:tc>
          <w:tcPr>
            <w:tcW w:type="dxa" w:w="2880"/>
          </w:tcPr>
          <w:p>
            <w:r>
              <w:t>PASS</w:t>
            </w:r>
          </w:p>
        </w:tc>
      </w:tr>
      <w:tr>
        <w:tc>
          <w:tcPr>
            <w:tcW w:type="dxa" w:w="2880"/>
          </w:tcPr>
          <w:p>
            <w:r>
              <w:t>Blinding</w:t>
            </w:r>
          </w:p>
        </w:tc>
        <w:tc>
          <w:tcPr>
            <w:tcW w:type="dxa" w:w="2880"/>
          </w:tcPr>
          <w:p>
            <w:r>
              <w:t>Correct/consensus/vote columns excluded from annotation export</w:t>
            </w:r>
          </w:p>
        </w:tc>
        <w:tc>
          <w:tcPr>
            <w:tcW w:type="dxa" w:w="2880"/>
          </w:tcPr>
          <w:p>
            <w:r>
              <w:t>PASS</w:t>
            </w:r>
          </w:p>
        </w:tc>
      </w:tr>
      <w:tr>
        <w:tc>
          <w:tcPr>
            <w:tcW w:type="dxa" w:w="2880"/>
          </w:tcPr>
          <w:p>
            <w:r>
              <w:t>LLM proxy agreement</w:t>
            </w:r>
          </w:p>
        </w:tc>
        <w:tc>
          <w:tcPr>
            <w:tcW w:type="dxa" w:w="2880"/>
          </w:tcPr>
          <w:p>
            <w:r>
              <w:t>Fleiss κ = 0.67, 78% match gold</w:t>
            </w:r>
          </w:p>
        </w:tc>
        <w:tc>
          <w:tcPr>
            <w:tcW w:type="dxa" w:w="2880"/>
          </w:tcPr>
          <w:p>
            <w:r>
              <w:t>PASS</w:t>
            </w:r>
          </w:p>
        </w:tc>
      </w:tr>
      <w:tr>
        <w:tc>
          <w:tcPr>
            <w:tcW w:type="dxa" w:w="2880"/>
          </w:tcPr>
          <w:p>
            <w:r>
              <w:t>Reproducibility</w:t>
            </w:r>
          </w:p>
        </w:tc>
        <w:tc>
          <w:tcPr>
            <w:tcW w:type="dxa" w:w="2880"/>
          </w:tcPr>
          <w:p>
            <w:r>
              <w:t>Seed 20260615, deterministic shuffling, timestamped outputs</w:t>
            </w:r>
          </w:p>
        </w:tc>
        <w:tc>
          <w:tcPr>
            <w:tcW w:type="dxa" w:w="2880"/>
          </w:tcPr>
          <w:p>
            <w:r>
              <w:t>PASS</w:t>
            </w:r>
          </w:p>
        </w:tc>
      </w:tr>
      <w:tr>
        <w:tc>
          <w:tcPr>
            <w:tcW w:type="dxa" w:w="2880"/>
          </w:tcPr>
          <w:p>
            <w:r>
              <w:t>Position bias</w:t>
            </w:r>
          </w:p>
        </w:tc>
        <w:tc>
          <w:tcPr>
            <w:tcW w:type="dxa" w:w="2880"/>
          </w:tcPr>
          <w:p>
            <w:r>
              <w:t>A/B/C/D perfectly balanced per language</w:t>
            </w:r>
          </w:p>
        </w:tc>
        <w:tc>
          <w:tcPr>
            <w:tcW w:type="dxa" w:w="2880"/>
          </w:tcPr>
          <w:p>
            <w:r>
              <w:t>PASS</w:t>
            </w:r>
          </w:p>
        </w:tc>
      </w:tr>
    </w:tbl>
    <w:p/>
    <w:p>
      <w:pPr>
        <w:pStyle w:val="Heading1"/>
      </w:pPr>
      <w:r>
        <w:t>7. What Comes Next</w:t>
      </w:r>
    </w:p>
    <w:p>
      <w:pPr>
        <w:pStyle w:val="ListNumber"/>
      </w:pPr>
      <w:r>
        <w:rPr>
          <w:b/>
        </w:rPr>
        <w:t xml:space="preserve">Human annotation: </w:t>
      </w:r>
      <w:r>
        <w:t>Share the 60-item blinded packet with 2–3 native speakers per language (6–9 annotators total). The app enforces attention checks and timing gates.</w:t>
      </w:r>
    </w:p>
    <w:p>
      <w:pPr>
        <w:pStyle w:val="ListNumber"/>
      </w:pPr>
      <w:r>
        <w:rPr>
          <w:b/>
        </w:rPr>
        <w:t xml:space="preserve">Compute IAA: </w:t>
      </w:r>
      <w:r>
        <w:t>Run annotation/compute_iaa.py to get Fleiss' κ, pairwise Cohen's κ, per-language accuracy, and agreement with v68 consensus.</w:t>
      </w:r>
    </w:p>
    <w:p>
      <w:pPr>
        <w:pStyle w:val="ListNumber"/>
      </w:pPr>
      <w:r>
        <w:rPr>
          <w:b/>
        </w:rPr>
        <w:t xml:space="preserve">Quality filters: </w:t>
      </w:r>
      <w:r>
        <w:t>Exclude speeders (&lt;10 s/item), inattentive annotators (&gt;20% attention-check failures), and random clickers.</w:t>
      </w:r>
    </w:p>
    <w:p>
      <w:pPr>
        <w:pStyle w:val="ListNumber"/>
      </w:pPr>
      <w:r>
        <w:rPr>
          <w:b/>
        </w:rPr>
        <w:t xml:space="preserve">Update manuscript: </w:t>
      </w:r>
      <w:r>
        <w:t>Insert human-validation numbers into Results/Discussion. Structure is already written.</w:t>
      </w:r>
    </w:p>
    <w:p>
      <w:pPr>
        <w:pStyle w:val="ListNumber"/>
      </w:pPr>
      <w:r>
        <w:rPr>
          <w:b/>
        </w:rPr>
        <w:t xml:space="preserve">Submit: </w:t>
      </w:r>
      <w:r>
        <w:t>Target: EACL 2027 via ARR (deadline 3 August 2026). Safety net: COLING 2027.</w:t>
      </w:r>
    </w:p>
    <w:p>
      <w:r>
        <w:t>Annotations export to CSV at any time. No lock-in, no proprietary format.</w:t>
      </w:r>
    </w:p>
    <w:p>
      <w:pPr>
        <w:pStyle w:val="Heading1"/>
      </w:pPr>
      <w:r>
        <w:t>8. Quick FAQ for Annotators</w:t>
      </w:r>
    </w:p>
    <w:p>
      <w:r>
        <w:rPr>
          <w:b/>
        </w:rPr>
        <w:t>What do annotators see?</w:t>
      </w:r>
    </w:p>
    <w:p>
      <w:pPr>
        <w:ind w:left="360"/>
      </w:pPr>
      <w:r>
        <w:t>Only the proverb in its original language and four English options A–D. The correct answer and v68 consensus label are hidden. Annotators select the best meaning, rate each distractor's plausibility (1–5), flag shortcut patterns, and state confidence (1–3).</w:t>
      </w:r>
    </w:p>
    <w:p>
      <w:r>
        <w:rPr>
          <w:b/>
        </w:rPr>
        <w:t>Is the v68 consensus label ground truth?</w:t>
      </w:r>
    </w:p>
    <w:p>
      <w:pPr>
        <w:ind w:left="360"/>
      </w:pPr>
      <w:r>
        <w:t>No. The consensus label is the majority vote of 4 LLM auditors. The curated gold meaning is the more trustworthy target. Human annotators will resolve discrepancies.</w:t>
      </w:r>
    </w:p>
    <w:p>
      <w:r>
        <w:rPr>
          <w:b/>
        </w:rPr>
        <w:t>Can I reproduce the v68 results?</w:t>
      </w:r>
    </w:p>
    <w:p>
      <w:pPr>
        <w:ind w:left="360"/>
      </w:pPr>
      <w:r>
        <w:t>Yes. All seeds, model strings, prompt variants, and filter thresholds are documented. The analysis notebook uses no API calls.</w:t>
      </w:r>
    </w:p>
    <w:p>
      <w:r>
        <w:rPr>
          <w:b/>
        </w:rPr>
        <w:t>Are the LLM proxies a substitute for humans?</w:t>
      </w:r>
    </w:p>
    <w:p>
      <w:pPr>
        <w:ind w:left="360"/>
      </w:pPr>
      <w:r>
        <w:t>No. They are answer-only proxies used to validate the pipeline. The human rubric (plausibility, confidence, shortcut flags) is the paper-required deliverable.</w:t>
      </w:r>
    </w:p>
    <w:p/>
    <w:p>
      <w:pPr>
        <w:jc w:val="center"/>
      </w:pPr>
      <w:r>
        <w:rPr>
          <w:i/>
        </w:rPr>
        <w:t>— End of brief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