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rFonts w:ascii="Times New Roman" w:cs="Times New Roman" w:eastAsia="Times New Roman" w:hAnsi="Times New Roman"/>
          <w:b w:val="1"/>
          <w:bCs w:val="1"/>
          <w:sz w:val="28"/>
          <w:szCs w:val="28"/>
          <w:rtl w:val="0"/>
        </w:rPr>
        <w:t xml:space="preserve">Literature Review</w:t>
      </w:r>
      <w:r w:rsidDel="00000000" w:rsidR="00000000" w:rsidRPr="00000000">
        <w:rPr>
          <w:rtl w:val="0"/>
        </w:rPr>
      </w:r>
    </w:p>
    <w:p w:rsidR="00000000" w:rsidDel="00000000" w:rsidP="00000000" w:rsidRDefault="00000000" w:rsidRPr="00000000" w14:paraId="00000002">
      <w:pPr>
        <w:spacing w:after="400" w:lineRule="auto"/>
        <w:rPr/>
      </w:pPr>
      <w:r w:rsidDel="00000000" w:rsidR="00000000" w:rsidRPr="00000000">
        <w:rPr>
          <w:rFonts w:ascii="Times New Roman" w:cs="Times New Roman" w:eastAsia="Times New Roman" w:hAnsi="Times New Roman"/>
          <w:i w:val="1"/>
          <w:iCs w:val="1"/>
          <w:sz w:val="24"/>
          <w:szCs w:val="24"/>
          <w:rtl w:val="0"/>
        </w:rPr>
        <w:t xml:space="preserve">InsightPaper AI: A RAG-Based System for Automated Research Paper Analysis Using Fine-Tuned Sentence Transformers and LLaMA 3.1</w:t>
      </w:r>
      <w:r w:rsidDel="00000000" w:rsidR="00000000" w:rsidRPr="00000000">
        <w:rPr>
          <w:rtl w:val="0"/>
        </w:rPr>
      </w:r>
    </w:p>
    <w:p w:rsidR="00000000" w:rsidDel="00000000" w:rsidP="00000000" w:rsidRDefault="00000000" w:rsidRPr="00000000" w14:paraId="00000003">
      <w:pPr>
        <w:pStyle w:val="Heading1"/>
        <w:spacing w:after="200" w:before="360" w:lineRule="auto"/>
        <w:rPr/>
      </w:pPr>
      <w:r w:rsidDel="00000000" w:rsidR="00000000" w:rsidRPr="00000000">
        <w:rPr>
          <w:rtl w:val="0"/>
        </w:rPr>
        <w:t xml:space="preserve">1. Introduction</w:t>
      </w:r>
    </w:p>
    <w:p w:rsidR="00000000" w:rsidDel="00000000" w:rsidP="00000000" w:rsidRDefault="00000000" w:rsidRPr="00000000" w14:paraId="00000004">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volume of scientific literature published each year continues to outpace the previous year, leaving researchers, academics, and students across almost every technical field with far more papers, preprints, and conference proceedings than they can realistically read in full. Traditional cover-to-cover reading cannot keep up with this pace, producing a heavy cognitive load, slow information processing, and lost time during literature reviews, precisely when time is most limited.</w:t>
      </w: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Modern Natural Language Processing (NLP) offers a practical way to address this problem. Rather than relying on humans to read every document from start to finish, automated systems can parse, index, summarise, and extract knowledge from papers at far greater scale and speed. Recent progress in deep learning has driven this shift, particularly transformer-based architectures, dense vector representation learning, and Large Language Models (LLMs), which have fundamentally changed how documents are processed and how information is retrieved from them.</w:t>
      </w:r>
      <w:r w:rsidDel="00000000" w:rsidR="00000000" w:rsidRPr="00000000">
        <w:rPr>
          <w:rtl w:val="0"/>
        </w:rPr>
      </w:r>
    </w:p>
    <w:p w:rsidR="00000000" w:rsidDel="00000000" w:rsidP="00000000" w:rsidRDefault="00000000" w:rsidRPr="00000000" w14:paraId="00000006">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literature review examines the ideas that make an automated research-paper assistant possible: transformer-based embeddings, Retrieval-Augmented Generation (RAG), contrastive fine-tuning of embedding models, vector index management at scale, and evaluation metrics. Together, these five areas form the scientific foundation for a system that parses scientific PDFs, searches them using dense semantic search, and answers natural-language questions using only the content of the paper itself.</w:t>
      </w:r>
      <w:r w:rsidDel="00000000" w:rsidR="00000000" w:rsidRPr="00000000">
        <w:rPr>
          <w:rtl w:val="0"/>
        </w:rPr>
      </w:r>
    </w:p>
    <w:p w:rsidR="00000000" w:rsidDel="00000000" w:rsidP="00000000" w:rsidRDefault="00000000" w:rsidRPr="00000000" w14:paraId="00000007">
      <w:pPr>
        <w:pStyle w:val="Heading1"/>
        <w:spacing w:after="200" w:before="360" w:lineRule="auto"/>
        <w:rPr/>
      </w:pPr>
      <w:r w:rsidDel="00000000" w:rsidR="00000000" w:rsidRPr="00000000">
        <w:rPr>
          <w:rtl w:val="0"/>
        </w:rPr>
        <w:t xml:space="preserve">2. Deep Learning and Document Processing Foundations</w:t>
      </w:r>
    </w:p>
    <w:p w:rsidR="00000000" w:rsidDel="00000000" w:rsidP="00000000" w:rsidRDefault="00000000" w:rsidRPr="00000000" w14:paraId="00000008">
      <w:pPr>
        <w:pStyle w:val="Heading2"/>
        <w:spacing w:after="160" w:before="280" w:lineRule="auto"/>
        <w:rPr/>
      </w:pPr>
      <w:r w:rsidDel="00000000" w:rsidR="00000000" w:rsidRPr="00000000">
        <w:rPr>
          <w:rtl w:val="0"/>
        </w:rPr>
        <w:t xml:space="preserve">2.1. Transformer Architectures in Academic NLP</w:t>
      </w:r>
    </w:p>
    <w:p w:rsidR="00000000" w:rsidDel="00000000" w:rsidP="00000000" w:rsidRDefault="00000000" w:rsidRPr="00000000" w14:paraId="00000009">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Almost all modern NLP now builds on the Transformer architecture introduced by Vaswani et al. (2017). Earlier recurrent neural networks (RNNs) processed text one word at a time, making it difficult to capture relationships between distant words. Transformers solved this with multi-head self-attention, which lets the model weigh every word against every other word in a sequence simultaneously. Because this happens in parallel rather than step by step, transformers train faster and capture long-range context far more effectively than RNNs, allowing pre-trained language models to reach state-of-the-art performance in document parsing, translation, summarisation, and reading comprehension.</w:t>
      </w:r>
      <w:r w:rsidDel="00000000" w:rsidR="00000000" w:rsidRPr="00000000">
        <w:rPr>
          <w:rtl w:val="0"/>
        </w:rPr>
      </w:r>
    </w:p>
    <w:p w:rsidR="00000000" w:rsidDel="00000000" w:rsidP="00000000" w:rsidRDefault="00000000" w:rsidRPr="00000000" w14:paraId="0000000A">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For scientific literature specifically, transformers matter for two connected reasons: they can turn dense, technical academic prose into continuous vector representations that capture deeper meaning rather than surface wording, and once relevant text has been found, they can generate fluent, accurate answers to a user's question, provided generation stays grounded in the retrieved paper context rather than the model's own general knowledge.</w:t>
      </w:r>
      <w:r w:rsidDel="00000000" w:rsidR="00000000" w:rsidRPr="00000000">
        <w:rPr>
          <w:rtl w:val="0"/>
        </w:rPr>
      </w:r>
    </w:p>
    <w:p w:rsidR="00000000" w:rsidDel="00000000" w:rsidP="00000000" w:rsidRDefault="00000000" w:rsidRPr="00000000" w14:paraId="0000000B">
      <w:pPr>
        <w:pStyle w:val="Heading2"/>
        <w:spacing w:after="160" w:before="280" w:lineRule="auto"/>
        <w:rPr/>
      </w:pPr>
      <w:r w:rsidDel="00000000" w:rsidR="00000000" w:rsidRPr="00000000">
        <w:rPr>
          <w:rtl w:val="0"/>
        </w:rPr>
        <w:t xml:space="preserve">2.2. PDF Parsing, Document Structuring, and Text Chunking</w:t>
      </w:r>
    </w:p>
    <w:p w:rsidR="00000000" w:rsidDel="00000000" w:rsidP="00000000" w:rsidRDefault="00000000" w:rsidRPr="00000000" w14:paraId="0000000C">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Scientific papers are structurally more complex than typical unstructured text, mixing multi-column layouts, figures, mathematical equations, image captions, and long reference lists on the same page. Before any semantic search or question answering can happen, this structure has to be untangled. Reliable document ingestion therefore depends on extraction tools such as PyMuPDF (fitz), which can separate the different text streams on a page, pull out embedded images, and correctly link each figure to its caption.</w:t>
      </w:r>
      <w:r w:rsidDel="00000000" w:rsidR="00000000" w:rsidRPr="00000000">
        <w:rPr>
          <w:rtl w:val="0"/>
        </w:rPr>
      </w:r>
    </w:p>
    <w:p w:rsidR="00000000" w:rsidDel="00000000" w:rsidP="00000000" w:rsidRDefault="00000000" w:rsidRPr="00000000" w14:paraId="0000000D">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A second constraint comes from the models themselves: both embedding models and LLMs operate within a strict maximum token context window and cannot process unlimited text in one pass. A typical research paper contains 5,000–20,000 words, far beyond what standard embedding models accept in a single input (all-MiniLM-L6-v2, for example, is limited to 512 tokens). Simply truncating at the token limit would risk losing entire sections, such as the methodology or conclusion, which are often exactly what a reader is searching for.</w:t>
      </w:r>
      <w:r w:rsidDel="00000000" w:rsidR="00000000" w:rsidRPr="00000000">
        <w:rPr>
          <w:rtl w:val="0"/>
        </w:rPr>
      </w:r>
    </w:p>
    <w:p w:rsidR="00000000" w:rsidDel="00000000" w:rsidP="00000000" w:rsidRDefault="00000000" w:rsidRPr="00000000" w14:paraId="0000000E">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standard solution is text chunking: instead of feeding a whole paper to the model at once, the document is broken into smaller, overlapping segments, for example 500-word chunks with a 100-word sliding overlap. The overlap prevents important ideas from being cut in half at a chunk boundary, preserving key conceptual transitions between ideas and making later retrieval more reliable.</w:t>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tl w:val="0"/>
        </w:rPr>
        <w:t xml:space="preserve">3. Retrieval-Augmented Generation (RAG) and Semantic Search</w:t>
      </w:r>
    </w:p>
    <w:p w:rsidR="00000000" w:rsidDel="00000000" w:rsidP="00000000" w:rsidRDefault="00000000" w:rsidRPr="00000000" w14:paraId="00000010">
      <w:pPr>
        <w:pStyle w:val="Heading2"/>
        <w:spacing w:after="160" w:before="280" w:lineRule="auto"/>
        <w:rPr/>
      </w:pPr>
      <w:r w:rsidDel="00000000" w:rsidR="00000000" w:rsidRPr="00000000">
        <w:rPr>
          <w:rtl w:val="0"/>
        </w:rPr>
        <w:t xml:space="preserve">3.1. Dense Vector Embeddings and Sentence Transformers</w:t>
      </w:r>
    </w:p>
    <w:p w:rsidR="00000000" w:rsidDel="00000000" w:rsidP="00000000" w:rsidRDefault="00000000" w:rsidRPr="00000000" w14:paraId="00000011">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Older keyword-matching algorithms such as TF-IDF and BM25 match the literal words in a query against the literal words in a document. This works when query and document share vocabulary, but fails as soon as a synonym, paraphrase, or more abstract conceptual match is involved. Dense passage retrieval was developed to overcome this limitation: instead of comparing words directly, it projects each chunk of text into a continuous, low-dimensional vector space using Siamese transformer networks, so that semantically similar text ends up close together in that space regardless of the exact words used.</w:t>
      </w:r>
      <w:r w:rsidDel="00000000" w:rsidR="00000000" w:rsidRPr="00000000">
        <w:rPr>
          <w:rtl w:val="0"/>
        </w:rPr>
      </w:r>
    </w:p>
    <w:p w:rsidR="00000000" w:rsidDel="00000000" w:rsidP="00000000" w:rsidRDefault="00000000" w:rsidRPr="00000000" w14:paraId="00000012">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Sentence-BERT framework, along with lightweight variants such as all-MiniLM-L6-v2 (Reimers &amp; Gurevych, 2019), maps sentences into a dense 384-dimensional vector space, where geometric distance measures — most commonly cosine similarity — capture true semantic relevance rather than surface-level word overlap. A query asking “What methodology was employed?” will land close to chunks describing an “experimental setup” or “model design”, even though neither phrase repeats the original wording.</w:t>
      </w:r>
      <w:r w:rsidDel="00000000" w:rsidR="00000000" w:rsidRPr="00000000">
        <w:rPr>
          <w:rtl w:val="0"/>
        </w:rPr>
      </w:r>
    </w:p>
    <w:p w:rsidR="00000000" w:rsidDel="00000000" w:rsidP="00000000" w:rsidRDefault="00000000" w:rsidRPr="00000000" w14:paraId="00000013">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all-MiniLM-L6-v2 is not the only reasonable choice; larger Sentence-Transformer variants and instruction-tuned embedding models tend to score higher on general retrieval benchmarks, at the cost of slower inference and a larger memory footprint. MiniLM's appeal here is practical rather than purely empirical: its small size keeps embedding generation fast enough for interactive, real-time querying, a trade-off between retrieval quality and latency that is rarely made explicit in papers that simply report accuracy figures, and one this project has to work around rather than one the literature resolves.</w:t>
      </w:r>
      <w:r w:rsidDel="00000000" w:rsidR="00000000" w:rsidRPr="00000000">
        <w:rPr>
          <w:rtl w:val="0"/>
        </w:rPr>
      </w:r>
    </w:p>
    <w:p w:rsidR="00000000" w:rsidDel="00000000" w:rsidP="00000000" w:rsidRDefault="00000000" w:rsidRPr="00000000" w14:paraId="00000014">
      <w:pPr>
        <w:pStyle w:val="Heading2"/>
        <w:spacing w:after="160" w:before="280" w:lineRule="auto"/>
        <w:rPr/>
      </w:pPr>
      <w:r w:rsidDel="00000000" w:rsidR="00000000" w:rsidRPr="00000000">
        <w:rPr>
          <w:rtl w:val="0"/>
        </w:rPr>
        <w:t xml:space="preserve">3.2. Embedding Model Fine-Tuning via Contrastive Learning</w:t>
      </w:r>
    </w:p>
    <w:p w:rsidR="00000000" w:rsidDel="00000000" w:rsidP="00000000" w:rsidRDefault="00000000" w:rsidRPr="00000000" w14:paraId="00000015">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General-purpose sentence transformers perform reasonably well on broad, open-domain tasks, but are not optimised for research question answering. Fine-tuning the embedding model on a task closely related to the target use case significantly sharpens retrieval precision.</w:t>
      </w:r>
      <w:r w:rsidDel="00000000" w:rsidR="00000000" w:rsidRPr="00000000">
        <w:rPr>
          <w:rtl w:val="0"/>
        </w:rPr>
      </w:r>
    </w:p>
    <w:p w:rsidR="00000000" w:rsidDel="00000000" w:rsidP="00000000" w:rsidRDefault="00000000" w:rsidRPr="00000000" w14:paraId="00000016">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One established approach is to fine-tune on a reading comprehension benchmark such as SQuAD 2.0 (Rajpurkar et al., 2018), which contains more than 150,000 question-context-answer triples, teaching the embedding model to align natural-language questions with the passages that contain their answers. However, SQuAD 2.0 is derived primarily from Wikipedia, and general-domain benchmarks of this kind may not capture the specialised vocabulary and discourse patterns characteristic of scientific papers, where an answer is often expressed across several sentences rather than a single extractable span — an assumption the general reading-comprehension literature does not actually test.</w:t>
      </w: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project addresses that domain gap directly by supplementing SQuAD 2.0 with fine-tuning on a curated research-paper corpus containing structured metadata such as titles, abstracts, AI-generated summaries, and keywords (Section 3.4). By constructing training pairs that map research-oriented queries derived from titles and keywords to their corresponding abstracts and summaries, the embedding model learns semantic relationships specific to academic literature — for example, associating a methodology-focused query with an experimental-design passage. This domain-specific adaptation is intended to complement the general reading-comprehension knowledge acquired from SQuAD rather than relying on general-domain fine-tuning alone.</w:t>
      </w:r>
      <w:r w:rsidDel="00000000" w:rsidR="00000000" w:rsidRPr="00000000">
        <w:rPr>
          <w:rtl w:val="0"/>
        </w:rPr>
      </w:r>
    </w:p>
    <w:p w:rsidR="00000000" w:rsidDel="00000000" w:rsidP="00000000" w:rsidRDefault="00000000" w:rsidRPr="00000000" w14:paraId="00000018">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To make fine-tuning efficient, it is common to avoid explicit negative labelling by using a contrastive loss such as MultipleNegativesRankingLoss (MNRL). Given a batch of N (question, positive context) pairs, MNRL treats the positive context belonging to the i-th question as the correct target while treating every other context in the batch as an implicit negative, minimising a softmax-normalised cosine-similarity loss:</w:t>
      </w:r>
      <w:r w:rsidDel="00000000" w:rsidR="00000000" w:rsidRPr="00000000">
        <w:rPr>
          <w:rtl w:val="0"/>
        </w:rPr>
      </w:r>
    </w:p>
    <w:p w:rsidR="00000000" w:rsidDel="00000000" w:rsidP="00000000" w:rsidRDefault="00000000" w:rsidRPr="00000000" w14:paraId="00000019">
      <w:pPr>
        <w:spacing w:after="200" w:before="120" w:lineRule="auto"/>
        <w:jc w:val="center"/>
        <w:rPr/>
      </w:pPr>
      <w:r w:rsidDel="00000000" w:rsidR="00000000" w:rsidRPr="00000000">
        <w:rPr>
          <w:rFonts w:ascii="Times New Roman" w:cs="Times New Roman" w:eastAsia="Times New Roman" w:hAnsi="Times New Roman"/>
          <w:i w:val="1"/>
          <w:iCs w:val="1"/>
          <w:sz w:val="24"/>
          <w:szCs w:val="24"/>
          <w:rtl w:val="0"/>
        </w:rPr>
        <w:t xml:space="preserve">Loss = −log( exp(sim(qᵢ, cᵢ) / τ) / Σⱼ exp(sim(qᵢ, cⱼ) / τ) )</w:t>
      </w:r>
      <w:r w:rsidDel="00000000" w:rsidR="00000000" w:rsidRPr="00000000">
        <w:rPr>
          <w:rtl w:val="0"/>
        </w:rPr>
      </w:r>
    </w:p>
    <w:p w:rsidR="00000000" w:rsidDel="00000000" w:rsidP="00000000" w:rsidRDefault="00000000" w:rsidRPr="00000000" w14:paraId="0000001A">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In plain terms, this objective pulls each question closer to its correct context in vector space while pushing it away from unrelated contexts in the batch. Reported gains from this kind of fine-tuning include retrieval-margin improvements on the order of 50% when a lightweight model such as all-MiniLM-L6-v2 is fine-tuned on SQuAD 2.0 in this way. This figure should be treated as an indicative target rather than a guaranteed outcome, since it is reported on a general-domain benchmark; whether a comparable improvement holds once the model is also fine-tuned on scientific-paper data is one of the empirical questions this project sets out to test.</w:t>
      </w:r>
      <w:r w:rsidDel="00000000" w:rsidR="00000000" w:rsidRPr="00000000">
        <w:rPr>
          <w:rtl w:val="0"/>
        </w:rPr>
      </w:r>
    </w:p>
    <w:p w:rsidR="00000000" w:rsidDel="00000000" w:rsidP="00000000" w:rsidRDefault="00000000" w:rsidRPr="00000000" w14:paraId="0000001B">
      <w:pPr>
        <w:pStyle w:val="Heading2"/>
        <w:spacing w:after="160" w:before="280" w:lineRule="auto"/>
        <w:rPr/>
      </w:pPr>
      <w:r w:rsidDel="00000000" w:rsidR="00000000" w:rsidRPr="00000000">
        <w:rPr>
          <w:rtl w:val="0"/>
        </w:rPr>
        <w:t xml:space="preserve">3.3. Cloud Vector Databases and High-Dimensional Indexing</w:t>
      </w:r>
    </w:p>
    <w:p w:rsidR="00000000" w:rsidDel="00000000" w:rsidP="00000000" w:rsidRDefault="00000000" w:rsidRPr="00000000" w14:paraId="0000001C">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Searching a collection of dense vectors by comparing a query one by one against every stored chunk has O(N) time complexity, which quickly becomes a bottleneck as a document library grows into the thousands or millions of chunks. Vector databases solve this by organising high-dimensional embeddings into specialised index structures that support fast approximate search instead of exhaustive comparison, an approach with roots in large-scale approximate nearest-neighbour search such as the GPU-based indexing work of Johnson, Douze and Jégou (2019).</w:t>
      </w:r>
      <w:r w:rsidDel="00000000" w:rsidR="00000000" w:rsidRPr="00000000">
        <w:rPr>
          <w:rtl w:val="0"/>
        </w:rPr>
      </w:r>
    </w:p>
    <w:p w:rsidR="00000000" w:rsidDel="00000000" w:rsidP="00000000" w:rsidRDefault="00000000" w:rsidRPr="00000000" w14:paraId="0000001D">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Cloud-native platforms such as Pinecone manage this indexing through a serverless architecture, removing the need to provision or maintain dedicated search infrastructure. Alongside each 384-dimensional dense vector, Pinecone stores rich payload metadata — paper_id, chunk_index, source_type, and a text snippet — allowing near-instant cosine similarity retrieval while simultaneously filtering by metadata, so a search can be scoped to a single paper, a specific user's dataset, or an entire global collection.</w:t>
      </w:r>
      <w:r w:rsidDel="00000000" w:rsidR="00000000" w:rsidRPr="00000000">
        <w:rPr>
          <w:rtl w:val="0"/>
        </w:rPr>
      </w:r>
    </w:p>
    <w:p w:rsidR="00000000" w:rsidDel="00000000" w:rsidP="00000000" w:rsidRDefault="00000000" w:rsidRPr="00000000" w14:paraId="0000001E">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Pinecone is a reasonable choice, but not the only one; the literature on vector search is largely agnostic between platforms. Self-hosted alternatives such as FAISS or Weaviate avoid ongoing hosting costs and keep data on infrastructure the developer controls, at the price of managing scaling and uptime manually. Because this is fundamentally an engineering trade-off rather than a difference in retrieval quality, the choice of vector database matters less to this project's scientific validity than the choice of embedding model, but it is a decision that should be justified explicitly.</w:t>
      </w:r>
      <w:r w:rsidDel="00000000" w:rsidR="00000000" w:rsidRPr="00000000">
        <w:rPr>
          <w:rtl w:val="0"/>
        </w:rPr>
      </w:r>
    </w:p>
    <w:p w:rsidR="00000000" w:rsidDel="00000000" w:rsidP="00000000" w:rsidRDefault="00000000" w:rsidRPr="00000000" w14:paraId="0000001F">
      <w:pPr>
        <w:pStyle w:val="Heading2"/>
        <w:spacing w:after="160" w:before="280" w:lineRule="auto"/>
        <w:rPr/>
      </w:pPr>
      <w:r w:rsidDel="00000000" w:rsidR="00000000" w:rsidRPr="00000000">
        <w:rPr>
          <w:rtl w:val="0"/>
        </w:rPr>
        <w:t xml:space="preserve">3.4. Training and Evaluation Datasets: What Will Be Used, and Why</w:t>
      </w:r>
    </w:p>
    <w:p w:rsidR="00000000" w:rsidDel="00000000" w:rsidP="00000000" w:rsidRDefault="00000000" w:rsidRPr="00000000" w14:paraId="00000020">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choice of dataset matters as much to this project as the choice of model architecture, since even a well-designed contrastive fine-tuning procedure is only as good as the data it learns from. Two complementary datasets are used here, each serving a distinct purpose.</w:t>
      </w:r>
      <w:r w:rsidDel="00000000" w:rsidR="00000000" w:rsidRPr="00000000">
        <w:rPr>
          <w:rtl w:val="0"/>
        </w:rPr>
      </w:r>
    </w:p>
    <w:p w:rsidR="00000000" w:rsidDel="00000000" w:rsidP="00000000" w:rsidRDefault="00000000" w:rsidRPr="00000000" w14:paraId="00000021">
      <w:pPr>
        <w:pStyle w:val="Heading3"/>
        <w:spacing w:after="140" w:before="240" w:lineRule="auto"/>
        <w:rPr/>
      </w:pPr>
      <w:r w:rsidDel="00000000" w:rsidR="00000000" w:rsidRPr="00000000">
        <w:rPr>
          <w:rtl w:val="0"/>
        </w:rPr>
        <w:t xml:space="preserve">3.4.1. SQuAD 2.0 General-Domain Foundation</w:t>
      </w:r>
    </w:p>
    <w:p w:rsidR="00000000" w:rsidDel="00000000" w:rsidP="00000000" w:rsidRDefault="00000000" w:rsidRPr="00000000" w14:paraId="00000022">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SQuAD 2.0 (Rajpurkar et al., 2018), published on Hugging Face, provides a large-scale, general-purpose reading comprehension benchmark of approximately 150,000 question-context-answer triples derived from Wikipedia, including roughly 50,000 deliberately unanswerable questions designed to test whether a model can recognise when supporting evidence is absent. In this project, SQuAD 2.0 is used for the first stage of contrastive fine-tuning, establishing a broad foundation in aligning questions with answering passages before any domain-specific adaptation takes place.</w:t>
      </w:r>
      <w:r w:rsidDel="00000000" w:rsidR="00000000" w:rsidRPr="00000000">
        <w:rPr>
          <w:rtl w:val="0"/>
        </w:rPr>
      </w:r>
    </w:p>
    <w:p w:rsidR="00000000" w:rsidDel="00000000" w:rsidP="00000000" w:rsidRDefault="00000000" w:rsidRPr="00000000" w14:paraId="00000023">
      <w:pPr>
        <w:pStyle w:val="Heading3"/>
        <w:spacing w:after="140" w:before="240" w:lineRule="auto"/>
        <w:rPr/>
      </w:pPr>
      <w:r w:rsidDel="00000000" w:rsidR="00000000" w:rsidRPr="00000000">
        <w:rPr>
          <w:rtl w:val="0"/>
        </w:rPr>
        <w:t xml:space="preserve">3.4.2. Summarized Research Papers Dataset — Domain-Specific Adaptation</w:t>
      </w:r>
    </w:p>
    <w:p w:rsidR="00000000" w:rsidDel="00000000" w:rsidP="00000000" w:rsidRDefault="00000000" w:rsidRPr="00000000" w14:paraId="00000024">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For domain-specific training and evaluation, this project uses the Summarized Research Papers dataset (Tyagi, 2024), published on Kaggle. It is a curated collection of 150 scientific research paper records spanning multiple disciplines, including Medical AI, Computer Vision, NLP, and Robotics. Each record contains eight structured fields: Title, Authors, Publication Year, Abstract, AI-Generated Summary, Keywords, Field, and Source Link.</w:t>
      </w:r>
      <w:r w:rsidDel="00000000" w:rsidR="00000000" w:rsidRPr="00000000">
        <w:rPr>
          <w:rtl w:val="0"/>
        </w:rPr>
      </w:r>
    </w:p>
    <w:p w:rsidR="00000000" w:rsidDel="00000000" w:rsidP="00000000" w:rsidRDefault="00000000" w:rsidRPr="00000000" w14:paraId="00000025">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dataset was chosen for three reasons tied directly to the project's requirements. First, its structured metadata makes it possible to automatically construct realistic training pairs that mirror how a user actually searches for information about a paper — mapping queries derived from a title and keywords to the corresponding abstract and summary — which SQuAD 2.0 cannot provide, since its passages are encyclopaedia articles rather than scientific abstracts. Second, coverage across several disciplines helps the fine-tuned model generalise rather than overfit to a single domain. Third, its manageable size of 150 records allows fast, iterative experimentation while still offering enough topic diversity for meaningful benchmark numbers.</w:t>
      </w:r>
      <w:r w:rsidDel="00000000" w:rsidR="00000000" w:rsidRPr="00000000">
        <w:rPr>
          <w:rtl w:val="0"/>
        </w:rPr>
      </w:r>
    </w:p>
    <w:p w:rsidR="00000000" w:rsidDel="00000000" w:rsidP="00000000" w:rsidRDefault="00000000" w:rsidRPr="00000000" w14:paraId="00000026">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dataset is split deterministically 80/20: 120 papers for training and 30 held out purely for evaluation, ensuring evaluation is always performed on unseen papers and preventing data leakage.</w:t>
      </w:r>
      <w:r w:rsidDel="00000000" w:rsidR="00000000" w:rsidRPr="00000000">
        <w:rPr>
          <w:rtl w:val="0"/>
        </w:rPr>
      </w:r>
    </w:p>
    <w:p w:rsidR="00000000" w:rsidDel="00000000" w:rsidP="00000000" w:rsidRDefault="00000000" w:rsidRPr="00000000" w14:paraId="00000027">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Combining a large general-purpose benchmark (SQuAD 2.0) with a smaller, domain-specific corpus follows a well-established transfer-learning pattern: broad pre-training followed by focused adaptation on data resembling the target task. It is worth being direct about the limitation this introduces, however: at 150 records, and only 120 for training, the domain-specific corpus is small by deep-learning fine-tuning standards, and the automatically constructed query pairs are a proxy for real user questions rather than genuine questions collected from users. Both are reasonable practical starting points, but they mean results on this 30-paper held-out set should be read as encouraging evidence rather than proof that the fine-tuned embedder will generalise equally well to the larger, more varied, and more naturally phrased questions it would encounter in real use.</w:t>
      </w:r>
      <w:r w:rsidDel="00000000" w:rsidR="00000000" w:rsidRPr="00000000">
        <w:rPr>
          <w:rtl w:val="0"/>
        </w:rPr>
      </w:r>
    </w:p>
    <w:p w:rsidR="00000000" w:rsidDel="00000000" w:rsidP="00000000" w:rsidRDefault="00000000" w:rsidRPr="00000000" w14:paraId="00000028">
      <w:pPr>
        <w:pStyle w:val="Heading2"/>
        <w:spacing w:after="160" w:before="280" w:lineRule="auto"/>
        <w:rPr/>
      </w:pPr>
      <w:r w:rsidDel="00000000" w:rsidR="00000000" w:rsidRPr="00000000">
        <w:rPr>
          <w:rtl w:val="0"/>
        </w:rPr>
        <w:t xml:space="preserve">3.5. Grounding Answers and Hallucination Mitigation</w:t>
      </w:r>
    </w:p>
    <w:p w:rsidR="00000000" w:rsidDel="00000000" w:rsidP="00000000" w:rsidRDefault="00000000" w:rsidRPr="00000000" w14:paraId="00000029">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A well-known weakness of general-purpose LLMs is hallucination — generating fluent, plausible answers that are not actually grounded in fact, including invented citations (Ji et al., 2023). Retrieval-Augmented Generation, first proposed by Lewis et al. (2020) and closely related to the dense retrieval work of Karpukhin et al. (2020), directly addresses this weakness: rather than asking the LLM to answer purely from its own internal knowledge, RAG first retrieves the top-K most relevant document chunks using vector similarity search, then passes those chunks to an instruction-tuned LLM such as LLaMA 3.1, served through a high-throughput inference backend like Groq, to generate the final answer.</w:t>
      </w:r>
      <w:r w:rsidDel="00000000" w:rsidR="00000000" w:rsidRPr="00000000">
        <w:rPr>
          <w:rtl w:val="0"/>
        </w:rPr>
      </w:r>
    </w:p>
    <w:p w:rsidR="00000000" w:rsidDel="00000000" w:rsidP="00000000" w:rsidRDefault="00000000" w:rsidRPr="00000000" w14:paraId="0000002A">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system prompt enforces a strict constraint: the LLM must answer using only the information in the retrieved chunks. This sharply reduces hallucination, provides transparent source attribution since every answer can be traced back to a specific chunk, and gives the user a verifiable answer grounded in the actual paper rather than the model's general training data.</w:t>
      </w:r>
      <w:r w:rsidDel="00000000" w:rsidR="00000000" w:rsidRPr="00000000">
        <w:rPr>
          <w:rtl w:val="0"/>
        </w:rPr>
      </w:r>
    </w:p>
    <w:p w:rsidR="00000000" w:rsidDel="00000000" w:rsidP="00000000" w:rsidRDefault="00000000" w:rsidRPr="00000000" w14:paraId="0000002B">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It is important not to overstate what this design achieves, however. A system prompt constraint reduces hallucination; it does not eliminate it. Ji et al. (2023) note that instruction-following models can still misuse or misread the context they are given, producing an answer that sounds grounded but subtly misrepresents the retrieved passage — a failure mode that survives even when retrieval itself works correctly. RAG therefore addresses one specific cause of hallucination (the model inventing facts) without fully addressing a second, related one (the model distorting facts it was given); this distinction is returned to in Section 4.</w:t>
      </w:r>
      <w:r w:rsidDel="00000000" w:rsidR="00000000" w:rsidRPr="00000000">
        <w:rPr>
          <w:rtl w:val="0"/>
        </w:rPr>
      </w:r>
    </w:p>
    <w:p w:rsidR="00000000" w:rsidDel="00000000" w:rsidP="00000000" w:rsidRDefault="00000000" w:rsidRPr="00000000" w14:paraId="0000002C">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LLaMA 3.1 is one choice among several plausible instruction-tuned generation models, alongside comparably sized open-weight alternatives such as Qwen 3.6 and closed commercial APIs. Its appeal is practical: open-weight, self-hostable, servable through low-latency providers such as Groq, and free of per-token API costs — a defensible engineering trade-off rather than evidence that LLaMA 3.1 is inherently better suited to grounded, source-attributed answering. This decoupling of retrieval from generation, formalised by Lewis et al. (2020), also means the generative model can be deployed zero-shot rather than fine-tuned, since RAG injects retrieved passages directly into the prompt, letting the LLM act as a context-grounded reasoning engine rather than a parametric knowledge base.</w:t>
      </w:r>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tl w:val="0"/>
        </w:rPr>
        <w:t xml:space="preserve">4. Existing Systems and Empirical Studies in the Literature</w:t>
      </w:r>
    </w:p>
    <w:p w:rsidR="00000000" w:rsidDel="00000000" w:rsidP="00000000" w:rsidRDefault="00000000" w:rsidRPr="00000000" w14:paraId="0000002E">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sections above establish the theoretical components this project draws on. It is equally important, however, to look at what has actually been built and tested using these components, rather than reviewing the underlying techniques in isolation. Three pieces of prior work are directly relevant: a benchmark dataset built specifically for scientific-paper question answering, a published RAG agent designed for the same general problem this project addresses, and an evaluation framework built to address the blind spot identified in Section 5.1.</w:t>
      </w: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rtl w:val="0"/>
        </w:rPr>
        <w:t xml:space="preserve">4.1. QASPER: A Benchmark for Question Answering on Scientific Papers</w:t>
      </w:r>
    </w:p>
    <w:p w:rsidR="00000000" w:rsidDel="00000000" w:rsidP="00000000" w:rsidRDefault="00000000" w:rsidRPr="00000000" w14:paraId="00000030">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Dasigi et al. (2021) introduced QASPER, a dataset of 5,049 information-seeking questions over 1,585 NLP papers sourced from arXiv. Each question was written by a practitioner who had read only the paper's title and abstract, and had to be answered by a separate practitioner working from the full text, who also supplied supporting evidence — a design meant to simulate a realistic reading scenario very close to the use case this project targets.</w:t>
      </w:r>
      <w:r w:rsidDel="00000000" w:rsidR="00000000" w:rsidRPr="00000000">
        <w:rPr>
          <w:rtl w:val="0"/>
        </w:rPr>
      </w:r>
    </w:p>
    <w:p w:rsidR="00000000" w:rsidDel="00000000" w:rsidP="00000000" w:rsidRDefault="00000000" w:rsidRPr="00000000" w14:paraId="00000031">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Two findings are directly relevant to this project's design choices. First, Dasigi et al. (2021) report that existing QA models underperform human annotators by at least 27 F1 points when answering from full paper text, a substantially larger gap than on general-domain benchmarks such as SQuAD, and direct empirical evidence for the domain-transfer concern raised in Section 3.2. Second, QASPER is restricted to a single discipline, NLP, the mirror image of a limitation noted in Section 3.4: where the Summarized Research Papers corpus is small but multi-disciplinary, QASPER is larger but single-domain. Neither dataset resolves both limitations at once, illustrating the trade-off this project has to navigate.</w:t>
      </w:r>
      <w:r w:rsidDel="00000000" w:rsidR="00000000" w:rsidRPr="00000000">
        <w:rPr>
          <w:rtl w:val="0"/>
        </w:rPr>
      </w:r>
    </w:p>
    <w:p w:rsidR="00000000" w:rsidDel="00000000" w:rsidP="00000000" w:rsidRDefault="00000000" w:rsidRPr="00000000" w14:paraId="00000032">
      <w:pPr>
        <w:pStyle w:val="Heading2"/>
        <w:spacing w:after="160" w:before="280" w:lineRule="auto"/>
        <w:rPr/>
      </w:pPr>
      <w:r w:rsidDel="00000000" w:rsidR="00000000" w:rsidRPr="00000000">
        <w:rPr>
          <w:rtl w:val="0"/>
        </w:rPr>
        <w:t xml:space="preserve">4.2. PaperQA: A Retrieval-Augmented Agent for Scientific Literature</w:t>
      </w:r>
    </w:p>
    <w:p w:rsidR="00000000" w:rsidDel="00000000" w:rsidP="00000000" w:rsidRDefault="00000000" w:rsidRPr="00000000" w14:paraId="00000033">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Lála et al. (2023) present PaperQA, a published RAG-based agent designed to answer questions over full-text scientific articles — the closest existing system, among those reviewed here, to the tool this project builds. Rather than a single fixed retrieve-then-generate pass, PaperQA operates as an agent that searches for papers, gathers and assesses evidence, and iteratively decides whether it has enough evidence to answer, repeating the search step where necessary.</w:t>
      </w:r>
      <w:r w:rsidDel="00000000" w:rsidR="00000000" w:rsidRPr="00000000">
        <w:rPr>
          <w:rtl w:val="0"/>
        </w:rPr>
      </w:r>
    </w:p>
    <w:p w:rsidR="00000000" w:rsidDel="00000000" w:rsidP="00000000" w:rsidRDefault="00000000" w:rsidRPr="00000000" w14:paraId="00000034">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PaperQA's reported results make a strong practical case for the hallucination-mitigating role of retrieval grounding discussed in Section 3.5: the authors measured a citation hallucination rate of 40–60% for general-purpose LLMs answering without retrieval, compared to no hallucinated citations in PaperQA's own answers. Lála et al. (2023) also introduced LitQA, a 50-question benchmark requiring retrieval and synthesis from full-text papers, on which PaperQA matched expert human researchers.</w:t>
      </w:r>
      <w:r w:rsidDel="00000000" w:rsidR="00000000" w:rsidRPr="00000000">
        <w:rPr>
          <w:rtl w:val="0"/>
        </w:rPr>
      </w:r>
    </w:p>
    <w:p w:rsidR="00000000" w:rsidDel="00000000" w:rsidP="00000000" w:rsidRDefault="00000000" w:rsidRPr="00000000" w14:paraId="00000035">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Two limitations are worth noting. First, LitQA's 50 questions is a small evaluation set — smaller than either dataset used in this project — so its figures should be read as a promising signal rather than a precisely estimated statistic. Second, and more importantly, PaperQA's strong results come from a multi-step agentic architecture that actively searches, re-searches, and evaluates its own evidence, rather than a single fixed retrieval pass. This means PaperQA's headline numbers are not a like-for-like benchmark for the simpler, single-pass pipeline this project implements; this project's own results should be interpreted with that architectural difference in mind.</w:t>
      </w:r>
      <w:r w:rsidDel="00000000" w:rsidR="00000000" w:rsidRPr="00000000">
        <w:rPr>
          <w:rtl w:val="0"/>
        </w:rPr>
      </w:r>
    </w:p>
    <w:p w:rsidR="00000000" w:rsidDel="00000000" w:rsidP="00000000" w:rsidRDefault="00000000" w:rsidRPr="00000000" w14:paraId="00000036">
      <w:pPr>
        <w:pStyle w:val="Heading2"/>
        <w:spacing w:after="160" w:before="280" w:lineRule="auto"/>
        <w:rPr/>
      </w:pPr>
      <w:r w:rsidDel="00000000" w:rsidR="00000000" w:rsidRPr="00000000">
        <w:rPr>
          <w:rtl w:val="0"/>
        </w:rPr>
        <w:t xml:space="preserve">4.3. RAGAS: Addressing the Faithfulness Evaluation Gap</w:t>
      </w:r>
    </w:p>
    <w:p w:rsidR="00000000" w:rsidDel="00000000" w:rsidP="00000000" w:rsidRDefault="00000000" w:rsidRPr="00000000" w14:paraId="00000037">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Es et al. (2024) introduce RAGAS (Retrieval Augmented Generation Assessment), an evaluation framework built to address a problem this review raises independently in Section 5.1: that standard reference-based QA metrics such as EM, F1, and semantic similarity cannot distinguish a fluent, well-worded answer from one that is fluent but unfaithful to its retrieved source. RAGAS proposes reference-free metrics including Faithfulness, which checks whether each claim in a generated answer is supported by the retrieved context, alongside context precision, context recall, and answer relevance, without requiring a human-labelled gold answer for every query.</w:t>
      </w:r>
      <w:r w:rsidDel="00000000" w:rsidR="00000000" w:rsidRPr="00000000">
        <w:rPr>
          <w:rtl w:val="0"/>
        </w:rPr>
      </w:r>
    </w:p>
    <w:p w:rsidR="00000000" w:rsidDel="00000000" w:rsidP="00000000" w:rsidRDefault="00000000" w:rsidRPr="00000000" w14:paraId="00000038">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RAGAS's existence is useful evidence for this review's own argument: it confirms the blind spot identified in Section 5.1 is a recognised, active problem in the wider RAG literature rather than a concern unique to this project. At the same time, RAGAS is not without limitations here; its Faithfulness metric typically relies on an LLM to judge whether a claim is supported, introducing a dependency on the judging model's own reliability, and subsequent work applying RAGAS to academic text has found its faithfulness scores of limited reliability in that setting. RAGAS is therefore treated in this project as a complement to manual, qualitative checking of sampled answers, rather than a fully automated replacement for it.</w:t>
      </w:r>
      <w:r w:rsidDel="00000000" w:rsidR="00000000" w:rsidRPr="00000000">
        <w:rPr>
          <w:rtl w:val="0"/>
        </w:rPr>
      </w:r>
    </w:p>
    <w:p w:rsidR="00000000" w:rsidDel="00000000" w:rsidP="00000000" w:rsidRDefault="00000000" w:rsidRPr="00000000" w14:paraId="00000039">
      <w:pPr>
        <w:pStyle w:val="Heading1"/>
        <w:spacing w:after="200" w:before="360" w:lineRule="auto"/>
        <w:rPr/>
      </w:pPr>
      <w:r w:rsidDel="00000000" w:rsidR="00000000" w:rsidRPr="00000000">
        <w:rPr>
          <w:rtl w:val="0"/>
        </w:rPr>
        <w:t xml:space="preserve">5. Evaluation Frameworks for RAG and Question Answering Systems</w:t>
      </w:r>
    </w:p>
    <w:p w:rsidR="00000000" w:rsidDel="00000000" w:rsidP="00000000" w:rsidRDefault="00000000" w:rsidRPr="00000000" w14:paraId="0000003A">
      <w:pPr>
        <w:pStyle w:val="Heading2"/>
        <w:spacing w:after="160" w:before="280" w:lineRule="auto"/>
        <w:rPr/>
      </w:pPr>
      <w:r w:rsidDel="00000000" w:rsidR="00000000" w:rsidRPr="00000000">
        <w:rPr>
          <w:rtl w:val="0"/>
        </w:rPr>
        <w:t xml:space="preserve">5.1. Automated Question Answering Evaluation Metrics</w:t>
      </w:r>
    </w:p>
    <w:p w:rsidR="00000000" w:rsidDel="00000000" w:rsidP="00000000" w:rsidRDefault="00000000" w:rsidRPr="00000000" w14:paraId="0000003B">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Once a RAG pipeline is built, its answers need to be measured against gold-standard reference answers using quantitative, multi-perspective metrics. Traditional automated metrics such as token-level Exact Match (EM) and F1 reward exact surface-level overlap, favouring concise, extractive responses (Rajpurkar et al., 2018), but for complex analytical queries, larger generative models often rephrase reference answers using diverse vocabulary, which is where dense semantic similarity (Zhang et al., 2020) and LLM-as-a-Judge evaluation (Zheng et al., 2023) — scoring faithfulness, relevance, and completeness on a standardised scale — become useful complements. Three metrics are especially common here.</w:t>
      </w:r>
      <w:r w:rsidDel="00000000" w:rsidR="00000000" w:rsidRPr="00000000">
        <w:rPr>
          <w:rtl w:val="0"/>
        </w:rPr>
      </w:r>
    </w:p>
    <w:p w:rsidR="00000000" w:rsidDel="00000000" w:rsidP="00000000" w:rsidRDefault="00000000" w:rsidRPr="00000000" w14:paraId="0000003C">
      <w:pPr>
        <w:pStyle w:val="Heading3"/>
        <w:spacing w:after="140" w:before="240" w:lineRule="auto"/>
        <w:rPr/>
      </w:pPr>
      <w:r w:rsidDel="00000000" w:rsidR="00000000" w:rsidRPr="00000000">
        <w:rPr>
          <w:rtl w:val="0"/>
        </w:rPr>
        <w:t xml:space="preserve">5.1.1. Exact Match (EM)</w:t>
      </w:r>
    </w:p>
    <w:p w:rsidR="00000000" w:rsidDel="00000000" w:rsidP="00000000" w:rsidRDefault="00000000" w:rsidRPr="00000000" w14:paraId="0000003D">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Exact Match is the simplest of the three, measuring the percentage of model predictions that match the ground-truth answer character-for-character after standard normalisation such as lowercasing and punctuation removal (Rajpurkar et al., 2018). It is a strict metric: a prediction correct in meaning but phrased differently from the reference scores zero.</w:t>
      </w:r>
      <w:r w:rsidDel="00000000" w:rsidR="00000000" w:rsidRPr="00000000">
        <w:rPr>
          <w:rtl w:val="0"/>
        </w:rPr>
      </w:r>
    </w:p>
    <w:p w:rsidR="00000000" w:rsidDel="00000000" w:rsidP="00000000" w:rsidRDefault="00000000" w:rsidRPr="00000000" w14:paraId="0000003E">
      <w:pPr>
        <w:pStyle w:val="Heading3"/>
        <w:spacing w:after="140" w:before="240" w:lineRule="auto"/>
        <w:rPr/>
      </w:pPr>
      <w:r w:rsidDel="00000000" w:rsidR="00000000" w:rsidRPr="00000000">
        <w:rPr>
          <w:rtl w:val="0"/>
        </w:rPr>
        <w:t xml:space="preserve">5.1.2. Token-Level F1 Score</w:t>
      </w:r>
    </w:p>
    <w:p w:rsidR="00000000" w:rsidDel="00000000" w:rsidP="00000000" w:rsidRDefault="00000000" w:rsidRPr="00000000" w14:paraId="0000003F">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Token-Level F1 is more forgiving: the harmonic mean of token-level precision and recall between predicted and reference answers, rewarding partial matches and tolerating minor lexical variation rather than demanding an exact string match:</w:t>
      </w:r>
      <w:r w:rsidDel="00000000" w:rsidR="00000000" w:rsidRPr="00000000">
        <w:rPr>
          <w:rtl w:val="0"/>
        </w:rPr>
      </w:r>
    </w:p>
    <w:p w:rsidR="00000000" w:rsidDel="00000000" w:rsidP="00000000" w:rsidRDefault="00000000" w:rsidRPr="00000000" w14:paraId="00000040">
      <w:pPr>
        <w:spacing w:after="200" w:before="120" w:lineRule="auto"/>
        <w:jc w:val="center"/>
        <w:rPr/>
      </w:pPr>
      <w:r w:rsidDel="00000000" w:rsidR="00000000" w:rsidRPr="00000000">
        <w:rPr>
          <w:rFonts w:ascii="Gungsuh" w:cs="Gungsuh" w:eastAsia="Gungsuh" w:hAnsi="Gungsuh"/>
          <w:i w:val="1"/>
          <w:iCs w:val="1"/>
          <w:sz w:val="24"/>
          <w:szCs w:val="24"/>
          <w:rtl w:val="0"/>
        </w:rPr>
        <w:t xml:space="preserve">Precision = |Predicted ∩ Reference| / |Predicted|</w:t>
      </w:r>
      <w:r w:rsidDel="00000000" w:rsidR="00000000" w:rsidRPr="00000000">
        <w:rPr>
          <w:rtl w:val="0"/>
        </w:rPr>
      </w:r>
    </w:p>
    <w:p w:rsidR="00000000" w:rsidDel="00000000" w:rsidP="00000000" w:rsidRDefault="00000000" w:rsidRPr="00000000" w14:paraId="00000041">
      <w:pPr>
        <w:spacing w:after="200" w:before="120" w:lineRule="auto"/>
        <w:jc w:val="center"/>
        <w:rPr/>
      </w:pPr>
      <w:r w:rsidDel="00000000" w:rsidR="00000000" w:rsidRPr="00000000">
        <w:rPr>
          <w:rFonts w:ascii="Gungsuh" w:cs="Gungsuh" w:eastAsia="Gungsuh" w:hAnsi="Gungsuh"/>
          <w:i w:val="1"/>
          <w:iCs w:val="1"/>
          <w:sz w:val="24"/>
          <w:szCs w:val="24"/>
          <w:rtl w:val="0"/>
        </w:rPr>
        <w:t xml:space="preserve">Recall = |Predicted ∩ Reference| / |Reference|</w:t>
      </w:r>
      <w:r w:rsidDel="00000000" w:rsidR="00000000" w:rsidRPr="00000000">
        <w:rPr>
          <w:rtl w:val="0"/>
        </w:rPr>
      </w:r>
    </w:p>
    <w:p w:rsidR="00000000" w:rsidDel="00000000" w:rsidP="00000000" w:rsidRDefault="00000000" w:rsidRPr="00000000" w14:paraId="00000042">
      <w:pPr>
        <w:spacing w:after="200" w:before="120" w:lineRule="auto"/>
        <w:jc w:val="center"/>
        <w:rPr/>
      </w:pPr>
      <w:r w:rsidDel="00000000" w:rsidR="00000000" w:rsidRPr="00000000">
        <w:rPr>
          <w:rFonts w:ascii="Times New Roman" w:cs="Times New Roman" w:eastAsia="Times New Roman" w:hAnsi="Times New Roman"/>
          <w:i w:val="1"/>
          <w:iCs w:val="1"/>
          <w:sz w:val="24"/>
          <w:szCs w:val="24"/>
          <w:rtl w:val="0"/>
        </w:rPr>
        <w:t xml:space="preserve">F1 = 2 × (Precision × Recall) / (Precision + Recall)</w:t>
      </w:r>
      <w:r w:rsidDel="00000000" w:rsidR="00000000" w:rsidRPr="00000000">
        <w:rPr>
          <w:rtl w:val="0"/>
        </w:rPr>
      </w:r>
    </w:p>
    <w:p w:rsidR="00000000" w:rsidDel="00000000" w:rsidP="00000000" w:rsidRDefault="00000000" w:rsidRPr="00000000" w14:paraId="00000043">
      <w:pPr>
        <w:pStyle w:val="Heading3"/>
        <w:spacing w:after="140" w:before="240" w:lineRule="auto"/>
        <w:rPr/>
      </w:pPr>
      <w:r w:rsidDel="00000000" w:rsidR="00000000" w:rsidRPr="00000000">
        <w:rPr>
          <w:rtl w:val="0"/>
        </w:rPr>
        <w:t xml:space="preserve">5.1.3. Semantic Vector Similarity</w:t>
      </w:r>
    </w:p>
    <w:p w:rsidR="00000000" w:rsidDel="00000000" w:rsidP="00000000" w:rsidRDefault="00000000" w:rsidRPr="00000000" w14:paraId="00000044">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Semantic Vector Similarity goes a step further, measuring the cosine similarity between the 384-dimensional dense embeddings of the predicted and reference answers:</w:t>
      </w:r>
      <w:r w:rsidDel="00000000" w:rsidR="00000000" w:rsidRPr="00000000">
        <w:rPr>
          <w:rtl w:val="0"/>
        </w:rPr>
      </w:r>
    </w:p>
    <w:p w:rsidR="00000000" w:rsidDel="00000000" w:rsidP="00000000" w:rsidRDefault="00000000" w:rsidRPr="00000000" w14:paraId="00000045">
      <w:pPr>
        <w:spacing w:after="200" w:before="120" w:lineRule="auto"/>
        <w:jc w:val="center"/>
        <w:rPr/>
      </w:pPr>
      <w:r w:rsidDel="00000000" w:rsidR="00000000" w:rsidRPr="00000000">
        <w:rPr>
          <w:rFonts w:ascii="Times New Roman" w:cs="Times New Roman" w:eastAsia="Times New Roman" w:hAnsi="Times New Roman"/>
          <w:i w:val="1"/>
          <w:iCs w:val="1"/>
          <w:sz w:val="24"/>
          <w:szCs w:val="24"/>
          <w:rtl w:val="0"/>
        </w:rPr>
        <w:t xml:space="preserve">Semantic Similarity = (v_pred · v_ref) / (‖v_pred‖ × ‖v_ref‖)</w:t>
      </w:r>
      <w:r w:rsidDel="00000000" w:rsidR="00000000" w:rsidRPr="00000000">
        <w:rPr>
          <w:rtl w:val="0"/>
        </w:rPr>
      </w:r>
    </w:p>
    <w:p w:rsidR="00000000" w:rsidDel="00000000" w:rsidP="00000000" w:rsidRDefault="00000000" w:rsidRPr="00000000" w14:paraId="00000046">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Unlike Exact Match or F1, this metric captures conceptual alignment even when the model rephrases the answer completely, using entirely different vocabulary from the reference (Zhang et al., 2020). Used together, these three metrics give a fuller picture of answer quality than any one alone: EM shows how often the system is precisely right, F1 shows how close it gets even when imprecise, and semantic similarity shows whether the underlying meaning was preserved regardless of wording.</w:t>
      </w:r>
      <w:r w:rsidDel="00000000" w:rsidR="00000000" w:rsidRPr="00000000">
        <w:rPr>
          <w:rtl w:val="0"/>
        </w:rPr>
      </w:r>
    </w:p>
    <w:p w:rsidR="00000000" w:rsidDel="00000000" w:rsidP="00000000" w:rsidRDefault="00000000" w:rsidRPr="00000000" w14:paraId="00000047">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None of these three metrics, however, is designed to catch the failure mode raised in Section 3.5: a fluent, high-scoring answer that is confidently wrong about what the source actually says. A paraphrased misreading can score well on EM, F1, and semantic similarity alike if it reuses the right vocabulary while misrepresenting the paper's claim — exactly the gap faithfulness-focused frameworks such as RAGAS (Section 4.3) were built to address, though an LLM-judged score is not a full substitute for direct inspection. A manual check of sampled answers against their source chunks therefore remains a necessary complement to the automated metrics.</w:t>
      </w:r>
      <w:r w:rsidDel="00000000" w:rsidR="00000000" w:rsidRPr="00000000">
        <w:rPr>
          <w:rtl w:val="0"/>
        </w:rPr>
      </w:r>
    </w:p>
    <w:p w:rsidR="00000000" w:rsidDel="00000000" w:rsidP="00000000" w:rsidRDefault="00000000" w:rsidRPr="00000000" w14:paraId="00000048">
      <w:pPr>
        <w:pStyle w:val="Heading2"/>
        <w:spacing w:after="160" w:before="280" w:lineRule="auto"/>
        <w:rPr/>
      </w:pPr>
      <w:r w:rsidDel="00000000" w:rsidR="00000000" w:rsidRPr="00000000">
        <w:rPr>
          <w:rtl w:val="0"/>
        </w:rPr>
        <w:t xml:space="preserve">5.2. Retrieval Quality Metrics</w:t>
      </w:r>
    </w:p>
    <w:p w:rsidR="00000000" w:rsidDel="00000000" w:rsidP="00000000" w:rsidRDefault="00000000" w:rsidRPr="00000000" w14:paraId="00000049">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It is also important to evaluate retrieval on its own, separately from the LLM's generated text, since a RAG system can fail for two different reasons: the wrong context was retrieved, or the right context was retrieved but poorly used by the generator. Three complementary metrics assess whether the embedding model is surfacing the correct chunks.</w:t>
      </w:r>
      <w:r w:rsidDel="00000000" w:rsidR="00000000" w:rsidRPr="00000000">
        <w:rPr>
          <w:rtl w:val="0"/>
        </w:rPr>
      </w:r>
    </w:p>
    <w:p w:rsidR="00000000" w:rsidDel="00000000" w:rsidP="00000000" w:rsidRDefault="00000000" w:rsidRPr="00000000" w14:paraId="0000004A">
      <w:pPr>
        <w:pStyle w:val="Heading3"/>
        <w:spacing w:after="140" w:before="240" w:lineRule="auto"/>
        <w:rPr/>
      </w:pPr>
      <w:r w:rsidDel="00000000" w:rsidR="00000000" w:rsidRPr="00000000">
        <w:rPr>
          <w:rtl w:val="0"/>
        </w:rPr>
        <w:t xml:space="preserve">5.2.1. Recall@K</w:t>
      </w:r>
    </w:p>
    <w:p w:rsidR="00000000" w:rsidDel="00000000" w:rsidP="00000000" w:rsidRDefault="00000000" w:rsidRPr="00000000" w14:paraId="0000004B">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Recall@K measures the proportion of queries for which at least one relevant chunk appears within the top-K retrieved results, tested across the full corpus to check whether the system retrieves chunks from the correct source paper when searching the entire collection, not just within a single paper. A Recall@5 of 1.0 indicates perfect retrieval; a lower score points to queries where the correct paper was missed within that window.</w:t>
      </w:r>
      <w:r w:rsidDel="00000000" w:rsidR="00000000" w:rsidRPr="00000000">
        <w:rPr>
          <w:rtl w:val="0"/>
        </w:rPr>
      </w:r>
    </w:p>
    <w:p w:rsidR="00000000" w:rsidDel="00000000" w:rsidP="00000000" w:rsidRDefault="00000000" w:rsidRPr="00000000" w14:paraId="0000004C">
      <w:pPr>
        <w:pStyle w:val="Heading3"/>
        <w:spacing w:after="140" w:before="240" w:lineRule="auto"/>
        <w:rPr/>
      </w:pPr>
      <w:r w:rsidDel="00000000" w:rsidR="00000000" w:rsidRPr="00000000">
        <w:rPr>
          <w:rtl w:val="0"/>
        </w:rPr>
        <w:t xml:space="preserve">5.2.2. Mean Reciprocal Rank (MRR)</w:t>
      </w:r>
    </w:p>
    <w:p w:rsidR="00000000" w:rsidDel="00000000" w:rsidP="00000000" w:rsidRDefault="00000000" w:rsidRPr="00000000" w14:paraId="0000004D">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Recall@K alone does not distinguish a correct result ranked first from one that only just scraped into the top-K. Mean Reciprocal Rank captures this: for each query, the reciprocal rank is 1/r, where r is the position of the first relevant result, averaged across all queries:</w:t>
      </w:r>
      <w:r w:rsidDel="00000000" w:rsidR="00000000" w:rsidRPr="00000000">
        <w:rPr>
          <w:rtl w:val="0"/>
        </w:rPr>
      </w:r>
    </w:p>
    <w:p w:rsidR="00000000" w:rsidDel="00000000" w:rsidP="00000000" w:rsidRDefault="00000000" w:rsidRPr="00000000" w14:paraId="0000004E">
      <w:pPr>
        <w:spacing w:after="200" w:before="120" w:lineRule="auto"/>
        <w:jc w:val="center"/>
        <w:rPr/>
      </w:pPr>
      <w:r w:rsidDel="00000000" w:rsidR="00000000" w:rsidRPr="00000000">
        <w:rPr>
          <w:rFonts w:ascii="Times New Roman" w:cs="Times New Roman" w:eastAsia="Times New Roman" w:hAnsi="Times New Roman"/>
          <w:i w:val="1"/>
          <w:iCs w:val="1"/>
          <w:sz w:val="24"/>
          <w:szCs w:val="24"/>
          <w:rtl w:val="0"/>
        </w:rPr>
        <w:t xml:space="preserve">MRR = (1 / |Q|) × Σᵢ (1 / rankᵢ)</w:t>
      </w:r>
      <w:r w:rsidDel="00000000" w:rsidR="00000000" w:rsidRPr="00000000">
        <w:rPr>
          <w:rtl w:val="0"/>
        </w:rPr>
      </w:r>
    </w:p>
    <w:p w:rsidR="00000000" w:rsidDel="00000000" w:rsidP="00000000" w:rsidRDefault="00000000" w:rsidRPr="00000000" w14:paraId="0000004F">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An MRR of 1.0 means the correct result was consistently ranked first; a lower MRR indicates the correct result, even when eventually found, tends to be buried further down the list — which matters because a user or downstream LLM working from a limited top-K context window makes far better use of a highly ranked result than one near the bottom.</w:t>
      </w:r>
      <w:r w:rsidDel="00000000" w:rsidR="00000000" w:rsidRPr="00000000">
        <w:rPr>
          <w:rtl w:val="0"/>
        </w:rPr>
      </w:r>
    </w:p>
    <w:p w:rsidR="00000000" w:rsidDel="00000000" w:rsidP="00000000" w:rsidRDefault="00000000" w:rsidRPr="00000000" w14:paraId="00000050">
      <w:pPr>
        <w:pStyle w:val="Heading3"/>
        <w:spacing w:after="140" w:before="240" w:lineRule="auto"/>
        <w:rPr/>
      </w:pPr>
      <w:r w:rsidDel="00000000" w:rsidR="00000000" w:rsidRPr="00000000">
        <w:rPr>
          <w:rtl w:val="0"/>
        </w:rPr>
        <w:t xml:space="preserve">5.2.3. Retrieval Margin</w:t>
      </w:r>
    </w:p>
    <w:p w:rsidR="00000000" w:rsidDel="00000000" w:rsidP="00000000" w:rsidRDefault="00000000" w:rsidRPr="00000000" w14:paraId="00000051">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Retrieval Margin measures the similarity gap between a query's correct context passage (c_pos) and its top distractor passage (c_neg):</w:t>
      </w:r>
      <w:r w:rsidDel="00000000" w:rsidR="00000000" w:rsidRPr="00000000">
        <w:rPr>
          <w:rtl w:val="0"/>
        </w:rPr>
      </w:r>
    </w:p>
    <w:p w:rsidR="00000000" w:rsidDel="00000000" w:rsidP="00000000" w:rsidRDefault="00000000" w:rsidRPr="00000000" w14:paraId="00000052">
      <w:pPr>
        <w:spacing w:after="200" w:before="120" w:lineRule="auto"/>
        <w:jc w:val="center"/>
        <w:rPr/>
      </w:pPr>
      <w:r w:rsidDel="00000000" w:rsidR="00000000" w:rsidRPr="00000000">
        <w:rPr>
          <w:rFonts w:ascii="Gungsuh" w:cs="Gungsuh" w:eastAsia="Gungsuh" w:hAnsi="Gungsuh"/>
          <w:i w:val="1"/>
          <w:iCs w:val="1"/>
          <w:sz w:val="24"/>
          <w:szCs w:val="24"/>
          <w:rtl w:val="0"/>
        </w:rPr>
        <w:t xml:space="preserve">Margin = CosineSimilarity(query, c_pos) − CosineSimilarity(query, c_neg)</w:t>
      </w:r>
      <w:r w:rsidDel="00000000" w:rsidR="00000000" w:rsidRPr="00000000">
        <w:rPr>
          <w:rtl w:val="0"/>
        </w:rPr>
      </w:r>
    </w:p>
    <w:p w:rsidR="00000000" w:rsidDel="00000000" w:rsidP="00000000" w:rsidRDefault="00000000" w:rsidRPr="00000000" w14:paraId="00000053">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A higher, more positive margin indicates the embedding model is doing a good job separating genuinely relevant information from noise, rather than merely ranking the correct answer marginally above a close competitor, which matters because it directly determines whether the downstream LLM receives accurate, on-topic context within its top-K window. A narrow or negative margin is an early warning that retrieval, not generation, is the weak link, even where Recall@K and MRR both look acceptable on average.</w:t>
      </w:r>
      <w:r w:rsidDel="00000000" w:rsidR="00000000" w:rsidRPr="00000000">
        <w:rPr>
          <w:rtl w:val="0"/>
        </w:rPr>
      </w:r>
    </w:p>
    <w:p w:rsidR="00000000" w:rsidDel="00000000" w:rsidP="00000000" w:rsidRDefault="00000000" w:rsidRPr="00000000" w14:paraId="00000054">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Together, these three metrics give a more complete view of retrieval performance than any one alone: Recall@K confirms coverage, MRR confirms ranking quality, and Retrieval Margin confirms the embedding model's underlying ability to separate relevant from irrelevant information.</w:t>
      </w:r>
      <w:r w:rsidDel="00000000" w:rsidR="00000000" w:rsidRPr="00000000">
        <w:rPr>
          <w:rtl w:val="0"/>
        </w:rPr>
      </w:r>
    </w:p>
    <w:p w:rsidR="00000000" w:rsidDel="00000000" w:rsidP="00000000" w:rsidRDefault="00000000" w:rsidRPr="00000000" w14:paraId="00000055">
      <w:pPr>
        <w:pStyle w:val="Heading1"/>
        <w:spacing w:after="200" w:before="360" w:lineRule="auto"/>
        <w:rPr/>
      </w:pPr>
      <w:r w:rsidDel="00000000" w:rsidR="00000000" w:rsidRPr="00000000">
        <w:rPr>
          <w:rtl w:val="0"/>
        </w:rPr>
        <w:t xml:space="preserve">6. Critical Synthesis and Research Gap</w:t>
      </w:r>
    </w:p>
    <w:p w:rsidR="00000000" w:rsidDel="00000000" w:rsidP="00000000" w:rsidRDefault="00000000" w:rsidRPr="00000000" w14:paraId="00000056">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Reviewed individually, each strand of literature is well established: transformer-based embeddings are mature (Vaswani et al., 2017; Reimers &amp; Gurevych, 2019), contrastive fine-tuning reliably improves retrieval margins on benchmark data (Rajpurkar et al., 2018), and RAG is a recognised, effective method for reducing hallucination (Lewis et al., 2020; Karpukhin et al., 2020; Ji et al., 2023). Existing systems such as PaperQA (Lála et al., 2023) and benchmarks such as QASPER (Dasigi et al., 2021) confirm this general approach works for scientific-paper QA in principle. What the literature does not do, taken as a whole, is validate this project's specific, simpler combination — a single-pass fine-tuned retriever and generator, rather than an iterative search-and-verify agent like PaperQA.</w:t>
      </w:r>
      <w:r w:rsidDel="00000000" w:rsidR="00000000" w:rsidRPr="00000000">
        <w:rPr>
          <w:rtl w:val="0"/>
        </w:rPr>
      </w:r>
    </w:p>
    <w:p w:rsidR="00000000" w:rsidDel="00000000" w:rsidP="00000000" w:rsidRDefault="00000000" w:rsidRPr="00000000" w14:paraId="00000057">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Four gaps stand out. First, dense-retrieval fine-tuning relies heavily on general-domain benchmarks such as SQuAD 2.0, and QASPER's 27-point human–model F1 gap on full-paper QA is direct evidence this domain gap is real (Sections 3.2, 4.1); this project responds by supplementing SQuAD 2.0 with the multi-disciplinary Summarized Research Papers corpus (Section 3.4). Second, component choices in applied RAG pipelines — embedding model, vector database, generative LLM — are typically justified by convenience and cost rather than direct empirical comparison, leaving open how much reported performance depends on the specific components versus the architecture itself (Sections 3.1, 3.3, 3.5). Third, standard QA metrics cannot detect grounded-but-inaccurate answers; frameworks such as RAGAS (Section 4.3) attempt to close this gap but rely on an LLM judge of uncertain reliability, so the gap is only partially closed (Section 5.1). Fourth, PaperQA's near-zero hallucination rate on LitQA comes from an agentic, iterative-search architecture materially different from this project's single-pass pipeline, so its figures are a useful upper reference point rather than a like-for-like benchmark (Section 4.2).</w:t>
      </w:r>
      <w:r w:rsidDel="00000000" w:rsidR="00000000" w:rsidRPr="00000000">
        <w:rPr>
          <w:rtl w:val="0"/>
        </w:rPr>
      </w:r>
    </w:p>
    <w:p w:rsidR="00000000" w:rsidDel="00000000" w:rsidP="00000000" w:rsidRDefault="00000000" w:rsidRPr="00000000" w14:paraId="00000058">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These gaps motivate the research questions below. Rather than treating the literature's reported figures as guarantees, this project treats them as hypotheses to be tested against a specific, less-studied configuration: a lightweight, single-pass RAG pipeline for scientific-paper QA, evaluated with an approach designed around these limitations rather than assuming results from the general-domain or agentic literature transfer unchanged.</w:t>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tl w:val="0"/>
        </w:rPr>
        <w:t xml:space="preserve">7. Conclusion and Core Research Questions</w:t>
      </w:r>
    </w:p>
    <w:p w:rsidR="00000000" w:rsidDel="00000000" w:rsidP="00000000" w:rsidRDefault="00000000" w:rsidRPr="00000000" w14:paraId="0000005A">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Taken together, the literature reviewed above points toward a clear architectural blueprint: robust PDF parsing, a fine-tuned dense vector embedding model (Sentence-Transformers), a cloud-based vector database (Pinecone), and an instruction-tuned generative LLM (LLaMA 3.1) combined within a Retrieval-Augmented Generation architecture, offering a scalable, practical solution to navigating scientific literature at scale. The Summarized Research Papers corpus (Tyagi, 2024), alongside the established SQuAD 2.0 benchmark and comparison points such as QASPER (Dasigi et al., 2021) and PaperQA (Lála et al., 2023), provides the training, evaluation, and comparative foundation needed to test this architecture empirically rather than by assumption.</w:t>
      </w:r>
      <w:r w:rsidDel="00000000" w:rsidR="00000000" w:rsidRPr="00000000">
        <w:rPr>
          <w:rtl w:val="0"/>
        </w:rPr>
      </w:r>
    </w:p>
    <w:p w:rsidR="00000000" w:rsidDel="00000000" w:rsidP="00000000" w:rsidRDefault="00000000" w:rsidRPr="00000000" w14:paraId="0000005B">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Building on the gaps identified in Section 6, this research project addresses the following primary research question: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effectively can an end-to-end RAG architecture, utilising a fine-tuned Sentence-Transformer embedder, a Pinecone vector index, and an LLaMA 3.1 LLM, retrieve relevant paper contexts and generate accurate, source-grounded answers for academic research papers?</w:t>
      </w:r>
    </w:p>
    <w:p w:rsidR="00000000" w:rsidDel="00000000" w:rsidP="00000000" w:rsidRDefault="00000000" w:rsidRPr="00000000" w14:paraId="0000005D">
      <w:pPr>
        <w:spacing w:after="200" w:line="276" w:lineRule="auto"/>
        <w:rPr/>
      </w:pPr>
      <w:r w:rsidDel="00000000" w:rsidR="00000000" w:rsidRPr="00000000">
        <w:rPr>
          <w:rFonts w:ascii="Times New Roman" w:cs="Times New Roman" w:eastAsia="Times New Roman" w:hAnsi="Times New Roman"/>
          <w:b w:val="0"/>
          <w:bCs w:val="0"/>
          <w:i w:val="0"/>
          <w:iCs w:val="0"/>
          <w:sz w:val="24"/>
          <w:szCs w:val="24"/>
          <w:rtl w:val="0"/>
        </w:rPr>
        <w:t xml:space="preserve">To answer this overarching question in a structured way, the project is guided by three sub-questions, which together shape the system's design, its empirical implementation, and its quantitative evaluation: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what extent does fine-tuning a lightweight embedding model (all-MiniLM-L6-v2) on SQuAD 2.0 and the Kaggle Summarized Research Papers dataset via MultipleNegativesRankingLoss improve retrieval recall and mean reciprocal rank compared to the base pre-trained model?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 token-level F1 scores and dense semantic similarity metrics compare when evaluating model-generated answers against ground-truth dataset answers?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effectively can source-type metadata filtering (PDF vs. Dataset) isolate document domain contexts while maintaining real-time query latency (under 1.5 seconds)?</w:t>
      </w:r>
    </w:p>
    <w:p w:rsidR="00000000" w:rsidDel="00000000" w:rsidP="00000000" w:rsidRDefault="00000000" w:rsidRPr="00000000" w14:paraId="00000061">
      <w:pPr>
        <w:pStyle w:val="Heading1"/>
        <w:spacing w:after="200" w:before="360" w:lineRule="auto"/>
        <w:rPr/>
      </w:pPr>
      <w:r w:rsidDel="00000000" w:rsidR="00000000" w:rsidRPr="00000000">
        <w:rPr>
          <w:rtl w:val="0"/>
        </w:rPr>
        <w:t xml:space="preserve">8. References</w:t>
      </w:r>
    </w:p>
    <w:p w:rsidR="00000000" w:rsidDel="00000000" w:rsidP="00000000" w:rsidRDefault="00000000" w:rsidRPr="00000000" w14:paraId="00000062">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Dasigi, P., Lo, K., Beltagy, I., Cohan, A., &amp; Smith, N. A. (2021). A dataset of information-seeking questions and answers anchored in research papers. In Proceedings of the 2021 Conference of the North American Chapter of the Association for Computational Linguistics: Human Language Technologies (pp. 4599–4610). Association for Computational Linguistics. https://aclanthology.org/2021.naacl-main.365/</w:t>
      </w:r>
      <w:r w:rsidDel="00000000" w:rsidR="00000000" w:rsidRPr="00000000">
        <w:rPr>
          <w:rtl w:val="0"/>
        </w:rPr>
      </w:r>
    </w:p>
    <w:p w:rsidR="00000000" w:rsidDel="00000000" w:rsidP="00000000" w:rsidRDefault="00000000" w:rsidRPr="00000000" w14:paraId="00000063">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Es, S., James, J., Espinosa-Anke, L., &amp; Schockaert, S. (2024). RAGAs: Automated evaluation of retrieval-augmented generation. In Proceedings of the 18th Conference of the European Chapter of the Association for Computational Linguistics: System Demonstrations (pp. 150–158). Association for Computational Linguistics. https://doi.org/10.18653/v1/2024.eacl-demo.16</w:t>
      </w:r>
      <w:r w:rsidDel="00000000" w:rsidR="00000000" w:rsidRPr="00000000">
        <w:rPr>
          <w:rtl w:val="0"/>
        </w:rPr>
      </w:r>
    </w:p>
    <w:p w:rsidR="00000000" w:rsidDel="00000000" w:rsidP="00000000" w:rsidRDefault="00000000" w:rsidRPr="00000000" w14:paraId="00000064">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Ji, Z., Lee, N., Frieske, R., Yu, T., Su, D., Xu, Y., Ishii, E., Bang, Y. J., Madotto, A., &amp; Fung, P. (2023). Survey of hallucination in natural language generation. ACM Computing Surveys, 55(12), 1–38. https://doi.org/10.1145/3571730</w:t>
      </w:r>
      <w:r w:rsidDel="00000000" w:rsidR="00000000" w:rsidRPr="00000000">
        <w:rPr>
          <w:rtl w:val="0"/>
        </w:rPr>
      </w:r>
    </w:p>
    <w:p w:rsidR="00000000" w:rsidDel="00000000" w:rsidP="00000000" w:rsidRDefault="00000000" w:rsidRPr="00000000" w14:paraId="00000065">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Johnson, J., Douze, M., &amp; Jégou, H. (2019). Billion-scale similarity search with GPUs. IEEE Transactions on Big Data, 7(3), 535–547. https://doi.org/10.1109/TBDATA.2019.2921572</w:t>
      </w:r>
      <w:r w:rsidDel="00000000" w:rsidR="00000000" w:rsidRPr="00000000">
        <w:rPr>
          <w:rtl w:val="0"/>
        </w:rPr>
      </w:r>
    </w:p>
    <w:p w:rsidR="00000000" w:rsidDel="00000000" w:rsidP="00000000" w:rsidRDefault="00000000" w:rsidRPr="00000000" w14:paraId="00000066">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Karpukhin, V., Oğuz,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r w:rsidDel="00000000" w:rsidR="00000000" w:rsidRPr="00000000">
        <w:rPr>
          <w:rtl w:val="0"/>
        </w:rPr>
      </w:r>
    </w:p>
    <w:p w:rsidR="00000000" w:rsidDel="00000000" w:rsidP="00000000" w:rsidRDefault="00000000" w:rsidRPr="00000000" w14:paraId="00000067">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Lála, J., O'Donoghue, O., Shtedritski, A., Cox, S., Rodriques, S. G., &amp; White, A. D. (2023). PaperQA: Retrieval-augmented generative agent for scientific research (arXiv:2312.07559). arXiv. https://doi.org/10.48550/arXiv.2312.07559</w:t>
      </w:r>
      <w:r w:rsidDel="00000000" w:rsidR="00000000" w:rsidRPr="00000000">
        <w:rPr>
          <w:rtl w:val="0"/>
        </w:rPr>
      </w:r>
    </w:p>
    <w:p w:rsidR="00000000" w:rsidDel="00000000" w:rsidP="00000000" w:rsidRDefault="00000000" w:rsidRPr="00000000" w14:paraId="00000068">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Lewis, M., Liu, Y., Goyal, N., Ghazvininejad, M., Mohamed, A., Levy, O., Stoyanov, V., &amp; Zettlemoyer, L. (2020). BART: Denoising sequence-to-sequence pre-training for natural language generation, translation, and comprehension. In Proceedings of the 58th Annual Meeting of the Association for Computational Linguistics (pp. 7871–7880). Association for Computational Linguistics. https://doi.org/10.18653/v1/2020.acl-main.703</w:t>
      </w:r>
      <w:r w:rsidDel="00000000" w:rsidR="00000000" w:rsidRPr="00000000">
        <w:rPr>
          <w:rtl w:val="0"/>
        </w:rPr>
      </w:r>
    </w:p>
    <w:p w:rsidR="00000000" w:rsidDel="00000000" w:rsidP="00000000" w:rsidRDefault="00000000" w:rsidRPr="00000000" w14:paraId="00000069">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Lewis, P., Perez, E., Piktus, A., Petroni, F., Karpukhin, V., Goyal, N., Küttler, H., Lewis, M., Yih, W., Rocktäschel, T., Riedel, S., &amp; Kiela, D. (2020). Retrieval-augmented generation for knowledge-intensive NLP tasks. In H. Larochelle, M. Ranzato, R. Hadsell, M. F. Balcan, &amp; H. Lin (Eds.), Advances in Neural Information Processing Systems 33 (NeurIPS 2020) (pp. 9459–9474). Curran Associates.</w:t>
      </w:r>
      <w:r w:rsidDel="00000000" w:rsidR="00000000" w:rsidRPr="00000000">
        <w:rPr>
          <w:rtl w:val="0"/>
        </w:rPr>
      </w:r>
    </w:p>
    <w:p w:rsidR="00000000" w:rsidDel="00000000" w:rsidP="00000000" w:rsidRDefault="00000000" w:rsidRPr="00000000" w14:paraId="0000006A">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Lin, C.-Y. (2004). ROUGE: A package for automatic evaluation of summaries. In Text Summarization Branches Out (pp. 74–81). Association for Computational Linguistics. https://aclanthology.org/W04-1013/</w:t>
      </w:r>
      <w:r w:rsidDel="00000000" w:rsidR="00000000" w:rsidRPr="00000000">
        <w:rPr>
          <w:rtl w:val="0"/>
        </w:rPr>
      </w:r>
    </w:p>
    <w:p w:rsidR="00000000" w:rsidDel="00000000" w:rsidP="00000000" w:rsidRDefault="00000000" w:rsidRPr="00000000" w14:paraId="0000006B">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Liu, Y., Ott, M., Goyal, N., Du, J., Joshi, M., Chen, D., Levy, O., Lewis, M., Zettlemoyer, L., &amp; Stoyanov, V. (2019). RoBERTa: A robustly optimized BERT pretraining approach (arXiv:1907.11692). arXiv. https://doi.org/10.48550/arXiv.1907.11692</w:t>
      </w:r>
      <w:r w:rsidDel="00000000" w:rsidR="00000000" w:rsidRPr="00000000">
        <w:rPr>
          <w:rtl w:val="0"/>
        </w:rPr>
      </w:r>
    </w:p>
    <w:p w:rsidR="00000000" w:rsidDel="00000000" w:rsidP="00000000" w:rsidRDefault="00000000" w:rsidRPr="00000000" w14:paraId="0000006C">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Rajpurkar, P., Jia, R., &amp; Liang, P. (2018). Know what you don't know: Unanswerable questions for SQuAD. In Proceedings of the 56th Annual Meeting of the Association for Computational Linguistics (pp. 784–789). Association for Computational Linguistics. https://doi.org/10.18653/v1/P18-2124</w:t>
      </w:r>
      <w:r w:rsidDel="00000000" w:rsidR="00000000" w:rsidRPr="00000000">
        <w:rPr>
          <w:rtl w:val="0"/>
        </w:rPr>
      </w:r>
    </w:p>
    <w:p w:rsidR="00000000" w:rsidDel="00000000" w:rsidP="00000000" w:rsidRDefault="00000000" w:rsidRPr="00000000" w14:paraId="0000006D">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Reimers, N., &amp; Gurevych, I. (2019). Sentence-BERT: Sentence embeddings using Siamese BERT-networks. In Proceedings of the 2019 Conference on Empirical Methods in Natural Language Processing (pp. 3982–3992). Association for Computational Linguistics. https://doi.org/10.18653/v1/D19-1410</w:t>
      </w:r>
      <w:r w:rsidDel="00000000" w:rsidR="00000000" w:rsidRPr="00000000">
        <w:rPr>
          <w:rtl w:val="0"/>
        </w:rPr>
      </w:r>
    </w:p>
    <w:p w:rsidR="00000000" w:rsidDel="00000000" w:rsidP="00000000" w:rsidRDefault="00000000" w:rsidRPr="00000000" w14:paraId="0000006E">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Tyagi, A. (2024). Summarized research papers [Dataset]. Kaggle. https://www.kaggle.com/datasets/tyagi586/summarized-research-papers</w:t>
      </w:r>
      <w:r w:rsidDel="00000000" w:rsidR="00000000" w:rsidRPr="00000000">
        <w:rPr>
          <w:rtl w:val="0"/>
        </w:rPr>
      </w:r>
    </w:p>
    <w:p w:rsidR="00000000" w:rsidDel="00000000" w:rsidP="00000000" w:rsidRDefault="00000000" w:rsidRPr="00000000" w14:paraId="0000006F">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Vaswani, A., Shazeer, N., Parmar, N., Uszkoreit, J., Jones, L., Gomez, A. N., Kaiser, Ł., &amp; Polosukhin, I. (2017). Attention is all you need. In Advances in Neural Information Processing Systems 30 (NeurIPS 2017) (pp. 5998–6008).</w:t>
      </w:r>
      <w:r w:rsidDel="00000000" w:rsidR="00000000" w:rsidRPr="00000000">
        <w:rPr>
          <w:rtl w:val="0"/>
        </w:rPr>
      </w:r>
    </w:p>
    <w:p w:rsidR="00000000" w:rsidDel="00000000" w:rsidP="00000000" w:rsidRDefault="00000000" w:rsidRPr="00000000" w14:paraId="00000070">
      <w:pPr>
        <w:spacing w:after="200" w:line="276" w:lineRule="auto"/>
        <w:ind w:left="720" w:hanging="720"/>
        <w:rPr/>
      </w:pPr>
      <w:r w:rsidDel="00000000" w:rsidR="00000000" w:rsidRPr="00000000">
        <w:rPr>
          <w:rFonts w:ascii="Times New Roman" w:cs="Times New Roman" w:eastAsia="Times New Roman" w:hAnsi="Times New Roman"/>
          <w:sz w:val="24"/>
          <w:szCs w:val="24"/>
          <w:rtl w:val="0"/>
        </w:rPr>
        <w:t xml:space="preserve">Zhang, T., Kishore, V., Wu, F., Weinberger, K. Q., &amp; Artzi, Y. (2020). BERTScore: Evaluating text generation with BERT. In International Conference on Learning Representations (ICLR). https://openreview.net/forum?id=SkeHuCVFDr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