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76DA" w:rsidRPr="000F76DA" w:rsidRDefault="000F76DA" w:rsidP="000F76DA">
      <w:pPr>
        <w:jc w:val="both"/>
        <w:rPr>
          <w:b/>
          <w:bCs/>
        </w:rPr>
      </w:pPr>
      <w:r w:rsidRPr="000F76DA">
        <w:rPr>
          <w:b/>
          <w:bCs/>
        </w:rPr>
        <w:t>BVIM</w:t>
      </w:r>
      <w:r>
        <w:rPr>
          <w:b/>
          <w:bCs/>
        </w:rPr>
        <w:t>SR Placement Cell</w:t>
      </w:r>
    </w:p>
    <w:p w:rsidR="000F76DA" w:rsidRDefault="00022FD3" w:rsidP="000F76DA">
      <w:pPr>
        <w:jc w:val="both"/>
      </w:pPr>
      <w:r>
        <w:t>Meeting the challenging need of the Corporates and Industry is the prime responsibility of Managers. BVIMSR spares no effort in ensuing its students are ready for the dynamic corporate world.</w:t>
      </w:r>
      <w:r>
        <w:t xml:space="preserve"> </w:t>
      </w:r>
      <w:proofErr w:type="spellStart"/>
      <w:r w:rsidR="000F76DA" w:rsidRPr="000F76DA">
        <w:t>Bharati</w:t>
      </w:r>
      <w:proofErr w:type="spellEnd"/>
      <w:r w:rsidR="000F76DA" w:rsidRPr="000F76DA">
        <w:t xml:space="preserve"> </w:t>
      </w:r>
      <w:proofErr w:type="spellStart"/>
      <w:r w:rsidR="000F76DA" w:rsidRPr="000F76DA">
        <w:t>Vidyapeeth</w:t>
      </w:r>
      <w:r w:rsidR="000F76DA">
        <w:t>’s</w:t>
      </w:r>
      <w:proofErr w:type="spellEnd"/>
      <w:r w:rsidR="000F76DA">
        <w:t xml:space="preserve"> </w:t>
      </w:r>
      <w:r w:rsidR="000F76DA" w:rsidRPr="000F76DA">
        <w:t xml:space="preserve">Institute of Management and Research has a well-established </w:t>
      </w:r>
      <w:r w:rsidR="000F76DA">
        <w:t>Placement Cell</w:t>
      </w:r>
      <w:r w:rsidR="000F76DA" w:rsidRPr="000F76DA">
        <w:t xml:space="preserve">. It gives the necessary guidelines to the students to decide the career paths by counseling, guiding, motivating and mentoring them. </w:t>
      </w:r>
    </w:p>
    <w:p w:rsidR="000F76DA" w:rsidRDefault="000F76DA" w:rsidP="000F76DA">
      <w:pPr>
        <w:jc w:val="both"/>
      </w:pPr>
      <w:r>
        <w:t>Placement Cell takes special care in equipping young aspirants with knowledge and skills that are expected out of them.</w:t>
      </w:r>
      <w:r w:rsidR="005F705C">
        <w:t xml:space="preserve"> </w:t>
      </w:r>
      <w:r>
        <w:t>The students at BVIMSR are well equipped and well groomed to take up any challenge in the corporate sector and also, to put their acquired skills to mutual benefit of the organization and their own self development.</w:t>
      </w:r>
    </w:p>
    <w:p w:rsidR="00541240" w:rsidRPr="000F76DA" w:rsidRDefault="00541240" w:rsidP="000F76DA">
      <w:pPr>
        <w:jc w:val="both"/>
      </w:pPr>
      <w:r w:rsidRPr="00541240">
        <w:t>Each year, the campus hosts organizations from a plethora of different industries and sectors offering diverse profiles across verticals and functional domains.</w:t>
      </w:r>
      <w:r w:rsidRPr="00541240">
        <w:rPr>
          <w:rFonts w:ascii="Arial" w:hAnsi="Arial" w:cs="Arial"/>
          <w:color w:val="1F1E1E"/>
          <w:sz w:val="21"/>
          <w:szCs w:val="21"/>
          <w:shd w:val="clear" w:color="auto" w:fill="FFFFFF"/>
        </w:rPr>
        <w:t xml:space="preserve"> </w:t>
      </w:r>
      <w:r w:rsidRPr="00541240">
        <w:t>The mark of success for an institution is to assist its students in achieving their dreams of kick-starting successful career in a challenging and ever-diversifying industry.  </w:t>
      </w:r>
    </w:p>
    <w:p w:rsidR="000F76DA" w:rsidRPr="000F76DA" w:rsidRDefault="000F76DA" w:rsidP="000F76DA">
      <w:pPr>
        <w:jc w:val="both"/>
      </w:pPr>
      <w:r w:rsidRPr="000F76DA">
        <w:rPr>
          <w:b/>
          <w:bCs/>
        </w:rPr>
        <w:t>Infrastructure for</w:t>
      </w:r>
      <w:r>
        <w:rPr>
          <w:b/>
          <w:bCs/>
        </w:rPr>
        <w:t xml:space="preserve"> </w:t>
      </w:r>
      <w:r w:rsidRPr="000F76DA">
        <w:rPr>
          <w:b/>
          <w:bCs/>
        </w:rPr>
        <w:t>Placement Cell:</w:t>
      </w:r>
      <w:r w:rsidRPr="000F76DA">
        <w:t> The Placement Cell is equipped with the necessar</w:t>
      </w:r>
      <w:r>
        <w:t>y infrastructure like a Seminar Hall (seating capacity 200), Two</w:t>
      </w:r>
      <w:r w:rsidRPr="000F76DA">
        <w:t xml:space="preserve"> computer labs (seating capacity 60 in each), one conference room for smoothly conduct of group discussion and interviews.</w:t>
      </w:r>
    </w:p>
    <w:p w:rsidR="000F76DA" w:rsidRPr="000F76DA" w:rsidRDefault="000F76DA" w:rsidP="000F76DA">
      <w:pPr>
        <w:jc w:val="both"/>
        <w:rPr>
          <w:b/>
          <w:bCs/>
        </w:rPr>
      </w:pPr>
      <w:r w:rsidRPr="000F76DA">
        <w:rPr>
          <w:b/>
          <w:bCs/>
        </w:rPr>
        <w:t>Activities of</w:t>
      </w:r>
      <w:r w:rsidRPr="000F76DA">
        <w:t xml:space="preserve"> </w:t>
      </w:r>
      <w:r w:rsidRPr="000F76DA">
        <w:rPr>
          <w:b/>
          <w:bCs/>
        </w:rPr>
        <w:t xml:space="preserve">Placement </w:t>
      </w:r>
      <w:proofErr w:type="gramStart"/>
      <w:r w:rsidRPr="000F76DA">
        <w:rPr>
          <w:b/>
          <w:bCs/>
        </w:rPr>
        <w:t>Cell</w:t>
      </w:r>
      <w:r>
        <w:rPr>
          <w:b/>
          <w:bCs/>
        </w:rPr>
        <w:t xml:space="preserve"> </w:t>
      </w:r>
      <w:r w:rsidRPr="000F76DA">
        <w:rPr>
          <w:b/>
          <w:bCs/>
        </w:rPr>
        <w:t>:</w:t>
      </w:r>
      <w:proofErr w:type="gramEnd"/>
    </w:p>
    <w:p w:rsidR="000F76DA" w:rsidRPr="000F76DA" w:rsidRDefault="000F76DA" w:rsidP="000F76DA">
      <w:pPr>
        <w:numPr>
          <w:ilvl w:val="0"/>
          <w:numId w:val="1"/>
        </w:numPr>
        <w:jc w:val="both"/>
      </w:pPr>
      <w:r w:rsidRPr="000F76DA">
        <w:t>Relationship Building with Reputed Companies and signing MOU.</w:t>
      </w:r>
    </w:p>
    <w:p w:rsidR="00541240" w:rsidRDefault="000F76DA" w:rsidP="000F76DA">
      <w:pPr>
        <w:numPr>
          <w:ilvl w:val="0"/>
          <w:numId w:val="1"/>
        </w:numPr>
        <w:jc w:val="both"/>
      </w:pPr>
      <w:r w:rsidRPr="000F76DA">
        <w:t xml:space="preserve">Summer and </w:t>
      </w:r>
      <w:r w:rsidR="00541240">
        <w:t>Winter Projects</w:t>
      </w:r>
    </w:p>
    <w:p w:rsidR="000F76DA" w:rsidRPr="000F76DA" w:rsidRDefault="000F76DA" w:rsidP="000F76DA">
      <w:pPr>
        <w:numPr>
          <w:ilvl w:val="0"/>
          <w:numId w:val="1"/>
        </w:numPr>
        <w:jc w:val="both"/>
      </w:pPr>
      <w:r w:rsidRPr="000F76DA">
        <w:t>Final Placements</w:t>
      </w:r>
    </w:p>
    <w:p w:rsidR="000F76DA" w:rsidRPr="000F76DA" w:rsidRDefault="000F76DA" w:rsidP="000F76DA">
      <w:pPr>
        <w:numPr>
          <w:ilvl w:val="0"/>
          <w:numId w:val="1"/>
        </w:numPr>
        <w:jc w:val="both"/>
      </w:pPr>
      <w:r w:rsidRPr="000F76DA">
        <w:t>Arranging live Projects</w:t>
      </w:r>
    </w:p>
    <w:p w:rsidR="000F76DA" w:rsidRPr="000F76DA" w:rsidRDefault="000F76DA" w:rsidP="000F76DA">
      <w:pPr>
        <w:numPr>
          <w:ilvl w:val="0"/>
          <w:numId w:val="1"/>
        </w:numPr>
        <w:jc w:val="both"/>
      </w:pPr>
      <w:r w:rsidRPr="000F76DA">
        <w:t>National and International Industrial Visits</w:t>
      </w:r>
    </w:p>
    <w:p w:rsidR="000F76DA" w:rsidRPr="000F76DA" w:rsidRDefault="000F76DA" w:rsidP="000F76DA">
      <w:pPr>
        <w:numPr>
          <w:ilvl w:val="0"/>
          <w:numId w:val="1"/>
        </w:numPr>
        <w:jc w:val="both"/>
      </w:pPr>
      <w:r w:rsidRPr="000F76DA">
        <w:t>Expert Talks (Guest Lectures)</w:t>
      </w:r>
    </w:p>
    <w:p w:rsidR="000F76DA" w:rsidRPr="000F76DA" w:rsidRDefault="000F76DA" w:rsidP="000F76DA">
      <w:pPr>
        <w:numPr>
          <w:ilvl w:val="0"/>
          <w:numId w:val="1"/>
        </w:numPr>
        <w:jc w:val="both"/>
      </w:pPr>
      <w:r>
        <w:t>Arranging Employability Skills</w:t>
      </w:r>
      <w:r w:rsidRPr="000F76DA">
        <w:t xml:space="preserve"> classes</w:t>
      </w:r>
    </w:p>
    <w:p w:rsidR="000F76DA" w:rsidRDefault="000F76DA" w:rsidP="000F76DA">
      <w:pPr>
        <w:numPr>
          <w:ilvl w:val="0"/>
          <w:numId w:val="1"/>
        </w:numPr>
        <w:jc w:val="both"/>
      </w:pPr>
      <w:r w:rsidRPr="000F76DA">
        <w:t>Alumni interaction</w:t>
      </w:r>
    </w:p>
    <w:p w:rsidR="00541240" w:rsidRDefault="00541240" w:rsidP="000F76DA">
      <w:pPr>
        <w:numPr>
          <w:ilvl w:val="0"/>
          <w:numId w:val="1"/>
        </w:numPr>
        <w:jc w:val="both"/>
      </w:pPr>
      <w:r>
        <w:t>Mentoring and Counselling</w:t>
      </w:r>
    </w:p>
    <w:p w:rsidR="00022FD3" w:rsidRDefault="00022FD3" w:rsidP="00022FD3">
      <w:pPr>
        <w:jc w:val="both"/>
        <w:rPr>
          <w:b/>
          <w:sz w:val="28"/>
          <w:szCs w:val="28"/>
        </w:rPr>
      </w:pPr>
      <w:r w:rsidRPr="00022FD3">
        <w:rPr>
          <w:b/>
          <w:sz w:val="28"/>
          <w:szCs w:val="28"/>
        </w:rPr>
        <w:t>Placement Team</w:t>
      </w:r>
    </w:p>
    <w:p w:rsidR="00022FD3" w:rsidRDefault="00022FD3" w:rsidP="00022FD3">
      <w:pPr>
        <w:jc w:val="both"/>
      </w:pPr>
      <w:r w:rsidRPr="000F76DA">
        <w:t>The Placement Cell is headed by a</w:t>
      </w:r>
      <w:r>
        <w:t xml:space="preserve"> competent individual having 35 </w:t>
      </w:r>
      <w:r w:rsidRPr="000F76DA">
        <w:t>years of combined industry and academic</w:t>
      </w:r>
      <w:r>
        <w:t xml:space="preserve"> experience and supported by four</w:t>
      </w:r>
      <w:r w:rsidRPr="000F76DA">
        <w:t xml:space="preserve"> faculty members and one supporting staff member and core team of volunteer students.</w:t>
      </w:r>
      <w:r>
        <w:t xml:space="preserve"> Members of Placement Team are as follows:</w:t>
      </w:r>
    </w:p>
    <w:p w:rsidR="00022FD3" w:rsidRPr="00022FD3" w:rsidRDefault="00022FD3" w:rsidP="00022FD3">
      <w:pPr>
        <w:pStyle w:val="ListParagraph"/>
        <w:numPr>
          <w:ilvl w:val="0"/>
          <w:numId w:val="15"/>
        </w:numPr>
        <w:jc w:val="both"/>
        <w:rPr>
          <w:b/>
        </w:rPr>
      </w:pPr>
      <w:r w:rsidRPr="00022FD3">
        <w:rPr>
          <w:b/>
        </w:rPr>
        <w:t xml:space="preserve">Prof. Suresh </w:t>
      </w:r>
      <w:proofErr w:type="spellStart"/>
      <w:r w:rsidRPr="00022FD3">
        <w:rPr>
          <w:b/>
        </w:rPr>
        <w:t>Patil</w:t>
      </w:r>
      <w:proofErr w:type="spellEnd"/>
    </w:p>
    <w:p w:rsidR="00022FD3" w:rsidRDefault="00022FD3" w:rsidP="00022FD3">
      <w:pPr>
        <w:pStyle w:val="ListParagraph"/>
        <w:numPr>
          <w:ilvl w:val="0"/>
          <w:numId w:val="15"/>
        </w:numPr>
        <w:jc w:val="both"/>
        <w:rPr>
          <w:b/>
        </w:rPr>
      </w:pPr>
      <w:r w:rsidRPr="00022FD3">
        <w:rPr>
          <w:b/>
        </w:rPr>
        <w:t xml:space="preserve">Prof. </w:t>
      </w:r>
      <w:proofErr w:type="spellStart"/>
      <w:r w:rsidRPr="00022FD3">
        <w:rPr>
          <w:b/>
        </w:rPr>
        <w:t>Priyeta</w:t>
      </w:r>
      <w:proofErr w:type="spellEnd"/>
      <w:r w:rsidRPr="00022FD3">
        <w:rPr>
          <w:b/>
        </w:rPr>
        <w:t xml:space="preserve"> </w:t>
      </w:r>
      <w:proofErr w:type="spellStart"/>
      <w:r>
        <w:rPr>
          <w:b/>
        </w:rPr>
        <w:t>Priyadarshini</w:t>
      </w:r>
      <w:proofErr w:type="spellEnd"/>
    </w:p>
    <w:p w:rsidR="00022FD3" w:rsidRDefault="00022FD3" w:rsidP="00022FD3">
      <w:pPr>
        <w:pStyle w:val="ListParagraph"/>
        <w:numPr>
          <w:ilvl w:val="0"/>
          <w:numId w:val="15"/>
        </w:numPr>
        <w:jc w:val="both"/>
        <w:rPr>
          <w:b/>
        </w:rPr>
      </w:pPr>
      <w:r>
        <w:rPr>
          <w:b/>
        </w:rPr>
        <w:t xml:space="preserve">Prof. </w:t>
      </w:r>
      <w:proofErr w:type="spellStart"/>
      <w:r>
        <w:rPr>
          <w:b/>
        </w:rPr>
        <w:t>Rajni</w:t>
      </w:r>
      <w:proofErr w:type="spellEnd"/>
      <w:r>
        <w:rPr>
          <w:b/>
        </w:rPr>
        <w:t xml:space="preserve"> </w:t>
      </w:r>
      <w:proofErr w:type="spellStart"/>
      <w:r>
        <w:rPr>
          <w:b/>
        </w:rPr>
        <w:t>Mathur</w:t>
      </w:r>
      <w:proofErr w:type="spellEnd"/>
    </w:p>
    <w:p w:rsidR="00022FD3" w:rsidRDefault="00022FD3" w:rsidP="00022FD3">
      <w:pPr>
        <w:pStyle w:val="ListParagraph"/>
        <w:numPr>
          <w:ilvl w:val="0"/>
          <w:numId w:val="15"/>
        </w:numPr>
        <w:jc w:val="both"/>
        <w:rPr>
          <w:b/>
        </w:rPr>
      </w:pPr>
      <w:r>
        <w:rPr>
          <w:b/>
        </w:rPr>
        <w:t xml:space="preserve">Dr. </w:t>
      </w:r>
      <w:proofErr w:type="spellStart"/>
      <w:r>
        <w:rPr>
          <w:b/>
        </w:rPr>
        <w:t>Purvi</w:t>
      </w:r>
      <w:proofErr w:type="spellEnd"/>
      <w:r>
        <w:rPr>
          <w:b/>
        </w:rPr>
        <w:t xml:space="preserve"> </w:t>
      </w:r>
      <w:proofErr w:type="spellStart"/>
      <w:r>
        <w:rPr>
          <w:b/>
        </w:rPr>
        <w:t>Pujari</w:t>
      </w:r>
      <w:proofErr w:type="spellEnd"/>
    </w:p>
    <w:p w:rsidR="00022FD3" w:rsidRPr="00022FD3" w:rsidRDefault="00022FD3" w:rsidP="00022FD3">
      <w:pPr>
        <w:pStyle w:val="ListParagraph"/>
        <w:numPr>
          <w:ilvl w:val="0"/>
          <w:numId w:val="15"/>
        </w:numPr>
        <w:jc w:val="both"/>
        <w:rPr>
          <w:b/>
        </w:rPr>
      </w:pPr>
      <w:r>
        <w:rPr>
          <w:b/>
        </w:rPr>
        <w:lastRenderedPageBreak/>
        <w:t xml:space="preserve">Mrs. </w:t>
      </w:r>
      <w:proofErr w:type="spellStart"/>
      <w:r>
        <w:rPr>
          <w:b/>
        </w:rPr>
        <w:t>Varsha</w:t>
      </w:r>
      <w:proofErr w:type="spellEnd"/>
      <w:r>
        <w:rPr>
          <w:b/>
        </w:rPr>
        <w:t xml:space="preserve"> </w:t>
      </w:r>
      <w:proofErr w:type="spellStart"/>
      <w:r>
        <w:rPr>
          <w:b/>
        </w:rPr>
        <w:t>Gavali</w:t>
      </w:r>
      <w:proofErr w:type="spellEnd"/>
    </w:p>
    <w:p w:rsidR="00645E68" w:rsidRDefault="00645E68" w:rsidP="0040486C">
      <w:pPr>
        <w:jc w:val="both"/>
        <w:rPr>
          <w:b/>
          <w:sz w:val="28"/>
          <w:szCs w:val="28"/>
        </w:rPr>
      </w:pPr>
      <w:r w:rsidRPr="00772AD4">
        <w:rPr>
          <w:b/>
          <w:sz w:val="28"/>
          <w:szCs w:val="28"/>
        </w:rPr>
        <w:t>Placement Process</w:t>
      </w:r>
    </w:p>
    <w:p w:rsidR="00DD4BAF" w:rsidRPr="00DD4BAF" w:rsidRDefault="00DD4BAF" w:rsidP="0040486C">
      <w:pPr>
        <w:jc w:val="both"/>
        <w:rPr>
          <w:sz w:val="24"/>
          <w:szCs w:val="24"/>
        </w:rPr>
      </w:pPr>
      <w:r w:rsidRPr="00DD4BAF">
        <w:rPr>
          <w:sz w:val="24"/>
          <w:szCs w:val="24"/>
        </w:rPr>
        <w:t>The placement cell constantly stays in touch with companies from different industries. It builds and maintains synergetic link with corporate by personally visiting placement officials of different organizations, sending brochures, students’ excel database in filtered form along with photographs and bio-data and giving brief presentation of the activities carried by the institute. The interested companies are invited for the campus selection of the students. The placement cell shortlists the students on the basis of requirement of the companies and interest shown by the students.</w:t>
      </w:r>
    </w:p>
    <w:p w:rsidR="0040486C" w:rsidRDefault="0040486C" w:rsidP="0040486C">
      <w:pPr>
        <w:jc w:val="both"/>
        <w:rPr>
          <w:b/>
          <w:sz w:val="28"/>
          <w:szCs w:val="28"/>
        </w:rPr>
      </w:pPr>
      <w:r w:rsidRPr="0040486C">
        <w:rPr>
          <w:b/>
          <w:noProof/>
          <w:sz w:val="28"/>
          <w:szCs w:val="28"/>
        </w:rPr>
        <w:drawing>
          <wp:inline distT="0" distB="0" distL="0" distR="0">
            <wp:extent cx="4762500" cy="4743450"/>
            <wp:effectExtent l="0" t="0" r="0" b="0"/>
            <wp:docPr id="1" name="Picture 1" descr="http://www.bvimr.com/Images/Placement_Proced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bvimr.com/Images/Placement_Procedure.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62500" cy="4743450"/>
                    </a:xfrm>
                    <a:prstGeom prst="rect">
                      <a:avLst/>
                    </a:prstGeom>
                    <a:noFill/>
                    <a:ln>
                      <a:noFill/>
                    </a:ln>
                  </pic:spPr>
                </pic:pic>
              </a:graphicData>
            </a:graphic>
          </wp:inline>
        </w:drawing>
      </w:r>
    </w:p>
    <w:p w:rsidR="0040486C" w:rsidRPr="00772AD4" w:rsidRDefault="0040486C" w:rsidP="0040486C">
      <w:pPr>
        <w:jc w:val="both"/>
        <w:rPr>
          <w:b/>
          <w:sz w:val="28"/>
          <w:szCs w:val="28"/>
        </w:rPr>
      </w:pPr>
    </w:p>
    <w:p w:rsidR="00645E68" w:rsidRPr="00772AD4" w:rsidRDefault="00645E68" w:rsidP="0040486C">
      <w:pPr>
        <w:jc w:val="both"/>
        <w:rPr>
          <w:b/>
        </w:rPr>
      </w:pPr>
      <w:r w:rsidRPr="00772AD4">
        <w:rPr>
          <w:b/>
        </w:rPr>
        <w:t>Employability Skills Program</w:t>
      </w:r>
    </w:p>
    <w:p w:rsidR="00645E68" w:rsidRDefault="00645E68" w:rsidP="0040486C">
      <w:pPr>
        <w:jc w:val="both"/>
      </w:pPr>
      <w:r>
        <w:t>It is an extensive program where students are introduced to the corporate world from their first year in forms of Guest lectures</w:t>
      </w:r>
      <w:r w:rsidR="008C1620">
        <w:t xml:space="preserve"> and in second year they have a full-fledged subject namely-Employability Skills.</w:t>
      </w:r>
      <w:r w:rsidR="008C1620" w:rsidRPr="008C1620">
        <w:t xml:space="preserve"> </w:t>
      </w:r>
      <w:r w:rsidR="008C1620">
        <w:t xml:space="preserve">Under this they are taught soft skills, Communication and other concepts crucial to their survival and </w:t>
      </w:r>
      <w:r w:rsidR="008C1620">
        <w:lastRenderedPageBreak/>
        <w:t>growth in the corporate world. At BVIMSR, programs like Sessions of Employability Skills, Group Discussions and Mock Interviews are taken every week to enhance the employability of the students</w:t>
      </w:r>
    </w:p>
    <w:p w:rsidR="008C1620" w:rsidRPr="00772AD4" w:rsidRDefault="008C1620" w:rsidP="0040486C">
      <w:pPr>
        <w:jc w:val="both"/>
        <w:rPr>
          <w:b/>
        </w:rPr>
      </w:pPr>
      <w:r w:rsidRPr="00772AD4">
        <w:rPr>
          <w:b/>
        </w:rPr>
        <w:t>Pre-Placement Talks</w:t>
      </w:r>
    </w:p>
    <w:p w:rsidR="00E22D91" w:rsidRDefault="00645E68" w:rsidP="0040486C">
      <w:pPr>
        <w:jc w:val="both"/>
      </w:pPr>
      <w:r w:rsidRPr="00645E68">
        <w:t>A critical part of the placement process is the opportunity for the students and the industry to</w:t>
      </w:r>
      <w:r>
        <w:t xml:space="preserve"> interact</w:t>
      </w:r>
      <w:r w:rsidR="008C1620">
        <w:t xml:space="preserve">. </w:t>
      </w:r>
      <w:r w:rsidRPr="00645E68">
        <w:t xml:space="preserve">The pre-placement talks are </w:t>
      </w:r>
      <w:r w:rsidR="00E22D91">
        <w:t>power point presentations given</w:t>
      </w:r>
      <w:r w:rsidRPr="00645E68">
        <w:t xml:space="preserve"> by the company</w:t>
      </w:r>
      <w:r w:rsidR="00E22D91">
        <w:t xml:space="preserve"> officials at </w:t>
      </w:r>
      <w:r w:rsidRPr="00645E68">
        <w:t xml:space="preserve">the </w:t>
      </w:r>
      <w:r w:rsidR="00E22D91">
        <w:t>institute</w:t>
      </w:r>
      <w:r w:rsidRPr="00645E68">
        <w:t xml:space="preserve">. </w:t>
      </w:r>
      <w:r w:rsidR="006E12D2" w:rsidRPr="00705911">
        <w:t>These presentations broadly cover details of their organization, profile of job offered, career prospects in the organization and compensation offered</w:t>
      </w:r>
      <w:r w:rsidR="006E12D2">
        <w:t xml:space="preserve">. </w:t>
      </w:r>
      <w:r w:rsidR="00E22D91">
        <w:t xml:space="preserve">The students get a chance to explore about the career </w:t>
      </w:r>
      <w:r w:rsidRPr="00645E68">
        <w:t xml:space="preserve">opportunities, </w:t>
      </w:r>
      <w:r w:rsidR="00E22D91">
        <w:t>growth possibilities and expectations of the corporate</w:t>
      </w:r>
      <w:r w:rsidR="005F705C">
        <w:t>.</w:t>
      </w:r>
      <w:r w:rsidR="00E22D91">
        <w:t xml:space="preserve"> They </w:t>
      </w:r>
      <w:r w:rsidR="005F705C">
        <w:t xml:space="preserve">also </w:t>
      </w:r>
      <w:r w:rsidR="00E22D91">
        <w:t>get a clear picture about the job</w:t>
      </w:r>
      <w:r w:rsidR="006E12D2">
        <w:t xml:space="preserve"> profile</w:t>
      </w:r>
      <w:r w:rsidR="00E22D91">
        <w:t xml:space="preserve">, average CTC and skill expectations of the companies. </w:t>
      </w:r>
      <w:r w:rsidRPr="00645E68">
        <w:t>All of this gives the student a clear understanding of the company and the kind of work he/she would be employed in.</w:t>
      </w:r>
      <w:r w:rsidR="00E22D91">
        <w:t xml:space="preserve"> Usually Pre-placement talks </w:t>
      </w:r>
      <w:r w:rsidR="00E22D91" w:rsidRPr="00645E68">
        <w:t>are one of the primary modes of interaction of the students with the companies. It gives students a chance to know more about the company, the work culture and a brief about the kind of people they would be working with.</w:t>
      </w:r>
      <w:r w:rsidR="00E22D91">
        <w:t xml:space="preserve"> Students also get a chance to pose questions to the presenters.</w:t>
      </w:r>
      <w:r w:rsidR="006E12D2" w:rsidRPr="006E12D2">
        <w:t xml:space="preserve"> </w:t>
      </w:r>
    </w:p>
    <w:p w:rsidR="00DE5B0F" w:rsidRPr="00772AD4" w:rsidRDefault="00E22D91" w:rsidP="0040486C">
      <w:pPr>
        <w:jc w:val="both"/>
        <w:rPr>
          <w:b/>
        </w:rPr>
      </w:pPr>
      <w:r w:rsidRPr="00772AD4">
        <w:rPr>
          <w:b/>
        </w:rPr>
        <w:t>Guest lectures</w:t>
      </w:r>
    </w:p>
    <w:p w:rsidR="00F263D2" w:rsidRDefault="00E22D91" w:rsidP="00F263D2">
      <w:pPr>
        <w:jc w:val="both"/>
      </w:pPr>
      <w:r>
        <w:t>Eminent speakers from the corporate world across all domain</w:t>
      </w:r>
      <w:r w:rsidR="00257DA2">
        <w:t>s with specialized knowledge and sectors are invited to deliver lecture to MMS students from both years.</w:t>
      </w:r>
      <w:r w:rsidR="00F263D2">
        <w:t xml:space="preserve"> </w:t>
      </w:r>
      <w:r w:rsidR="00F263D2" w:rsidRPr="00F263D2">
        <w:t>: Guest lectures are delivered by illustrious alumni, senior practitioners on a regular basis. Lectures are followed by question answer session.</w:t>
      </w:r>
    </w:p>
    <w:p w:rsidR="00541240" w:rsidRPr="00541240" w:rsidRDefault="00541240" w:rsidP="00541240">
      <w:pPr>
        <w:jc w:val="both"/>
      </w:pPr>
      <w:r w:rsidRPr="00541240">
        <w:rPr>
          <w:b/>
          <w:bCs/>
        </w:rPr>
        <w:t>Mentoring and Coaching</w:t>
      </w:r>
    </w:p>
    <w:p w:rsidR="00541240" w:rsidRPr="00541240" w:rsidRDefault="00541240" w:rsidP="00541240">
      <w:pPr>
        <w:jc w:val="both"/>
      </w:pPr>
      <w:r w:rsidRPr="00541240">
        <w:t>The placement cell takes care of grooming personality of the young graduates. They are trained according to requirement of the corporate by modern techniques of stress management, public speaking, corporate communication, business etiquettes, negotiation skills and effective communication. They are encouraged to become an efficient team member and an effective leader. Hence, case studies, industry projects, presentations, research work and role play form an integral pa</w:t>
      </w:r>
      <w:r>
        <w:t>rt of a student’s tenure at BVIMSR</w:t>
      </w:r>
      <w:r w:rsidRPr="00541240">
        <w:t>. Placement cell also helps students to prepare resume according to requirement of the organizations. It also enables them to prepare for the interview and group discussion.</w:t>
      </w:r>
    </w:p>
    <w:p w:rsidR="00541240" w:rsidRPr="00541240" w:rsidRDefault="00541240" w:rsidP="00541240">
      <w:pPr>
        <w:jc w:val="both"/>
      </w:pPr>
      <w:r w:rsidRPr="00541240">
        <w:rPr>
          <w:b/>
          <w:bCs/>
        </w:rPr>
        <w:t>Career Counseling</w:t>
      </w:r>
    </w:p>
    <w:p w:rsidR="00541240" w:rsidRDefault="00541240" w:rsidP="00541240">
      <w:pPr>
        <w:jc w:val="both"/>
      </w:pPr>
      <w:r w:rsidRPr="00541240">
        <w:t>Career Counseling plays a vital role in building career of the aspiring graduates in right direction. The Process starts with the assessment of aptitude and inclination of students. Students’ overall performance including academic and non-academic activities plays a major role in deciding the career path of students. After evaluating the above factors, students are guided for possible career. It also helps students to decide the specialization in 2nd year of their studies.</w:t>
      </w:r>
    </w:p>
    <w:p w:rsidR="00F263D2" w:rsidRPr="00F263D2" w:rsidRDefault="00F263D2" w:rsidP="00F263D2">
      <w:pPr>
        <w:numPr>
          <w:ilvl w:val="0"/>
          <w:numId w:val="8"/>
        </w:numPr>
        <w:jc w:val="both"/>
      </w:pPr>
      <w:r w:rsidRPr="00F263D2">
        <w:t>Multiple Avenues of counseling are provided during students stay at the institute</w:t>
      </w:r>
    </w:p>
    <w:p w:rsidR="00F263D2" w:rsidRPr="00F263D2" w:rsidRDefault="00F263D2" w:rsidP="00F263D2">
      <w:pPr>
        <w:numPr>
          <w:ilvl w:val="0"/>
          <w:numId w:val="8"/>
        </w:numPr>
        <w:jc w:val="both"/>
      </w:pPr>
      <w:r w:rsidRPr="00F263D2">
        <w:t xml:space="preserve">Outcomes of counseling are </w:t>
      </w:r>
    </w:p>
    <w:p w:rsidR="00F263D2" w:rsidRPr="00F263D2" w:rsidRDefault="00F263D2" w:rsidP="00F263D2">
      <w:pPr>
        <w:numPr>
          <w:ilvl w:val="0"/>
          <w:numId w:val="9"/>
        </w:numPr>
        <w:jc w:val="both"/>
      </w:pPr>
      <w:r w:rsidRPr="00F263D2">
        <w:t xml:space="preserve">Better </w:t>
      </w:r>
      <w:proofErr w:type="spellStart"/>
      <w:r w:rsidRPr="00F263D2">
        <w:t>self awareness</w:t>
      </w:r>
      <w:proofErr w:type="spellEnd"/>
    </w:p>
    <w:p w:rsidR="00F263D2" w:rsidRPr="00F263D2" w:rsidRDefault="00F263D2" w:rsidP="00F263D2">
      <w:pPr>
        <w:numPr>
          <w:ilvl w:val="0"/>
          <w:numId w:val="9"/>
        </w:numPr>
        <w:jc w:val="both"/>
      </w:pPr>
      <w:r w:rsidRPr="00F263D2">
        <w:t>Change in attitude, behavior, improvement in communication, general employability.</w:t>
      </w:r>
    </w:p>
    <w:p w:rsidR="00F263D2" w:rsidRPr="00F263D2" w:rsidRDefault="00F263D2" w:rsidP="00F263D2">
      <w:pPr>
        <w:numPr>
          <w:ilvl w:val="0"/>
          <w:numId w:val="9"/>
        </w:numPr>
        <w:jc w:val="both"/>
      </w:pPr>
      <w:r w:rsidRPr="00F263D2">
        <w:t>Awareness about industry trends, companies.</w:t>
      </w:r>
    </w:p>
    <w:p w:rsidR="00F263D2" w:rsidRPr="00F263D2" w:rsidRDefault="00F263D2" w:rsidP="00F263D2">
      <w:pPr>
        <w:numPr>
          <w:ilvl w:val="0"/>
          <w:numId w:val="9"/>
        </w:numPr>
        <w:jc w:val="both"/>
      </w:pPr>
      <w:r w:rsidRPr="00F263D2">
        <w:lastRenderedPageBreak/>
        <w:t>Awareness about appropriate career choices.</w:t>
      </w:r>
    </w:p>
    <w:p w:rsidR="00F263D2" w:rsidRPr="00F263D2" w:rsidRDefault="00F263D2" w:rsidP="00F263D2">
      <w:pPr>
        <w:numPr>
          <w:ilvl w:val="0"/>
          <w:numId w:val="10"/>
        </w:numPr>
        <w:jc w:val="both"/>
        <w:rPr>
          <w:b/>
        </w:rPr>
      </w:pPr>
      <w:r w:rsidRPr="00F263D2">
        <w:rPr>
          <w:b/>
        </w:rPr>
        <w:t>Counseling by mentors:</w:t>
      </w:r>
      <w:r w:rsidRPr="00F263D2">
        <w:t xml:space="preserve"> Every student is attached to a faculty mentor. Specific slots are provided in the timetable to facilitate interaction between mentors and their mentees</w:t>
      </w:r>
    </w:p>
    <w:p w:rsidR="00F263D2" w:rsidRPr="00F263D2" w:rsidRDefault="00F263D2" w:rsidP="00F263D2">
      <w:pPr>
        <w:numPr>
          <w:ilvl w:val="0"/>
          <w:numId w:val="10"/>
        </w:numPr>
        <w:jc w:val="both"/>
        <w:rPr>
          <w:b/>
        </w:rPr>
      </w:pPr>
      <w:r w:rsidRPr="00F263D2">
        <w:rPr>
          <w:b/>
        </w:rPr>
        <w:t xml:space="preserve">Counseling by other faculty members: </w:t>
      </w:r>
      <w:r w:rsidRPr="00F263D2">
        <w:t>Students also approach faculty of their choice to discuss issues relating to subjects.</w:t>
      </w:r>
    </w:p>
    <w:p w:rsidR="00F263D2" w:rsidRPr="00F263D2" w:rsidRDefault="00F263D2" w:rsidP="00F263D2">
      <w:pPr>
        <w:numPr>
          <w:ilvl w:val="0"/>
          <w:numId w:val="10"/>
        </w:numPr>
        <w:jc w:val="both"/>
      </w:pPr>
      <w:r w:rsidRPr="00F263D2">
        <w:rPr>
          <w:b/>
        </w:rPr>
        <w:t xml:space="preserve">Counseling by external faculty from the corporate: </w:t>
      </w:r>
      <w:r w:rsidRPr="00F263D2">
        <w:t>Industry persons provide feedback during term – end viva voce examinations. Viva is conducted at the end of every term and industry internship; thus students get the opportunity to receive feedback from more than one industry person.</w:t>
      </w:r>
    </w:p>
    <w:p w:rsidR="00F263D2" w:rsidRPr="00F263D2" w:rsidRDefault="00F263D2" w:rsidP="00F263D2">
      <w:pPr>
        <w:numPr>
          <w:ilvl w:val="0"/>
          <w:numId w:val="10"/>
        </w:numPr>
        <w:jc w:val="both"/>
      </w:pPr>
      <w:r w:rsidRPr="00F263D2">
        <w:rPr>
          <w:b/>
        </w:rPr>
        <w:t xml:space="preserve">Counseling by corporate mentors: </w:t>
      </w:r>
      <w:r w:rsidRPr="00F263D2">
        <w:t>During industry internship, students are assigned corporate mentors under whose guidance students complete the internship. Students interact with their corporate mentors almost on a daily basis during internship and receive valuable guidance and counseling on various aspects related to the world of work.</w:t>
      </w:r>
    </w:p>
    <w:p w:rsidR="00F263D2" w:rsidRPr="00F263D2" w:rsidRDefault="00F263D2" w:rsidP="00F263D2">
      <w:pPr>
        <w:numPr>
          <w:ilvl w:val="0"/>
          <w:numId w:val="10"/>
        </w:numPr>
        <w:jc w:val="both"/>
      </w:pPr>
      <w:r w:rsidRPr="00F263D2">
        <w:rPr>
          <w:b/>
        </w:rPr>
        <w:t xml:space="preserve">Counseling by alumni: </w:t>
      </w:r>
      <w:r w:rsidRPr="00F263D2">
        <w:t xml:space="preserve">During the year alumni are invited for guest lecture, seminar </w:t>
      </w:r>
      <w:proofErr w:type="spellStart"/>
      <w:r w:rsidRPr="00F263D2">
        <w:t>etc</w:t>
      </w:r>
      <w:proofErr w:type="spellEnd"/>
      <w:r w:rsidRPr="00F263D2">
        <w:t xml:space="preserve"> and interact and counsel the students.</w:t>
      </w:r>
    </w:p>
    <w:p w:rsidR="00F263D2" w:rsidRDefault="00F263D2" w:rsidP="00F263D2">
      <w:pPr>
        <w:numPr>
          <w:ilvl w:val="0"/>
          <w:numId w:val="10"/>
        </w:numPr>
        <w:jc w:val="both"/>
      </w:pPr>
      <w:r w:rsidRPr="00F263D2">
        <w:rPr>
          <w:b/>
        </w:rPr>
        <w:t xml:space="preserve">Other counseling opportunities: </w:t>
      </w:r>
      <w:r w:rsidRPr="00F263D2">
        <w:t>During other interactions with the industry – experiential training, industry visits etc.</w:t>
      </w:r>
    </w:p>
    <w:p w:rsidR="006C2640" w:rsidRPr="006C2640" w:rsidRDefault="006C2640" w:rsidP="006C2640">
      <w:pPr>
        <w:jc w:val="both"/>
      </w:pPr>
      <w:r>
        <w:rPr>
          <w:b/>
        </w:rPr>
        <w:t>Industrial Visit</w:t>
      </w:r>
    </w:p>
    <w:p w:rsidR="00F263D2" w:rsidRDefault="006C2640" w:rsidP="00541240">
      <w:pPr>
        <w:jc w:val="both"/>
      </w:pPr>
      <w:r>
        <w:t xml:space="preserve">         Industrial Visits are planned every year for both first and second year students of MMS and PGDBM students in order to give them a practical exposure as well as learning and enriching experience in their respective specializations. It is usually organized in the month of January every year. During I</w:t>
      </w:r>
      <w:r w:rsidR="004E6C9F">
        <w:t xml:space="preserve">.V. </w:t>
      </w:r>
      <w:r>
        <w:t>each student come to know about the working style</w:t>
      </w:r>
      <w:r w:rsidR="00665552">
        <w:t>, process design, hierarchy</w:t>
      </w:r>
      <w:r>
        <w:t xml:space="preserve"> </w:t>
      </w:r>
      <w:r w:rsidR="0056677C">
        <w:t>and Machine setup, input output process, quality Control, Inventory Management, Supply Chain</w:t>
      </w:r>
      <w:r w:rsidR="006E12D2">
        <w:t>.</w:t>
      </w:r>
    </w:p>
    <w:p w:rsidR="00541240" w:rsidRPr="00541240" w:rsidRDefault="00541240" w:rsidP="00541240">
      <w:pPr>
        <w:jc w:val="both"/>
        <w:rPr>
          <w:b/>
          <w:bCs/>
        </w:rPr>
      </w:pPr>
      <w:r w:rsidRPr="00541240">
        <w:rPr>
          <w:b/>
          <w:bCs/>
        </w:rPr>
        <w:t xml:space="preserve">Summer Internship </w:t>
      </w:r>
      <w:proofErr w:type="spellStart"/>
      <w:r w:rsidRPr="00541240">
        <w:rPr>
          <w:b/>
          <w:bCs/>
        </w:rPr>
        <w:t>Programmes</w:t>
      </w:r>
      <w:proofErr w:type="spellEnd"/>
    </w:p>
    <w:p w:rsidR="00541240" w:rsidRDefault="00541240" w:rsidP="00541240">
      <w:pPr>
        <w:jc w:val="both"/>
      </w:pPr>
      <w:r w:rsidRPr="00541240">
        <w:t>As a compulsory par</w:t>
      </w:r>
      <w:r>
        <w:t>t of curriculum, BVIMSR</w:t>
      </w:r>
      <w:r w:rsidRPr="00541240">
        <w:t xml:space="preserve"> students are required to undergo Summer Internship with an organi</w:t>
      </w:r>
      <w:r>
        <w:t>zation for a period of 2 Months</w:t>
      </w:r>
      <w:r w:rsidRPr="00541240">
        <w:t>. The selection process for Summer Placements starts after the first term for the first year students. The period of Summer Internship i</w:t>
      </w:r>
      <w:r>
        <w:t>s in the month of May</w:t>
      </w:r>
      <w:r w:rsidRPr="00541240">
        <w:t xml:space="preserve"> </w:t>
      </w:r>
      <w:r>
        <w:t xml:space="preserve">and </w:t>
      </w:r>
      <w:r w:rsidRPr="00541240">
        <w:t>June.</w:t>
      </w:r>
      <w:r w:rsidR="004E6C9F">
        <w:t xml:space="preserve"> </w:t>
      </w:r>
      <w:r w:rsidR="004E6C9F" w:rsidRPr="00F263D2">
        <w:t>Students’</w:t>
      </w:r>
      <w:r w:rsidR="00F263D2" w:rsidRPr="00F263D2">
        <w:t xml:space="preserve"> performance is monitored and feedback is given on a weekly basis.</w:t>
      </w:r>
    </w:p>
    <w:p w:rsidR="00541240" w:rsidRPr="00541240" w:rsidRDefault="00541240" w:rsidP="00541240">
      <w:pPr>
        <w:jc w:val="both"/>
      </w:pPr>
      <w:r w:rsidRPr="00541240">
        <w:rPr>
          <w:b/>
          <w:bCs/>
        </w:rPr>
        <w:t>Recruitment Process</w:t>
      </w:r>
    </w:p>
    <w:p w:rsidR="0018253A" w:rsidRDefault="00541240" w:rsidP="00541240">
      <w:pPr>
        <w:jc w:val="both"/>
      </w:pPr>
      <w:r w:rsidRPr="00541240">
        <w:t>The recruiters select suitable candidates, draw up a short list and inform Placement Cell who in turn informs the students for further proceedings. The recruiters can hold interview on the campus or off the campus according to their requirement. The entire process of selection may take 10 days to one month of time. The selected students are made offers and appointment letters are sent to the placement cell.</w:t>
      </w:r>
    </w:p>
    <w:p w:rsidR="004E6C9F" w:rsidRPr="004E6C9F" w:rsidRDefault="0018253A" w:rsidP="004E6C9F">
      <w:pPr>
        <w:numPr>
          <w:ilvl w:val="0"/>
          <w:numId w:val="2"/>
        </w:numPr>
        <w:jc w:val="both"/>
      </w:pPr>
      <w:r w:rsidRPr="0018253A">
        <w:rPr>
          <w:b/>
        </w:rPr>
        <w:t>Nature of key employers for institution placement</w:t>
      </w:r>
    </w:p>
    <w:p w:rsidR="0018253A" w:rsidRDefault="004E6C9F" w:rsidP="004E6C9F">
      <w:pPr>
        <w:ind w:left="360"/>
        <w:jc w:val="both"/>
      </w:pPr>
      <w:r w:rsidRPr="004E6C9F">
        <w:t xml:space="preserve"> </w:t>
      </w:r>
      <w:r w:rsidRPr="0018253A">
        <w:t xml:space="preserve">Companies are drawn from banking, financial services, consulting, </w:t>
      </w:r>
      <w:proofErr w:type="gramStart"/>
      <w:r w:rsidRPr="0018253A">
        <w:t>It</w:t>
      </w:r>
      <w:proofErr w:type="gramEnd"/>
      <w:r w:rsidRPr="0018253A">
        <w:t xml:space="preserve"> and telecom, </w:t>
      </w:r>
      <w:proofErr w:type="spellStart"/>
      <w:r w:rsidRPr="0018253A">
        <w:t>Pharma</w:t>
      </w:r>
      <w:proofErr w:type="spellEnd"/>
      <w:r w:rsidRPr="0018253A">
        <w:t xml:space="preserve"> and health care, Media, Insurance, Textiles, FMCG, Reality, Education and other sector</w:t>
      </w:r>
      <w:r>
        <w:t>.</w:t>
      </w:r>
    </w:p>
    <w:p w:rsidR="0018253A" w:rsidRPr="0018253A" w:rsidRDefault="0018253A" w:rsidP="0018253A">
      <w:pPr>
        <w:jc w:val="both"/>
      </w:pPr>
      <w:r w:rsidRPr="004E6C9F">
        <w:rPr>
          <w:b/>
        </w:rPr>
        <w:lastRenderedPageBreak/>
        <w:t>Nature of Employers by ownership (2016-17</w:t>
      </w:r>
      <w:r w:rsidRPr="0018253A">
        <w:t>)</w:t>
      </w:r>
    </w:p>
    <w:tbl>
      <w:tblPr>
        <w:tblW w:w="9180" w:type="dxa"/>
        <w:tblInd w:w="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55"/>
        <w:gridCol w:w="1320"/>
        <w:gridCol w:w="1320"/>
        <w:gridCol w:w="2235"/>
        <w:gridCol w:w="1350"/>
      </w:tblGrid>
      <w:tr w:rsidR="0018253A" w:rsidRPr="0018253A" w:rsidTr="00705911">
        <w:tc>
          <w:tcPr>
            <w:tcW w:w="2955" w:type="dxa"/>
          </w:tcPr>
          <w:p w:rsidR="0018253A" w:rsidRPr="0018253A" w:rsidRDefault="0018253A" w:rsidP="0018253A">
            <w:pPr>
              <w:jc w:val="both"/>
              <w:rPr>
                <w:b/>
              </w:rPr>
            </w:pPr>
            <w:r w:rsidRPr="0018253A">
              <w:rPr>
                <w:b/>
              </w:rPr>
              <w:t>Type of employer</w:t>
            </w:r>
          </w:p>
        </w:tc>
        <w:tc>
          <w:tcPr>
            <w:tcW w:w="1320" w:type="dxa"/>
          </w:tcPr>
          <w:p w:rsidR="0018253A" w:rsidRPr="0018253A" w:rsidRDefault="0018253A" w:rsidP="0018253A">
            <w:pPr>
              <w:jc w:val="both"/>
              <w:rPr>
                <w:b/>
              </w:rPr>
            </w:pPr>
            <w:r w:rsidRPr="0018253A">
              <w:rPr>
                <w:b/>
              </w:rPr>
              <w:t>No. of companies</w:t>
            </w:r>
          </w:p>
        </w:tc>
        <w:tc>
          <w:tcPr>
            <w:tcW w:w="1320" w:type="dxa"/>
          </w:tcPr>
          <w:p w:rsidR="0018253A" w:rsidRPr="0018253A" w:rsidRDefault="0018253A" w:rsidP="0018253A">
            <w:pPr>
              <w:jc w:val="both"/>
              <w:rPr>
                <w:b/>
              </w:rPr>
            </w:pPr>
            <w:r w:rsidRPr="0018253A">
              <w:rPr>
                <w:b/>
              </w:rPr>
              <w:t>Percentage</w:t>
            </w:r>
          </w:p>
        </w:tc>
        <w:tc>
          <w:tcPr>
            <w:tcW w:w="2235" w:type="dxa"/>
          </w:tcPr>
          <w:p w:rsidR="0018253A" w:rsidRPr="0018253A" w:rsidRDefault="0018253A" w:rsidP="0018253A">
            <w:pPr>
              <w:jc w:val="both"/>
              <w:rPr>
                <w:b/>
              </w:rPr>
            </w:pPr>
            <w:r w:rsidRPr="0018253A">
              <w:rPr>
                <w:b/>
              </w:rPr>
              <w:t>No of students placed</w:t>
            </w:r>
          </w:p>
        </w:tc>
        <w:tc>
          <w:tcPr>
            <w:tcW w:w="1350" w:type="dxa"/>
          </w:tcPr>
          <w:p w:rsidR="0018253A" w:rsidRPr="0018253A" w:rsidRDefault="0018253A" w:rsidP="0018253A">
            <w:pPr>
              <w:jc w:val="both"/>
              <w:rPr>
                <w:b/>
              </w:rPr>
            </w:pPr>
            <w:r w:rsidRPr="0018253A">
              <w:rPr>
                <w:b/>
              </w:rPr>
              <w:t>Percentage</w:t>
            </w:r>
          </w:p>
        </w:tc>
      </w:tr>
      <w:tr w:rsidR="0018253A" w:rsidRPr="0018253A" w:rsidTr="00705911">
        <w:tc>
          <w:tcPr>
            <w:tcW w:w="2955" w:type="dxa"/>
          </w:tcPr>
          <w:p w:rsidR="0018253A" w:rsidRPr="0018253A" w:rsidRDefault="0018253A" w:rsidP="0018253A">
            <w:pPr>
              <w:jc w:val="both"/>
            </w:pPr>
            <w:r w:rsidRPr="0018253A">
              <w:t>Multinational companies</w:t>
            </w:r>
          </w:p>
        </w:tc>
        <w:tc>
          <w:tcPr>
            <w:tcW w:w="1320" w:type="dxa"/>
          </w:tcPr>
          <w:p w:rsidR="0018253A" w:rsidRPr="0018253A" w:rsidRDefault="0018253A" w:rsidP="0018253A">
            <w:pPr>
              <w:jc w:val="both"/>
            </w:pPr>
            <w:r w:rsidRPr="0018253A">
              <w:t>48</w:t>
            </w:r>
          </w:p>
        </w:tc>
        <w:tc>
          <w:tcPr>
            <w:tcW w:w="1320" w:type="dxa"/>
          </w:tcPr>
          <w:p w:rsidR="0018253A" w:rsidRPr="0018253A" w:rsidRDefault="0018253A" w:rsidP="0018253A">
            <w:pPr>
              <w:jc w:val="both"/>
            </w:pPr>
            <w:r w:rsidRPr="0018253A">
              <w:t>33</w:t>
            </w:r>
          </w:p>
        </w:tc>
        <w:tc>
          <w:tcPr>
            <w:tcW w:w="2235" w:type="dxa"/>
          </w:tcPr>
          <w:p w:rsidR="0018253A" w:rsidRPr="0018253A" w:rsidRDefault="0018253A" w:rsidP="0018253A">
            <w:pPr>
              <w:jc w:val="both"/>
            </w:pPr>
            <w:r w:rsidRPr="0018253A">
              <w:t>37</w:t>
            </w:r>
          </w:p>
        </w:tc>
        <w:tc>
          <w:tcPr>
            <w:tcW w:w="1350" w:type="dxa"/>
          </w:tcPr>
          <w:p w:rsidR="0018253A" w:rsidRPr="0018253A" w:rsidRDefault="0018253A" w:rsidP="0018253A">
            <w:pPr>
              <w:jc w:val="both"/>
            </w:pPr>
            <w:r w:rsidRPr="0018253A">
              <w:t>46%</w:t>
            </w:r>
          </w:p>
        </w:tc>
      </w:tr>
      <w:tr w:rsidR="0018253A" w:rsidRPr="0018253A" w:rsidTr="00705911">
        <w:tc>
          <w:tcPr>
            <w:tcW w:w="2955" w:type="dxa"/>
          </w:tcPr>
          <w:p w:rsidR="0018253A" w:rsidRPr="0018253A" w:rsidRDefault="0018253A" w:rsidP="0018253A">
            <w:pPr>
              <w:jc w:val="both"/>
            </w:pPr>
            <w:r w:rsidRPr="0018253A">
              <w:t>Public limited companies</w:t>
            </w:r>
          </w:p>
        </w:tc>
        <w:tc>
          <w:tcPr>
            <w:tcW w:w="1320" w:type="dxa"/>
          </w:tcPr>
          <w:p w:rsidR="0018253A" w:rsidRPr="0018253A" w:rsidRDefault="0018253A" w:rsidP="0018253A">
            <w:pPr>
              <w:jc w:val="both"/>
            </w:pPr>
            <w:r w:rsidRPr="0018253A">
              <w:t>Nil</w:t>
            </w:r>
          </w:p>
        </w:tc>
        <w:tc>
          <w:tcPr>
            <w:tcW w:w="1320" w:type="dxa"/>
          </w:tcPr>
          <w:p w:rsidR="0018253A" w:rsidRPr="0018253A" w:rsidRDefault="0018253A" w:rsidP="0018253A">
            <w:pPr>
              <w:jc w:val="both"/>
            </w:pPr>
            <w:r w:rsidRPr="0018253A">
              <w:t>0</w:t>
            </w:r>
          </w:p>
        </w:tc>
        <w:tc>
          <w:tcPr>
            <w:tcW w:w="2235" w:type="dxa"/>
          </w:tcPr>
          <w:p w:rsidR="0018253A" w:rsidRPr="0018253A" w:rsidRDefault="0018253A" w:rsidP="0018253A">
            <w:pPr>
              <w:jc w:val="both"/>
            </w:pPr>
            <w:r w:rsidRPr="0018253A">
              <w:t>Nil</w:t>
            </w:r>
          </w:p>
        </w:tc>
        <w:tc>
          <w:tcPr>
            <w:tcW w:w="1350" w:type="dxa"/>
          </w:tcPr>
          <w:p w:rsidR="0018253A" w:rsidRPr="0018253A" w:rsidRDefault="0018253A" w:rsidP="0018253A">
            <w:pPr>
              <w:jc w:val="both"/>
            </w:pPr>
            <w:r w:rsidRPr="0018253A">
              <w:t>0</w:t>
            </w:r>
          </w:p>
        </w:tc>
      </w:tr>
      <w:tr w:rsidR="0018253A" w:rsidRPr="0018253A" w:rsidTr="00705911">
        <w:tc>
          <w:tcPr>
            <w:tcW w:w="2955" w:type="dxa"/>
          </w:tcPr>
          <w:p w:rsidR="0018253A" w:rsidRPr="0018253A" w:rsidRDefault="0018253A" w:rsidP="0018253A">
            <w:pPr>
              <w:jc w:val="both"/>
            </w:pPr>
            <w:r w:rsidRPr="0018253A">
              <w:t>Private companies</w:t>
            </w:r>
          </w:p>
        </w:tc>
        <w:tc>
          <w:tcPr>
            <w:tcW w:w="1320" w:type="dxa"/>
          </w:tcPr>
          <w:p w:rsidR="0018253A" w:rsidRPr="0018253A" w:rsidRDefault="0018253A" w:rsidP="0018253A">
            <w:pPr>
              <w:jc w:val="both"/>
            </w:pPr>
            <w:r w:rsidRPr="0018253A">
              <w:t>97</w:t>
            </w:r>
          </w:p>
        </w:tc>
        <w:tc>
          <w:tcPr>
            <w:tcW w:w="1320" w:type="dxa"/>
          </w:tcPr>
          <w:p w:rsidR="0018253A" w:rsidRPr="0018253A" w:rsidRDefault="0018253A" w:rsidP="0018253A">
            <w:pPr>
              <w:jc w:val="both"/>
            </w:pPr>
            <w:r w:rsidRPr="0018253A">
              <w:t>67</w:t>
            </w:r>
          </w:p>
        </w:tc>
        <w:tc>
          <w:tcPr>
            <w:tcW w:w="2235" w:type="dxa"/>
          </w:tcPr>
          <w:p w:rsidR="0018253A" w:rsidRPr="0018253A" w:rsidRDefault="0018253A" w:rsidP="0018253A">
            <w:pPr>
              <w:jc w:val="both"/>
            </w:pPr>
            <w:r w:rsidRPr="0018253A">
              <w:t>44</w:t>
            </w:r>
          </w:p>
        </w:tc>
        <w:tc>
          <w:tcPr>
            <w:tcW w:w="1350" w:type="dxa"/>
          </w:tcPr>
          <w:p w:rsidR="0018253A" w:rsidRPr="0018253A" w:rsidRDefault="0018253A" w:rsidP="0018253A">
            <w:pPr>
              <w:jc w:val="both"/>
            </w:pPr>
            <w:r w:rsidRPr="0018253A">
              <w:t>54%</w:t>
            </w:r>
          </w:p>
        </w:tc>
      </w:tr>
      <w:tr w:rsidR="0018253A" w:rsidRPr="0018253A" w:rsidTr="00705911">
        <w:tc>
          <w:tcPr>
            <w:tcW w:w="2955" w:type="dxa"/>
          </w:tcPr>
          <w:p w:rsidR="0018253A" w:rsidRPr="0018253A" w:rsidRDefault="0018253A" w:rsidP="0018253A">
            <w:pPr>
              <w:jc w:val="both"/>
            </w:pPr>
            <w:r w:rsidRPr="0018253A">
              <w:t>Limited liability Partnership</w:t>
            </w:r>
          </w:p>
        </w:tc>
        <w:tc>
          <w:tcPr>
            <w:tcW w:w="1320" w:type="dxa"/>
          </w:tcPr>
          <w:p w:rsidR="0018253A" w:rsidRPr="0018253A" w:rsidRDefault="0018253A" w:rsidP="0018253A">
            <w:pPr>
              <w:jc w:val="both"/>
            </w:pPr>
            <w:r w:rsidRPr="0018253A">
              <w:t>Nil</w:t>
            </w:r>
          </w:p>
        </w:tc>
        <w:tc>
          <w:tcPr>
            <w:tcW w:w="1320" w:type="dxa"/>
          </w:tcPr>
          <w:p w:rsidR="0018253A" w:rsidRPr="0018253A" w:rsidRDefault="0018253A" w:rsidP="0018253A">
            <w:pPr>
              <w:jc w:val="both"/>
            </w:pPr>
            <w:r w:rsidRPr="0018253A">
              <w:t>0</w:t>
            </w:r>
          </w:p>
        </w:tc>
        <w:tc>
          <w:tcPr>
            <w:tcW w:w="2235" w:type="dxa"/>
          </w:tcPr>
          <w:p w:rsidR="0018253A" w:rsidRPr="0018253A" w:rsidRDefault="0018253A" w:rsidP="0018253A">
            <w:pPr>
              <w:jc w:val="both"/>
            </w:pPr>
            <w:r w:rsidRPr="0018253A">
              <w:t>Nil</w:t>
            </w:r>
          </w:p>
        </w:tc>
        <w:tc>
          <w:tcPr>
            <w:tcW w:w="1350" w:type="dxa"/>
          </w:tcPr>
          <w:p w:rsidR="0018253A" w:rsidRPr="0018253A" w:rsidRDefault="0018253A" w:rsidP="0018253A">
            <w:pPr>
              <w:jc w:val="both"/>
            </w:pPr>
            <w:r w:rsidRPr="0018253A">
              <w:t>0</w:t>
            </w:r>
          </w:p>
        </w:tc>
      </w:tr>
      <w:tr w:rsidR="0018253A" w:rsidRPr="0018253A" w:rsidTr="00705911">
        <w:tc>
          <w:tcPr>
            <w:tcW w:w="2955" w:type="dxa"/>
          </w:tcPr>
          <w:p w:rsidR="0018253A" w:rsidRPr="0018253A" w:rsidRDefault="0018253A" w:rsidP="0018253A">
            <w:pPr>
              <w:jc w:val="both"/>
            </w:pPr>
            <w:r w:rsidRPr="0018253A">
              <w:t>Total</w:t>
            </w:r>
          </w:p>
        </w:tc>
        <w:tc>
          <w:tcPr>
            <w:tcW w:w="1320" w:type="dxa"/>
          </w:tcPr>
          <w:p w:rsidR="0018253A" w:rsidRPr="0018253A" w:rsidRDefault="0018253A" w:rsidP="0018253A">
            <w:pPr>
              <w:jc w:val="both"/>
            </w:pPr>
            <w:r w:rsidRPr="0018253A">
              <w:t>145</w:t>
            </w:r>
          </w:p>
        </w:tc>
        <w:tc>
          <w:tcPr>
            <w:tcW w:w="1320" w:type="dxa"/>
          </w:tcPr>
          <w:p w:rsidR="0018253A" w:rsidRPr="0018253A" w:rsidRDefault="0018253A" w:rsidP="0018253A">
            <w:pPr>
              <w:jc w:val="both"/>
            </w:pPr>
            <w:r w:rsidRPr="0018253A">
              <w:t>100%</w:t>
            </w:r>
          </w:p>
        </w:tc>
        <w:tc>
          <w:tcPr>
            <w:tcW w:w="2235" w:type="dxa"/>
          </w:tcPr>
          <w:p w:rsidR="0018253A" w:rsidRPr="0018253A" w:rsidRDefault="0018253A" w:rsidP="0018253A">
            <w:pPr>
              <w:jc w:val="both"/>
            </w:pPr>
            <w:r w:rsidRPr="0018253A">
              <w:t>81</w:t>
            </w:r>
          </w:p>
        </w:tc>
        <w:tc>
          <w:tcPr>
            <w:tcW w:w="1350" w:type="dxa"/>
          </w:tcPr>
          <w:p w:rsidR="0018253A" w:rsidRPr="0018253A" w:rsidRDefault="0018253A" w:rsidP="0018253A">
            <w:pPr>
              <w:jc w:val="both"/>
            </w:pPr>
            <w:r w:rsidRPr="0018253A">
              <w:t>100%</w:t>
            </w:r>
          </w:p>
        </w:tc>
      </w:tr>
    </w:tbl>
    <w:p w:rsidR="0018253A" w:rsidRPr="0018253A" w:rsidRDefault="0018253A" w:rsidP="0018253A">
      <w:pPr>
        <w:jc w:val="both"/>
      </w:pPr>
    </w:p>
    <w:p w:rsidR="0018253A" w:rsidRPr="0018253A" w:rsidRDefault="0018253A" w:rsidP="0018253A">
      <w:pPr>
        <w:jc w:val="both"/>
      </w:pPr>
      <w:r w:rsidRPr="0018253A">
        <w:rPr>
          <w:noProof/>
        </w:rPr>
        <w:drawing>
          <wp:inline distT="0" distB="0" distL="0" distR="0" wp14:anchorId="7167E51D" wp14:editId="39CD8372">
            <wp:extent cx="4975860" cy="2247900"/>
            <wp:effectExtent l="19050" t="0" r="15240" b="0"/>
            <wp:docPr id="2"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18253A" w:rsidRPr="0018253A" w:rsidRDefault="0018253A" w:rsidP="0018253A">
      <w:pPr>
        <w:jc w:val="both"/>
      </w:pPr>
    </w:p>
    <w:p w:rsidR="0018253A" w:rsidRDefault="0018253A" w:rsidP="0018253A">
      <w:pPr>
        <w:jc w:val="both"/>
        <w:rPr>
          <w:b/>
        </w:rPr>
      </w:pPr>
      <w:r w:rsidRPr="004E6C9F">
        <w:rPr>
          <w:b/>
        </w:rPr>
        <w:t>Nature of Employers by Industry/ Sector (2016-17)</w:t>
      </w:r>
    </w:p>
    <w:p w:rsidR="00022FD3" w:rsidRPr="004E6C9F" w:rsidRDefault="00022FD3" w:rsidP="0018253A">
      <w:pPr>
        <w:jc w:val="both"/>
        <w:rPr>
          <w:b/>
        </w:rPr>
      </w:pPr>
    </w:p>
    <w:tbl>
      <w:tblPr>
        <w:tblW w:w="8730" w:type="dxa"/>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40"/>
        <w:gridCol w:w="1350"/>
        <w:gridCol w:w="1440"/>
        <w:gridCol w:w="1530"/>
        <w:gridCol w:w="2070"/>
      </w:tblGrid>
      <w:tr w:rsidR="0018253A" w:rsidRPr="0018253A" w:rsidTr="00705911">
        <w:tc>
          <w:tcPr>
            <w:tcW w:w="2340" w:type="dxa"/>
          </w:tcPr>
          <w:p w:rsidR="0018253A" w:rsidRPr="0018253A" w:rsidRDefault="0018253A" w:rsidP="0018253A">
            <w:pPr>
              <w:jc w:val="both"/>
              <w:rPr>
                <w:b/>
              </w:rPr>
            </w:pPr>
            <w:r w:rsidRPr="0018253A">
              <w:rPr>
                <w:b/>
              </w:rPr>
              <w:t>Type of employer</w:t>
            </w:r>
          </w:p>
        </w:tc>
        <w:tc>
          <w:tcPr>
            <w:tcW w:w="1350" w:type="dxa"/>
          </w:tcPr>
          <w:p w:rsidR="0018253A" w:rsidRPr="0018253A" w:rsidRDefault="0018253A" w:rsidP="0018253A">
            <w:pPr>
              <w:jc w:val="both"/>
              <w:rPr>
                <w:b/>
              </w:rPr>
            </w:pPr>
            <w:r w:rsidRPr="0018253A">
              <w:rPr>
                <w:b/>
              </w:rPr>
              <w:t>No. of companies</w:t>
            </w:r>
          </w:p>
        </w:tc>
        <w:tc>
          <w:tcPr>
            <w:tcW w:w="1440" w:type="dxa"/>
          </w:tcPr>
          <w:p w:rsidR="0018253A" w:rsidRPr="0018253A" w:rsidRDefault="0018253A" w:rsidP="0018253A">
            <w:pPr>
              <w:jc w:val="both"/>
              <w:rPr>
                <w:b/>
              </w:rPr>
            </w:pPr>
            <w:r w:rsidRPr="0018253A">
              <w:rPr>
                <w:b/>
              </w:rPr>
              <w:t>Percentage</w:t>
            </w:r>
          </w:p>
        </w:tc>
        <w:tc>
          <w:tcPr>
            <w:tcW w:w="1530" w:type="dxa"/>
          </w:tcPr>
          <w:p w:rsidR="0018253A" w:rsidRPr="0018253A" w:rsidRDefault="0018253A" w:rsidP="0018253A">
            <w:pPr>
              <w:jc w:val="both"/>
              <w:rPr>
                <w:b/>
              </w:rPr>
            </w:pPr>
            <w:r w:rsidRPr="0018253A">
              <w:rPr>
                <w:b/>
              </w:rPr>
              <w:t>No of students placed</w:t>
            </w:r>
          </w:p>
        </w:tc>
        <w:tc>
          <w:tcPr>
            <w:tcW w:w="2070" w:type="dxa"/>
          </w:tcPr>
          <w:p w:rsidR="0018253A" w:rsidRPr="0018253A" w:rsidRDefault="0018253A" w:rsidP="0018253A">
            <w:pPr>
              <w:jc w:val="both"/>
              <w:rPr>
                <w:b/>
              </w:rPr>
            </w:pPr>
            <w:r w:rsidRPr="0018253A">
              <w:rPr>
                <w:b/>
              </w:rPr>
              <w:t>Percentage</w:t>
            </w:r>
          </w:p>
        </w:tc>
      </w:tr>
      <w:tr w:rsidR="0018253A" w:rsidRPr="0018253A" w:rsidTr="00705911">
        <w:tc>
          <w:tcPr>
            <w:tcW w:w="2340" w:type="dxa"/>
          </w:tcPr>
          <w:p w:rsidR="0018253A" w:rsidRPr="0018253A" w:rsidRDefault="0018253A" w:rsidP="0018253A">
            <w:pPr>
              <w:jc w:val="both"/>
            </w:pPr>
            <w:r w:rsidRPr="0018253A">
              <w:t>Banking</w:t>
            </w:r>
          </w:p>
        </w:tc>
        <w:tc>
          <w:tcPr>
            <w:tcW w:w="1350" w:type="dxa"/>
          </w:tcPr>
          <w:p w:rsidR="0018253A" w:rsidRPr="0018253A" w:rsidRDefault="0018253A" w:rsidP="0018253A">
            <w:pPr>
              <w:jc w:val="both"/>
            </w:pPr>
            <w:r w:rsidRPr="0018253A">
              <w:t>11</w:t>
            </w:r>
          </w:p>
        </w:tc>
        <w:tc>
          <w:tcPr>
            <w:tcW w:w="1440" w:type="dxa"/>
          </w:tcPr>
          <w:p w:rsidR="0018253A" w:rsidRPr="0018253A" w:rsidRDefault="0018253A" w:rsidP="0018253A">
            <w:pPr>
              <w:jc w:val="both"/>
            </w:pPr>
            <w:r w:rsidRPr="0018253A">
              <w:t>8%</w:t>
            </w:r>
          </w:p>
        </w:tc>
        <w:tc>
          <w:tcPr>
            <w:tcW w:w="1530" w:type="dxa"/>
          </w:tcPr>
          <w:p w:rsidR="0018253A" w:rsidRPr="0018253A" w:rsidRDefault="0018253A" w:rsidP="0018253A">
            <w:pPr>
              <w:jc w:val="both"/>
            </w:pPr>
            <w:r w:rsidRPr="0018253A">
              <w:t>24</w:t>
            </w:r>
          </w:p>
        </w:tc>
        <w:tc>
          <w:tcPr>
            <w:tcW w:w="2070" w:type="dxa"/>
          </w:tcPr>
          <w:p w:rsidR="0018253A" w:rsidRPr="0018253A" w:rsidRDefault="0018253A" w:rsidP="0018253A">
            <w:pPr>
              <w:jc w:val="both"/>
            </w:pPr>
            <w:r w:rsidRPr="0018253A">
              <w:t>29%</w:t>
            </w:r>
          </w:p>
        </w:tc>
      </w:tr>
      <w:tr w:rsidR="0018253A" w:rsidRPr="0018253A" w:rsidTr="00705911">
        <w:tc>
          <w:tcPr>
            <w:tcW w:w="2340" w:type="dxa"/>
          </w:tcPr>
          <w:p w:rsidR="0018253A" w:rsidRPr="0018253A" w:rsidRDefault="0018253A" w:rsidP="0018253A">
            <w:pPr>
              <w:jc w:val="both"/>
            </w:pPr>
            <w:r w:rsidRPr="0018253A">
              <w:t>Financial Services other than banking</w:t>
            </w:r>
          </w:p>
        </w:tc>
        <w:tc>
          <w:tcPr>
            <w:tcW w:w="1350" w:type="dxa"/>
          </w:tcPr>
          <w:p w:rsidR="0018253A" w:rsidRPr="0018253A" w:rsidRDefault="0018253A" w:rsidP="0018253A">
            <w:pPr>
              <w:jc w:val="both"/>
            </w:pPr>
            <w:r w:rsidRPr="0018253A">
              <w:t>16</w:t>
            </w:r>
          </w:p>
        </w:tc>
        <w:tc>
          <w:tcPr>
            <w:tcW w:w="1440" w:type="dxa"/>
          </w:tcPr>
          <w:p w:rsidR="0018253A" w:rsidRPr="0018253A" w:rsidRDefault="0018253A" w:rsidP="0018253A">
            <w:pPr>
              <w:jc w:val="both"/>
            </w:pPr>
            <w:r w:rsidRPr="0018253A">
              <w:t>11%</w:t>
            </w:r>
          </w:p>
        </w:tc>
        <w:tc>
          <w:tcPr>
            <w:tcW w:w="1530" w:type="dxa"/>
          </w:tcPr>
          <w:p w:rsidR="0018253A" w:rsidRPr="0018253A" w:rsidRDefault="0018253A" w:rsidP="0018253A">
            <w:pPr>
              <w:jc w:val="both"/>
            </w:pPr>
            <w:r w:rsidRPr="0018253A">
              <w:t>09</w:t>
            </w:r>
          </w:p>
        </w:tc>
        <w:tc>
          <w:tcPr>
            <w:tcW w:w="2070" w:type="dxa"/>
          </w:tcPr>
          <w:p w:rsidR="0018253A" w:rsidRPr="0018253A" w:rsidRDefault="0018253A" w:rsidP="0018253A">
            <w:pPr>
              <w:jc w:val="both"/>
            </w:pPr>
            <w:r w:rsidRPr="0018253A">
              <w:t>11%</w:t>
            </w:r>
          </w:p>
        </w:tc>
      </w:tr>
      <w:tr w:rsidR="0018253A" w:rsidRPr="0018253A" w:rsidTr="00705911">
        <w:tc>
          <w:tcPr>
            <w:tcW w:w="2340" w:type="dxa"/>
          </w:tcPr>
          <w:p w:rsidR="0018253A" w:rsidRPr="0018253A" w:rsidRDefault="0018253A" w:rsidP="0018253A">
            <w:pPr>
              <w:jc w:val="both"/>
            </w:pPr>
            <w:r w:rsidRPr="0018253A">
              <w:t>Consulting</w:t>
            </w:r>
          </w:p>
        </w:tc>
        <w:tc>
          <w:tcPr>
            <w:tcW w:w="1350" w:type="dxa"/>
          </w:tcPr>
          <w:p w:rsidR="0018253A" w:rsidRPr="0018253A" w:rsidRDefault="0018253A" w:rsidP="0018253A">
            <w:pPr>
              <w:jc w:val="both"/>
            </w:pPr>
            <w:r w:rsidRPr="0018253A">
              <w:t>22</w:t>
            </w:r>
          </w:p>
        </w:tc>
        <w:tc>
          <w:tcPr>
            <w:tcW w:w="1440" w:type="dxa"/>
          </w:tcPr>
          <w:p w:rsidR="0018253A" w:rsidRPr="0018253A" w:rsidRDefault="0018253A" w:rsidP="0018253A">
            <w:pPr>
              <w:jc w:val="both"/>
            </w:pPr>
            <w:r w:rsidRPr="0018253A">
              <w:t>15%</w:t>
            </w:r>
          </w:p>
        </w:tc>
        <w:tc>
          <w:tcPr>
            <w:tcW w:w="1530" w:type="dxa"/>
          </w:tcPr>
          <w:p w:rsidR="0018253A" w:rsidRPr="0018253A" w:rsidRDefault="0018253A" w:rsidP="0018253A">
            <w:pPr>
              <w:jc w:val="both"/>
            </w:pPr>
            <w:r w:rsidRPr="0018253A">
              <w:t>10</w:t>
            </w:r>
          </w:p>
        </w:tc>
        <w:tc>
          <w:tcPr>
            <w:tcW w:w="2070" w:type="dxa"/>
          </w:tcPr>
          <w:p w:rsidR="0018253A" w:rsidRPr="0018253A" w:rsidRDefault="0018253A" w:rsidP="0018253A">
            <w:pPr>
              <w:jc w:val="both"/>
            </w:pPr>
            <w:r w:rsidRPr="0018253A">
              <w:t>12%</w:t>
            </w:r>
          </w:p>
        </w:tc>
      </w:tr>
      <w:tr w:rsidR="0018253A" w:rsidRPr="0018253A" w:rsidTr="00705911">
        <w:tc>
          <w:tcPr>
            <w:tcW w:w="2340" w:type="dxa"/>
          </w:tcPr>
          <w:p w:rsidR="0018253A" w:rsidRPr="0018253A" w:rsidRDefault="0018253A" w:rsidP="0018253A">
            <w:pPr>
              <w:jc w:val="both"/>
            </w:pPr>
            <w:proofErr w:type="spellStart"/>
            <w:r w:rsidRPr="0018253A">
              <w:t>Pharma</w:t>
            </w:r>
            <w:proofErr w:type="spellEnd"/>
            <w:r w:rsidRPr="0018253A">
              <w:t>&amp; health care</w:t>
            </w:r>
          </w:p>
        </w:tc>
        <w:tc>
          <w:tcPr>
            <w:tcW w:w="1350" w:type="dxa"/>
          </w:tcPr>
          <w:p w:rsidR="0018253A" w:rsidRPr="0018253A" w:rsidRDefault="0018253A" w:rsidP="0018253A">
            <w:pPr>
              <w:jc w:val="both"/>
            </w:pPr>
            <w:r w:rsidRPr="0018253A">
              <w:t>6</w:t>
            </w:r>
          </w:p>
        </w:tc>
        <w:tc>
          <w:tcPr>
            <w:tcW w:w="1440" w:type="dxa"/>
          </w:tcPr>
          <w:p w:rsidR="0018253A" w:rsidRPr="0018253A" w:rsidRDefault="0018253A" w:rsidP="0018253A">
            <w:pPr>
              <w:jc w:val="both"/>
            </w:pPr>
            <w:r w:rsidRPr="0018253A">
              <w:t>4%</w:t>
            </w:r>
          </w:p>
        </w:tc>
        <w:tc>
          <w:tcPr>
            <w:tcW w:w="1530" w:type="dxa"/>
          </w:tcPr>
          <w:p w:rsidR="0018253A" w:rsidRPr="0018253A" w:rsidRDefault="0018253A" w:rsidP="0018253A">
            <w:pPr>
              <w:jc w:val="both"/>
            </w:pPr>
            <w:r w:rsidRPr="0018253A">
              <w:t>2</w:t>
            </w:r>
          </w:p>
        </w:tc>
        <w:tc>
          <w:tcPr>
            <w:tcW w:w="2070" w:type="dxa"/>
          </w:tcPr>
          <w:p w:rsidR="0018253A" w:rsidRPr="0018253A" w:rsidRDefault="0018253A" w:rsidP="0018253A">
            <w:pPr>
              <w:jc w:val="both"/>
            </w:pPr>
            <w:r w:rsidRPr="0018253A">
              <w:t>4%</w:t>
            </w:r>
          </w:p>
        </w:tc>
      </w:tr>
      <w:tr w:rsidR="0018253A" w:rsidRPr="0018253A" w:rsidTr="00705911">
        <w:tc>
          <w:tcPr>
            <w:tcW w:w="2340" w:type="dxa"/>
          </w:tcPr>
          <w:p w:rsidR="0018253A" w:rsidRPr="0018253A" w:rsidRDefault="0018253A" w:rsidP="0018253A">
            <w:pPr>
              <w:jc w:val="both"/>
            </w:pPr>
            <w:r w:rsidRPr="0018253A">
              <w:t>It &amp; Telecom</w:t>
            </w:r>
          </w:p>
        </w:tc>
        <w:tc>
          <w:tcPr>
            <w:tcW w:w="1350" w:type="dxa"/>
          </w:tcPr>
          <w:p w:rsidR="0018253A" w:rsidRPr="0018253A" w:rsidRDefault="0018253A" w:rsidP="0018253A">
            <w:pPr>
              <w:jc w:val="both"/>
            </w:pPr>
            <w:r w:rsidRPr="0018253A">
              <w:t>8</w:t>
            </w:r>
          </w:p>
        </w:tc>
        <w:tc>
          <w:tcPr>
            <w:tcW w:w="1440" w:type="dxa"/>
          </w:tcPr>
          <w:p w:rsidR="0018253A" w:rsidRPr="0018253A" w:rsidRDefault="0018253A" w:rsidP="0018253A">
            <w:pPr>
              <w:jc w:val="both"/>
            </w:pPr>
            <w:r w:rsidRPr="0018253A">
              <w:t>6%</w:t>
            </w:r>
          </w:p>
        </w:tc>
        <w:tc>
          <w:tcPr>
            <w:tcW w:w="1530" w:type="dxa"/>
          </w:tcPr>
          <w:p w:rsidR="0018253A" w:rsidRPr="0018253A" w:rsidRDefault="0018253A" w:rsidP="0018253A">
            <w:pPr>
              <w:jc w:val="both"/>
            </w:pPr>
            <w:r w:rsidRPr="0018253A">
              <w:t>4</w:t>
            </w:r>
          </w:p>
        </w:tc>
        <w:tc>
          <w:tcPr>
            <w:tcW w:w="2070" w:type="dxa"/>
          </w:tcPr>
          <w:p w:rsidR="0018253A" w:rsidRPr="0018253A" w:rsidRDefault="0018253A" w:rsidP="0018253A">
            <w:pPr>
              <w:jc w:val="both"/>
            </w:pPr>
            <w:r w:rsidRPr="0018253A">
              <w:t>5%</w:t>
            </w:r>
          </w:p>
        </w:tc>
      </w:tr>
      <w:tr w:rsidR="0018253A" w:rsidRPr="0018253A" w:rsidTr="00705911">
        <w:tc>
          <w:tcPr>
            <w:tcW w:w="2340" w:type="dxa"/>
          </w:tcPr>
          <w:p w:rsidR="0018253A" w:rsidRPr="0018253A" w:rsidRDefault="0018253A" w:rsidP="0018253A">
            <w:pPr>
              <w:jc w:val="both"/>
            </w:pPr>
            <w:r w:rsidRPr="0018253A">
              <w:lastRenderedPageBreak/>
              <w:t>Media</w:t>
            </w:r>
          </w:p>
        </w:tc>
        <w:tc>
          <w:tcPr>
            <w:tcW w:w="1350" w:type="dxa"/>
          </w:tcPr>
          <w:p w:rsidR="0018253A" w:rsidRPr="0018253A" w:rsidRDefault="0018253A" w:rsidP="0018253A">
            <w:pPr>
              <w:jc w:val="both"/>
            </w:pPr>
            <w:r w:rsidRPr="0018253A">
              <w:t>11</w:t>
            </w:r>
          </w:p>
        </w:tc>
        <w:tc>
          <w:tcPr>
            <w:tcW w:w="1440" w:type="dxa"/>
          </w:tcPr>
          <w:p w:rsidR="0018253A" w:rsidRPr="0018253A" w:rsidRDefault="0018253A" w:rsidP="0018253A">
            <w:pPr>
              <w:jc w:val="both"/>
            </w:pPr>
            <w:r w:rsidRPr="0018253A">
              <w:t>8%</w:t>
            </w:r>
          </w:p>
        </w:tc>
        <w:tc>
          <w:tcPr>
            <w:tcW w:w="1530" w:type="dxa"/>
          </w:tcPr>
          <w:p w:rsidR="0018253A" w:rsidRPr="0018253A" w:rsidRDefault="0018253A" w:rsidP="0018253A">
            <w:pPr>
              <w:jc w:val="both"/>
            </w:pPr>
            <w:r w:rsidRPr="0018253A">
              <w:t>Nil</w:t>
            </w:r>
          </w:p>
        </w:tc>
        <w:tc>
          <w:tcPr>
            <w:tcW w:w="2070" w:type="dxa"/>
          </w:tcPr>
          <w:p w:rsidR="0018253A" w:rsidRPr="0018253A" w:rsidRDefault="0018253A" w:rsidP="0018253A">
            <w:pPr>
              <w:jc w:val="both"/>
            </w:pPr>
            <w:r w:rsidRPr="0018253A">
              <w:t>Nil</w:t>
            </w:r>
          </w:p>
        </w:tc>
      </w:tr>
      <w:tr w:rsidR="0018253A" w:rsidRPr="0018253A" w:rsidTr="00705911">
        <w:tc>
          <w:tcPr>
            <w:tcW w:w="2340" w:type="dxa"/>
          </w:tcPr>
          <w:p w:rsidR="0018253A" w:rsidRPr="0018253A" w:rsidRDefault="0018253A" w:rsidP="0018253A">
            <w:pPr>
              <w:jc w:val="both"/>
            </w:pPr>
            <w:r w:rsidRPr="0018253A">
              <w:t>Insurance</w:t>
            </w:r>
          </w:p>
        </w:tc>
        <w:tc>
          <w:tcPr>
            <w:tcW w:w="1350" w:type="dxa"/>
          </w:tcPr>
          <w:p w:rsidR="0018253A" w:rsidRPr="0018253A" w:rsidRDefault="0018253A" w:rsidP="0018253A">
            <w:pPr>
              <w:jc w:val="both"/>
            </w:pPr>
            <w:r w:rsidRPr="0018253A">
              <w:t>9</w:t>
            </w:r>
          </w:p>
        </w:tc>
        <w:tc>
          <w:tcPr>
            <w:tcW w:w="1440" w:type="dxa"/>
          </w:tcPr>
          <w:p w:rsidR="0018253A" w:rsidRPr="0018253A" w:rsidRDefault="0018253A" w:rsidP="0018253A">
            <w:pPr>
              <w:jc w:val="both"/>
            </w:pPr>
            <w:r w:rsidRPr="0018253A">
              <w:t>6</w:t>
            </w:r>
          </w:p>
        </w:tc>
        <w:tc>
          <w:tcPr>
            <w:tcW w:w="1530" w:type="dxa"/>
          </w:tcPr>
          <w:p w:rsidR="0018253A" w:rsidRPr="0018253A" w:rsidRDefault="0018253A" w:rsidP="0018253A">
            <w:pPr>
              <w:jc w:val="both"/>
            </w:pPr>
            <w:r w:rsidRPr="0018253A">
              <w:t>6</w:t>
            </w:r>
          </w:p>
        </w:tc>
        <w:tc>
          <w:tcPr>
            <w:tcW w:w="2070" w:type="dxa"/>
          </w:tcPr>
          <w:p w:rsidR="0018253A" w:rsidRPr="0018253A" w:rsidRDefault="0018253A" w:rsidP="0018253A">
            <w:pPr>
              <w:jc w:val="both"/>
            </w:pPr>
            <w:r w:rsidRPr="0018253A">
              <w:t>7%</w:t>
            </w:r>
          </w:p>
        </w:tc>
      </w:tr>
      <w:tr w:rsidR="0018253A" w:rsidRPr="0018253A" w:rsidTr="00705911">
        <w:tc>
          <w:tcPr>
            <w:tcW w:w="2340" w:type="dxa"/>
          </w:tcPr>
          <w:p w:rsidR="0018253A" w:rsidRPr="0018253A" w:rsidRDefault="0018253A" w:rsidP="0018253A">
            <w:pPr>
              <w:jc w:val="both"/>
            </w:pPr>
            <w:r w:rsidRPr="0018253A">
              <w:t>FMCG</w:t>
            </w:r>
          </w:p>
        </w:tc>
        <w:tc>
          <w:tcPr>
            <w:tcW w:w="1350" w:type="dxa"/>
          </w:tcPr>
          <w:p w:rsidR="0018253A" w:rsidRPr="0018253A" w:rsidRDefault="0018253A" w:rsidP="0018253A">
            <w:pPr>
              <w:jc w:val="both"/>
            </w:pPr>
            <w:r w:rsidRPr="0018253A">
              <w:t>13</w:t>
            </w:r>
          </w:p>
        </w:tc>
        <w:tc>
          <w:tcPr>
            <w:tcW w:w="1440" w:type="dxa"/>
          </w:tcPr>
          <w:p w:rsidR="0018253A" w:rsidRPr="0018253A" w:rsidRDefault="0018253A" w:rsidP="0018253A">
            <w:pPr>
              <w:jc w:val="both"/>
            </w:pPr>
            <w:r w:rsidRPr="0018253A">
              <w:t>9</w:t>
            </w:r>
          </w:p>
        </w:tc>
        <w:tc>
          <w:tcPr>
            <w:tcW w:w="1530" w:type="dxa"/>
          </w:tcPr>
          <w:p w:rsidR="0018253A" w:rsidRPr="0018253A" w:rsidRDefault="0018253A" w:rsidP="0018253A">
            <w:pPr>
              <w:jc w:val="both"/>
            </w:pPr>
            <w:r w:rsidRPr="0018253A">
              <w:t>Nil</w:t>
            </w:r>
          </w:p>
        </w:tc>
        <w:tc>
          <w:tcPr>
            <w:tcW w:w="2070" w:type="dxa"/>
          </w:tcPr>
          <w:p w:rsidR="0018253A" w:rsidRPr="0018253A" w:rsidRDefault="0018253A" w:rsidP="0018253A">
            <w:pPr>
              <w:jc w:val="both"/>
            </w:pPr>
            <w:r w:rsidRPr="0018253A">
              <w:t>Nil</w:t>
            </w:r>
          </w:p>
        </w:tc>
      </w:tr>
      <w:tr w:rsidR="0018253A" w:rsidRPr="0018253A" w:rsidTr="00705911">
        <w:tc>
          <w:tcPr>
            <w:tcW w:w="2340" w:type="dxa"/>
          </w:tcPr>
          <w:p w:rsidR="0018253A" w:rsidRPr="0018253A" w:rsidRDefault="0018253A" w:rsidP="0018253A">
            <w:pPr>
              <w:jc w:val="both"/>
            </w:pPr>
            <w:r w:rsidRPr="0018253A">
              <w:t>Others (Real Estate, Retail, Education, Manufacturing etc.)</w:t>
            </w:r>
          </w:p>
        </w:tc>
        <w:tc>
          <w:tcPr>
            <w:tcW w:w="1350" w:type="dxa"/>
          </w:tcPr>
          <w:p w:rsidR="0018253A" w:rsidRPr="0018253A" w:rsidRDefault="0018253A" w:rsidP="0018253A">
            <w:pPr>
              <w:jc w:val="both"/>
            </w:pPr>
            <w:r w:rsidRPr="0018253A">
              <w:t>49</w:t>
            </w:r>
          </w:p>
        </w:tc>
        <w:tc>
          <w:tcPr>
            <w:tcW w:w="1440" w:type="dxa"/>
          </w:tcPr>
          <w:p w:rsidR="0018253A" w:rsidRPr="0018253A" w:rsidRDefault="0018253A" w:rsidP="0018253A">
            <w:pPr>
              <w:jc w:val="both"/>
            </w:pPr>
            <w:r w:rsidRPr="0018253A">
              <w:t>33%</w:t>
            </w:r>
          </w:p>
        </w:tc>
        <w:tc>
          <w:tcPr>
            <w:tcW w:w="1530" w:type="dxa"/>
          </w:tcPr>
          <w:p w:rsidR="0018253A" w:rsidRPr="0018253A" w:rsidRDefault="0018253A" w:rsidP="0018253A">
            <w:pPr>
              <w:jc w:val="both"/>
            </w:pPr>
            <w:r w:rsidRPr="0018253A">
              <w:t>26</w:t>
            </w:r>
          </w:p>
        </w:tc>
        <w:tc>
          <w:tcPr>
            <w:tcW w:w="2070" w:type="dxa"/>
          </w:tcPr>
          <w:p w:rsidR="0018253A" w:rsidRPr="0018253A" w:rsidRDefault="0018253A" w:rsidP="0018253A">
            <w:pPr>
              <w:jc w:val="both"/>
            </w:pPr>
            <w:r w:rsidRPr="0018253A">
              <w:t>32%</w:t>
            </w:r>
          </w:p>
        </w:tc>
      </w:tr>
      <w:tr w:rsidR="0018253A" w:rsidRPr="0018253A" w:rsidTr="00705911">
        <w:tc>
          <w:tcPr>
            <w:tcW w:w="2340" w:type="dxa"/>
          </w:tcPr>
          <w:p w:rsidR="0018253A" w:rsidRPr="0018253A" w:rsidRDefault="0018253A" w:rsidP="0018253A">
            <w:pPr>
              <w:jc w:val="both"/>
            </w:pPr>
            <w:r w:rsidRPr="0018253A">
              <w:t>Total</w:t>
            </w:r>
          </w:p>
        </w:tc>
        <w:tc>
          <w:tcPr>
            <w:tcW w:w="1350" w:type="dxa"/>
          </w:tcPr>
          <w:p w:rsidR="0018253A" w:rsidRPr="0018253A" w:rsidRDefault="0018253A" w:rsidP="0018253A">
            <w:pPr>
              <w:jc w:val="both"/>
            </w:pPr>
            <w:r w:rsidRPr="0018253A">
              <w:t>145</w:t>
            </w:r>
          </w:p>
        </w:tc>
        <w:tc>
          <w:tcPr>
            <w:tcW w:w="1440" w:type="dxa"/>
          </w:tcPr>
          <w:p w:rsidR="0018253A" w:rsidRPr="0018253A" w:rsidRDefault="0018253A" w:rsidP="0018253A">
            <w:pPr>
              <w:jc w:val="both"/>
            </w:pPr>
            <w:r w:rsidRPr="0018253A">
              <w:t>100%</w:t>
            </w:r>
          </w:p>
        </w:tc>
        <w:tc>
          <w:tcPr>
            <w:tcW w:w="1530" w:type="dxa"/>
          </w:tcPr>
          <w:p w:rsidR="0018253A" w:rsidRPr="0018253A" w:rsidRDefault="0018253A" w:rsidP="0018253A">
            <w:pPr>
              <w:jc w:val="both"/>
            </w:pPr>
            <w:r w:rsidRPr="0018253A">
              <w:t>81</w:t>
            </w:r>
          </w:p>
        </w:tc>
        <w:tc>
          <w:tcPr>
            <w:tcW w:w="2070" w:type="dxa"/>
          </w:tcPr>
          <w:p w:rsidR="0018253A" w:rsidRPr="0018253A" w:rsidRDefault="0018253A" w:rsidP="0018253A">
            <w:pPr>
              <w:jc w:val="both"/>
            </w:pPr>
            <w:r w:rsidRPr="0018253A">
              <w:t>100%</w:t>
            </w:r>
          </w:p>
        </w:tc>
      </w:tr>
    </w:tbl>
    <w:p w:rsidR="0018253A" w:rsidRPr="0018253A" w:rsidRDefault="0018253A" w:rsidP="0018253A">
      <w:pPr>
        <w:jc w:val="both"/>
      </w:pPr>
    </w:p>
    <w:p w:rsidR="0018253A" w:rsidRPr="0018253A" w:rsidRDefault="0018253A" w:rsidP="0018253A">
      <w:pPr>
        <w:jc w:val="both"/>
      </w:pPr>
      <w:r w:rsidRPr="0018253A">
        <w:rPr>
          <w:noProof/>
        </w:rPr>
        <w:drawing>
          <wp:inline distT="0" distB="0" distL="0" distR="0" wp14:anchorId="32542835" wp14:editId="619741A2">
            <wp:extent cx="5154930" cy="2872740"/>
            <wp:effectExtent l="19050" t="0" r="26670" b="381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18253A" w:rsidRPr="0018253A" w:rsidRDefault="0018253A" w:rsidP="0018253A">
      <w:pPr>
        <w:jc w:val="both"/>
      </w:pPr>
    </w:p>
    <w:p w:rsidR="0018253A" w:rsidRPr="0018253A" w:rsidRDefault="0018253A" w:rsidP="0018253A">
      <w:pPr>
        <w:jc w:val="both"/>
      </w:pPr>
    </w:p>
    <w:p w:rsidR="0018253A" w:rsidRPr="00DB4E4E" w:rsidRDefault="0018253A" w:rsidP="0018253A">
      <w:pPr>
        <w:jc w:val="both"/>
        <w:rPr>
          <w:b/>
        </w:rPr>
      </w:pPr>
      <w:r w:rsidRPr="00DB4E4E">
        <w:rPr>
          <w:b/>
        </w:rPr>
        <w:t>Functional area of Job offered (2016-17)</w:t>
      </w:r>
    </w:p>
    <w:tbl>
      <w:tblPr>
        <w:tblW w:w="0" w:type="auto"/>
        <w:tblInd w:w="8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30"/>
        <w:gridCol w:w="2880"/>
        <w:gridCol w:w="1980"/>
      </w:tblGrid>
      <w:tr w:rsidR="0018253A" w:rsidRPr="0018253A" w:rsidTr="00705911">
        <w:tc>
          <w:tcPr>
            <w:tcW w:w="3330" w:type="dxa"/>
          </w:tcPr>
          <w:p w:rsidR="0018253A" w:rsidRPr="0018253A" w:rsidRDefault="0018253A" w:rsidP="0018253A">
            <w:pPr>
              <w:jc w:val="both"/>
              <w:rPr>
                <w:b/>
              </w:rPr>
            </w:pPr>
            <w:r w:rsidRPr="0018253A">
              <w:rPr>
                <w:b/>
              </w:rPr>
              <w:t>Functional area of Job</w:t>
            </w:r>
          </w:p>
        </w:tc>
        <w:tc>
          <w:tcPr>
            <w:tcW w:w="2880" w:type="dxa"/>
          </w:tcPr>
          <w:p w:rsidR="0018253A" w:rsidRPr="0018253A" w:rsidRDefault="0018253A" w:rsidP="0018253A">
            <w:pPr>
              <w:jc w:val="both"/>
              <w:rPr>
                <w:b/>
              </w:rPr>
            </w:pPr>
            <w:r w:rsidRPr="0018253A">
              <w:rPr>
                <w:b/>
              </w:rPr>
              <w:t>No of students placed</w:t>
            </w:r>
          </w:p>
        </w:tc>
        <w:tc>
          <w:tcPr>
            <w:tcW w:w="1980" w:type="dxa"/>
          </w:tcPr>
          <w:p w:rsidR="0018253A" w:rsidRPr="0018253A" w:rsidRDefault="0018253A" w:rsidP="0018253A">
            <w:pPr>
              <w:jc w:val="both"/>
              <w:rPr>
                <w:b/>
              </w:rPr>
            </w:pPr>
            <w:r w:rsidRPr="0018253A">
              <w:rPr>
                <w:b/>
              </w:rPr>
              <w:t>Percentage</w:t>
            </w:r>
          </w:p>
        </w:tc>
      </w:tr>
      <w:tr w:rsidR="0018253A" w:rsidRPr="0018253A" w:rsidTr="00705911">
        <w:tc>
          <w:tcPr>
            <w:tcW w:w="3330" w:type="dxa"/>
          </w:tcPr>
          <w:p w:rsidR="0018253A" w:rsidRPr="0018253A" w:rsidRDefault="0018253A" w:rsidP="0018253A">
            <w:pPr>
              <w:jc w:val="both"/>
            </w:pPr>
            <w:r w:rsidRPr="0018253A">
              <w:t>Marketing</w:t>
            </w:r>
          </w:p>
        </w:tc>
        <w:tc>
          <w:tcPr>
            <w:tcW w:w="2880" w:type="dxa"/>
          </w:tcPr>
          <w:p w:rsidR="0018253A" w:rsidRPr="0018253A" w:rsidRDefault="0018253A" w:rsidP="0018253A">
            <w:pPr>
              <w:jc w:val="both"/>
            </w:pPr>
            <w:r w:rsidRPr="0018253A">
              <w:t>16</w:t>
            </w:r>
          </w:p>
        </w:tc>
        <w:tc>
          <w:tcPr>
            <w:tcW w:w="1980" w:type="dxa"/>
          </w:tcPr>
          <w:p w:rsidR="0018253A" w:rsidRPr="0018253A" w:rsidRDefault="0018253A" w:rsidP="0018253A">
            <w:pPr>
              <w:jc w:val="both"/>
            </w:pPr>
            <w:r w:rsidRPr="0018253A">
              <w:t>62%</w:t>
            </w:r>
          </w:p>
        </w:tc>
      </w:tr>
      <w:tr w:rsidR="0018253A" w:rsidRPr="0018253A" w:rsidTr="00705911">
        <w:tc>
          <w:tcPr>
            <w:tcW w:w="3330" w:type="dxa"/>
          </w:tcPr>
          <w:p w:rsidR="0018253A" w:rsidRPr="0018253A" w:rsidRDefault="0018253A" w:rsidP="0018253A">
            <w:pPr>
              <w:jc w:val="both"/>
            </w:pPr>
            <w:r w:rsidRPr="0018253A">
              <w:t>Finance</w:t>
            </w:r>
          </w:p>
        </w:tc>
        <w:tc>
          <w:tcPr>
            <w:tcW w:w="2880" w:type="dxa"/>
          </w:tcPr>
          <w:p w:rsidR="0018253A" w:rsidRPr="0018253A" w:rsidRDefault="0018253A" w:rsidP="0018253A">
            <w:pPr>
              <w:jc w:val="both"/>
            </w:pPr>
            <w:r w:rsidRPr="0018253A">
              <w:t>45</w:t>
            </w:r>
          </w:p>
        </w:tc>
        <w:tc>
          <w:tcPr>
            <w:tcW w:w="1980" w:type="dxa"/>
          </w:tcPr>
          <w:p w:rsidR="0018253A" w:rsidRPr="0018253A" w:rsidRDefault="0018253A" w:rsidP="0018253A">
            <w:pPr>
              <w:jc w:val="both"/>
            </w:pPr>
            <w:r w:rsidRPr="0018253A">
              <w:t>93%</w:t>
            </w:r>
          </w:p>
        </w:tc>
      </w:tr>
      <w:tr w:rsidR="0018253A" w:rsidRPr="0018253A" w:rsidTr="00705911">
        <w:tc>
          <w:tcPr>
            <w:tcW w:w="3330" w:type="dxa"/>
          </w:tcPr>
          <w:p w:rsidR="0018253A" w:rsidRPr="0018253A" w:rsidRDefault="0018253A" w:rsidP="0018253A">
            <w:pPr>
              <w:jc w:val="both"/>
            </w:pPr>
            <w:r w:rsidRPr="0018253A">
              <w:t>Human Resource</w:t>
            </w:r>
          </w:p>
        </w:tc>
        <w:tc>
          <w:tcPr>
            <w:tcW w:w="2880" w:type="dxa"/>
          </w:tcPr>
          <w:p w:rsidR="0018253A" w:rsidRPr="0018253A" w:rsidRDefault="0018253A" w:rsidP="0018253A">
            <w:pPr>
              <w:jc w:val="both"/>
            </w:pPr>
            <w:r w:rsidRPr="0018253A">
              <w:t>15</w:t>
            </w:r>
          </w:p>
        </w:tc>
        <w:tc>
          <w:tcPr>
            <w:tcW w:w="1980" w:type="dxa"/>
          </w:tcPr>
          <w:p w:rsidR="0018253A" w:rsidRPr="0018253A" w:rsidRDefault="0018253A" w:rsidP="0018253A">
            <w:pPr>
              <w:jc w:val="both"/>
            </w:pPr>
            <w:r w:rsidRPr="0018253A">
              <w:t>93%</w:t>
            </w:r>
          </w:p>
        </w:tc>
      </w:tr>
      <w:tr w:rsidR="0018253A" w:rsidRPr="0018253A" w:rsidTr="00705911">
        <w:tc>
          <w:tcPr>
            <w:tcW w:w="3330" w:type="dxa"/>
          </w:tcPr>
          <w:p w:rsidR="0018253A" w:rsidRPr="0018253A" w:rsidRDefault="0018253A" w:rsidP="0018253A">
            <w:pPr>
              <w:jc w:val="both"/>
            </w:pPr>
            <w:r w:rsidRPr="0018253A">
              <w:t>Operations</w:t>
            </w:r>
          </w:p>
        </w:tc>
        <w:tc>
          <w:tcPr>
            <w:tcW w:w="2880" w:type="dxa"/>
          </w:tcPr>
          <w:p w:rsidR="0018253A" w:rsidRPr="0018253A" w:rsidRDefault="0018253A" w:rsidP="0018253A">
            <w:pPr>
              <w:jc w:val="both"/>
            </w:pPr>
            <w:r w:rsidRPr="0018253A">
              <w:t>19</w:t>
            </w:r>
          </w:p>
        </w:tc>
        <w:tc>
          <w:tcPr>
            <w:tcW w:w="1980" w:type="dxa"/>
          </w:tcPr>
          <w:p w:rsidR="0018253A" w:rsidRPr="0018253A" w:rsidRDefault="0018253A" w:rsidP="0018253A">
            <w:pPr>
              <w:jc w:val="both"/>
            </w:pPr>
            <w:r w:rsidRPr="0018253A">
              <w:t>58%</w:t>
            </w:r>
          </w:p>
        </w:tc>
      </w:tr>
      <w:tr w:rsidR="0018253A" w:rsidRPr="0018253A" w:rsidTr="00705911">
        <w:tc>
          <w:tcPr>
            <w:tcW w:w="3330" w:type="dxa"/>
          </w:tcPr>
          <w:p w:rsidR="0018253A" w:rsidRPr="0018253A" w:rsidRDefault="0018253A" w:rsidP="0018253A">
            <w:pPr>
              <w:jc w:val="both"/>
            </w:pPr>
            <w:r w:rsidRPr="0018253A">
              <w:t>Systems</w:t>
            </w:r>
          </w:p>
        </w:tc>
        <w:tc>
          <w:tcPr>
            <w:tcW w:w="2880" w:type="dxa"/>
          </w:tcPr>
          <w:p w:rsidR="0018253A" w:rsidRPr="0018253A" w:rsidRDefault="0018253A" w:rsidP="0018253A">
            <w:pPr>
              <w:jc w:val="both"/>
            </w:pPr>
            <w:r w:rsidRPr="0018253A">
              <w:t>5</w:t>
            </w:r>
          </w:p>
        </w:tc>
        <w:tc>
          <w:tcPr>
            <w:tcW w:w="1980" w:type="dxa"/>
          </w:tcPr>
          <w:p w:rsidR="0018253A" w:rsidRPr="0018253A" w:rsidRDefault="0018253A" w:rsidP="0018253A">
            <w:pPr>
              <w:jc w:val="both"/>
            </w:pPr>
            <w:r w:rsidRPr="0018253A">
              <w:t>20%</w:t>
            </w:r>
          </w:p>
        </w:tc>
      </w:tr>
    </w:tbl>
    <w:p w:rsidR="0018253A" w:rsidRPr="0018253A" w:rsidRDefault="0018253A" w:rsidP="0018253A">
      <w:pPr>
        <w:jc w:val="both"/>
      </w:pPr>
    </w:p>
    <w:p w:rsidR="00022FD3" w:rsidRDefault="00022FD3" w:rsidP="0018253A">
      <w:pPr>
        <w:jc w:val="both"/>
        <w:rPr>
          <w:b/>
        </w:rPr>
      </w:pPr>
    </w:p>
    <w:p w:rsidR="0018253A" w:rsidRPr="0018253A" w:rsidRDefault="0018253A" w:rsidP="0018253A">
      <w:pPr>
        <w:jc w:val="both"/>
        <w:rPr>
          <w:b/>
        </w:rPr>
      </w:pPr>
      <w:bookmarkStart w:id="0" w:name="_GoBack"/>
      <w:bookmarkEnd w:id="0"/>
      <w:r w:rsidRPr="0018253A">
        <w:rPr>
          <w:b/>
        </w:rPr>
        <w:lastRenderedPageBreak/>
        <w:t>Salary range of students placed (2016-17)</w:t>
      </w:r>
    </w:p>
    <w:tbl>
      <w:tblPr>
        <w:tblW w:w="0" w:type="auto"/>
        <w:tblInd w:w="5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00"/>
        <w:gridCol w:w="3300"/>
      </w:tblGrid>
      <w:tr w:rsidR="0018253A" w:rsidRPr="0018253A" w:rsidTr="00705911">
        <w:tc>
          <w:tcPr>
            <w:tcW w:w="3300" w:type="dxa"/>
          </w:tcPr>
          <w:p w:rsidR="0018253A" w:rsidRPr="0018253A" w:rsidRDefault="0018253A" w:rsidP="0018253A">
            <w:pPr>
              <w:jc w:val="both"/>
            </w:pPr>
            <w:r w:rsidRPr="0018253A">
              <w:t>CTC</w:t>
            </w:r>
          </w:p>
        </w:tc>
        <w:tc>
          <w:tcPr>
            <w:tcW w:w="3300" w:type="dxa"/>
          </w:tcPr>
          <w:p w:rsidR="0018253A" w:rsidRPr="0018253A" w:rsidRDefault="0018253A" w:rsidP="0018253A">
            <w:pPr>
              <w:jc w:val="both"/>
            </w:pPr>
            <w:r w:rsidRPr="0018253A">
              <w:t>No. of Students</w:t>
            </w:r>
          </w:p>
        </w:tc>
      </w:tr>
      <w:tr w:rsidR="0018253A" w:rsidRPr="0018253A" w:rsidTr="00705911">
        <w:tc>
          <w:tcPr>
            <w:tcW w:w="3300" w:type="dxa"/>
          </w:tcPr>
          <w:p w:rsidR="0018253A" w:rsidRPr="0018253A" w:rsidRDefault="0018253A" w:rsidP="0018253A">
            <w:pPr>
              <w:jc w:val="both"/>
            </w:pPr>
            <w:proofErr w:type="spellStart"/>
            <w:r w:rsidRPr="0018253A">
              <w:t>Rs</w:t>
            </w:r>
            <w:proofErr w:type="spellEnd"/>
            <w:r w:rsidRPr="0018253A">
              <w:t>. 4.0 -6.0 Lakhs</w:t>
            </w:r>
          </w:p>
        </w:tc>
        <w:tc>
          <w:tcPr>
            <w:tcW w:w="3300" w:type="dxa"/>
          </w:tcPr>
          <w:p w:rsidR="0018253A" w:rsidRPr="0018253A" w:rsidRDefault="0018253A" w:rsidP="0018253A">
            <w:pPr>
              <w:jc w:val="both"/>
            </w:pPr>
            <w:r w:rsidRPr="0018253A">
              <w:t>33</w:t>
            </w:r>
          </w:p>
        </w:tc>
      </w:tr>
      <w:tr w:rsidR="0018253A" w:rsidRPr="0018253A" w:rsidTr="00705911">
        <w:tc>
          <w:tcPr>
            <w:tcW w:w="3300" w:type="dxa"/>
          </w:tcPr>
          <w:p w:rsidR="0018253A" w:rsidRPr="0018253A" w:rsidRDefault="0018253A" w:rsidP="0018253A">
            <w:pPr>
              <w:jc w:val="both"/>
            </w:pPr>
            <w:proofErr w:type="spellStart"/>
            <w:r w:rsidRPr="0018253A">
              <w:t>Rs</w:t>
            </w:r>
            <w:proofErr w:type="spellEnd"/>
            <w:r w:rsidRPr="0018253A">
              <w:t>. 3.0 – 4.0 Lakhs</w:t>
            </w:r>
          </w:p>
        </w:tc>
        <w:tc>
          <w:tcPr>
            <w:tcW w:w="3300" w:type="dxa"/>
          </w:tcPr>
          <w:p w:rsidR="0018253A" w:rsidRPr="0018253A" w:rsidRDefault="0018253A" w:rsidP="0018253A">
            <w:pPr>
              <w:jc w:val="both"/>
            </w:pPr>
            <w:r w:rsidRPr="0018253A">
              <w:t>40</w:t>
            </w:r>
          </w:p>
        </w:tc>
      </w:tr>
      <w:tr w:rsidR="0018253A" w:rsidRPr="0018253A" w:rsidTr="00705911">
        <w:tc>
          <w:tcPr>
            <w:tcW w:w="3300" w:type="dxa"/>
          </w:tcPr>
          <w:p w:rsidR="0018253A" w:rsidRPr="0018253A" w:rsidRDefault="0018253A" w:rsidP="0018253A">
            <w:pPr>
              <w:jc w:val="both"/>
            </w:pPr>
            <w:r w:rsidRPr="0018253A">
              <w:t>Below 3.0 Lakhs</w:t>
            </w:r>
          </w:p>
        </w:tc>
        <w:tc>
          <w:tcPr>
            <w:tcW w:w="3300" w:type="dxa"/>
          </w:tcPr>
          <w:p w:rsidR="0018253A" w:rsidRPr="0018253A" w:rsidRDefault="0018253A" w:rsidP="0018253A">
            <w:pPr>
              <w:jc w:val="both"/>
            </w:pPr>
            <w:r w:rsidRPr="0018253A">
              <w:t>8</w:t>
            </w:r>
          </w:p>
        </w:tc>
      </w:tr>
      <w:tr w:rsidR="0018253A" w:rsidRPr="0018253A" w:rsidTr="00705911">
        <w:tc>
          <w:tcPr>
            <w:tcW w:w="3300" w:type="dxa"/>
          </w:tcPr>
          <w:p w:rsidR="0018253A" w:rsidRPr="0018253A" w:rsidRDefault="0018253A" w:rsidP="0018253A">
            <w:pPr>
              <w:jc w:val="both"/>
            </w:pPr>
            <w:r w:rsidRPr="0018253A">
              <w:t>Total</w:t>
            </w:r>
          </w:p>
        </w:tc>
        <w:tc>
          <w:tcPr>
            <w:tcW w:w="3300" w:type="dxa"/>
          </w:tcPr>
          <w:p w:rsidR="0018253A" w:rsidRPr="0018253A" w:rsidRDefault="0018253A" w:rsidP="0018253A">
            <w:pPr>
              <w:jc w:val="both"/>
            </w:pPr>
            <w:r w:rsidRPr="0018253A">
              <w:t>81</w:t>
            </w:r>
          </w:p>
        </w:tc>
      </w:tr>
    </w:tbl>
    <w:p w:rsidR="0018253A" w:rsidRPr="0018253A" w:rsidRDefault="0018253A" w:rsidP="0018253A">
      <w:pPr>
        <w:jc w:val="both"/>
        <w:rPr>
          <w:b/>
        </w:rPr>
      </w:pPr>
    </w:p>
    <w:p w:rsidR="0018253A" w:rsidRPr="0018253A" w:rsidRDefault="0018253A" w:rsidP="0018253A">
      <w:pPr>
        <w:jc w:val="both"/>
        <w:rPr>
          <w:b/>
        </w:rPr>
      </w:pPr>
      <w:r w:rsidRPr="0018253A">
        <w:rPr>
          <w:b/>
          <w:noProof/>
        </w:rPr>
        <w:drawing>
          <wp:inline distT="0" distB="0" distL="0" distR="0" wp14:anchorId="35263A4A" wp14:editId="1696FE87">
            <wp:extent cx="4758690" cy="1859280"/>
            <wp:effectExtent l="19050" t="0" r="22860" b="762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F263D2" w:rsidRPr="00F263D2" w:rsidRDefault="00F263D2" w:rsidP="00F263D2">
      <w:pPr>
        <w:jc w:val="both"/>
      </w:pPr>
    </w:p>
    <w:p w:rsidR="00F263D2" w:rsidRPr="00DB4E4E" w:rsidRDefault="00F263D2" w:rsidP="00F263D2">
      <w:pPr>
        <w:jc w:val="both"/>
        <w:rPr>
          <w:b/>
        </w:rPr>
      </w:pPr>
      <w:r w:rsidRPr="00DB4E4E">
        <w:rPr>
          <w:b/>
        </w:rPr>
        <w:t>MMS No. of Placements by Nature of Organizations (2016-17)</w:t>
      </w:r>
    </w:p>
    <w:tbl>
      <w:tblPr>
        <w:tblStyle w:val="TableGrid"/>
        <w:tblW w:w="9558" w:type="dxa"/>
        <w:tblLayout w:type="fixed"/>
        <w:tblLook w:val="04A0" w:firstRow="1" w:lastRow="0" w:firstColumn="1" w:lastColumn="0" w:noHBand="0" w:noVBand="1"/>
      </w:tblPr>
      <w:tblGrid>
        <w:gridCol w:w="5647"/>
        <w:gridCol w:w="3911"/>
      </w:tblGrid>
      <w:tr w:rsidR="00F263D2" w:rsidRPr="00F263D2" w:rsidTr="00705911">
        <w:tc>
          <w:tcPr>
            <w:tcW w:w="5647" w:type="dxa"/>
          </w:tcPr>
          <w:p w:rsidR="00F263D2" w:rsidRPr="00F263D2" w:rsidRDefault="00F263D2" w:rsidP="00F263D2">
            <w:pPr>
              <w:spacing w:after="160" w:line="259" w:lineRule="auto"/>
              <w:jc w:val="both"/>
            </w:pPr>
            <w:r w:rsidRPr="00F263D2">
              <w:t>Nature of the Organization</w:t>
            </w:r>
          </w:p>
        </w:tc>
        <w:tc>
          <w:tcPr>
            <w:tcW w:w="3911" w:type="dxa"/>
          </w:tcPr>
          <w:p w:rsidR="00F263D2" w:rsidRPr="00F263D2" w:rsidRDefault="00F263D2" w:rsidP="00F263D2">
            <w:pPr>
              <w:spacing w:after="160" w:line="259" w:lineRule="auto"/>
              <w:jc w:val="both"/>
            </w:pPr>
            <w:r w:rsidRPr="00F263D2">
              <w:t>No. of Students Placed</w:t>
            </w:r>
          </w:p>
        </w:tc>
      </w:tr>
      <w:tr w:rsidR="00F263D2" w:rsidRPr="00F263D2" w:rsidTr="00705911">
        <w:tc>
          <w:tcPr>
            <w:tcW w:w="5647" w:type="dxa"/>
          </w:tcPr>
          <w:p w:rsidR="00F263D2" w:rsidRPr="00F263D2" w:rsidRDefault="00F263D2" w:rsidP="00F263D2">
            <w:pPr>
              <w:spacing w:after="160" w:line="259" w:lineRule="auto"/>
              <w:jc w:val="both"/>
            </w:pPr>
            <w:r w:rsidRPr="00F263D2">
              <w:t>Multi-National Companies</w:t>
            </w:r>
          </w:p>
        </w:tc>
        <w:tc>
          <w:tcPr>
            <w:tcW w:w="3911" w:type="dxa"/>
          </w:tcPr>
          <w:p w:rsidR="00F263D2" w:rsidRPr="00F263D2" w:rsidRDefault="00F263D2" w:rsidP="00F263D2">
            <w:pPr>
              <w:spacing w:after="160" w:line="259" w:lineRule="auto"/>
              <w:jc w:val="both"/>
            </w:pPr>
            <w:r w:rsidRPr="00F263D2">
              <w:t>37</w:t>
            </w:r>
          </w:p>
        </w:tc>
      </w:tr>
      <w:tr w:rsidR="00F263D2" w:rsidRPr="00F263D2" w:rsidTr="00705911">
        <w:tc>
          <w:tcPr>
            <w:tcW w:w="5647" w:type="dxa"/>
          </w:tcPr>
          <w:p w:rsidR="00F263D2" w:rsidRPr="00F263D2" w:rsidRDefault="00F263D2" w:rsidP="00F263D2">
            <w:pPr>
              <w:spacing w:after="160" w:line="259" w:lineRule="auto"/>
              <w:jc w:val="both"/>
            </w:pPr>
            <w:r w:rsidRPr="00F263D2">
              <w:t>Public Limited Companies</w:t>
            </w:r>
          </w:p>
        </w:tc>
        <w:tc>
          <w:tcPr>
            <w:tcW w:w="3911" w:type="dxa"/>
          </w:tcPr>
          <w:p w:rsidR="00F263D2" w:rsidRPr="00F263D2" w:rsidRDefault="00F263D2" w:rsidP="00F263D2">
            <w:pPr>
              <w:spacing w:after="160" w:line="259" w:lineRule="auto"/>
              <w:jc w:val="both"/>
            </w:pPr>
            <w:r w:rsidRPr="00F263D2">
              <w:t>NIL</w:t>
            </w:r>
          </w:p>
        </w:tc>
      </w:tr>
      <w:tr w:rsidR="00F263D2" w:rsidRPr="00F263D2" w:rsidTr="00705911">
        <w:tc>
          <w:tcPr>
            <w:tcW w:w="5647" w:type="dxa"/>
          </w:tcPr>
          <w:p w:rsidR="00F263D2" w:rsidRPr="00F263D2" w:rsidRDefault="00F263D2" w:rsidP="00F263D2">
            <w:pPr>
              <w:spacing w:after="160" w:line="259" w:lineRule="auto"/>
              <w:jc w:val="both"/>
            </w:pPr>
            <w:r w:rsidRPr="00F263D2">
              <w:t>Private Companies</w:t>
            </w:r>
          </w:p>
        </w:tc>
        <w:tc>
          <w:tcPr>
            <w:tcW w:w="3911" w:type="dxa"/>
          </w:tcPr>
          <w:p w:rsidR="00F263D2" w:rsidRPr="00F263D2" w:rsidRDefault="00F263D2" w:rsidP="00F263D2">
            <w:pPr>
              <w:spacing w:after="160" w:line="259" w:lineRule="auto"/>
              <w:jc w:val="both"/>
            </w:pPr>
            <w:r w:rsidRPr="00F263D2">
              <w:t>44</w:t>
            </w:r>
          </w:p>
        </w:tc>
      </w:tr>
      <w:tr w:rsidR="00F263D2" w:rsidRPr="00F263D2" w:rsidTr="00705911">
        <w:tc>
          <w:tcPr>
            <w:tcW w:w="5647" w:type="dxa"/>
          </w:tcPr>
          <w:p w:rsidR="00F263D2" w:rsidRPr="00F263D2" w:rsidRDefault="00F263D2" w:rsidP="00F263D2">
            <w:pPr>
              <w:spacing w:after="160" w:line="259" w:lineRule="auto"/>
              <w:jc w:val="both"/>
            </w:pPr>
            <w:r w:rsidRPr="00F263D2">
              <w:t>Limited Liability Partnership</w:t>
            </w:r>
          </w:p>
        </w:tc>
        <w:tc>
          <w:tcPr>
            <w:tcW w:w="3911" w:type="dxa"/>
          </w:tcPr>
          <w:p w:rsidR="00F263D2" w:rsidRPr="00F263D2" w:rsidRDefault="00F263D2" w:rsidP="00F263D2">
            <w:pPr>
              <w:spacing w:after="160" w:line="259" w:lineRule="auto"/>
              <w:jc w:val="both"/>
            </w:pPr>
            <w:r w:rsidRPr="00F263D2">
              <w:t>NIL</w:t>
            </w:r>
          </w:p>
        </w:tc>
      </w:tr>
      <w:tr w:rsidR="00F263D2" w:rsidRPr="00F263D2" w:rsidTr="00705911">
        <w:tc>
          <w:tcPr>
            <w:tcW w:w="5647" w:type="dxa"/>
          </w:tcPr>
          <w:p w:rsidR="00F263D2" w:rsidRPr="00F263D2" w:rsidRDefault="00F263D2" w:rsidP="00F263D2">
            <w:pPr>
              <w:spacing w:after="160" w:line="259" w:lineRule="auto"/>
              <w:jc w:val="both"/>
            </w:pPr>
            <w:r w:rsidRPr="00F263D2">
              <w:t>Total no. of Students Placed</w:t>
            </w:r>
          </w:p>
        </w:tc>
        <w:tc>
          <w:tcPr>
            <w:tcW w:w="3911" w:type="dxa"/>
          </w:tcPr>
          <w:p w:rsidR="00F263D2" w:rsidRPr="00F263D2" w:rsidRDefault="00F263D2" w:rsidP="00F263D2">
            <w:pPr>
              <w:spacing w:after="160" w:line="259" w:lineRule="auto"/>
              <w:jc w:val="both"/>
            </w:pPr>
            <w:r w:rsidRPr="00F263D2">
              <w:t>81</w:t>
            </w:r>
          </w:p>
        </w:tc>
      </w:tr>
    </w:tbl>
    <w:p w:rsidR="00F263D2" w:rsidRPr="00F263D2" w:rsidRDefault="00F263D2" w:rsidP="00F263D2">
      <w:pPr>
        <w:jc w:val="both"/>
      </w:pPr>
    </w:p>
    <w:p w:rsidR="00F263D2" w:rsidRPr="00F263D2" w:rsidRDefault="00F263D2" w:rsidP="00F263D2">
      <w:pPr>
        <w:jc w:val="both"/>
      </w:pPr>
      <w:r w:rsidRPr="00F263D2">
        <w:rPr>
          <w:noProof/>
        </w:rPr>
        <w:lastRenderedPageBreak/>
        <w:drawing>
          <wp:inline distT="0" distB="0" distL="0" distR="0" wp14:anchorId="2BD9C73F" wp14:editId="5CBD9846">
            <wp:extent cx="4080510" cy="1920240"/>
            <wp:effectExtent l="19050" t="0" r="15240" b="3810"/>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F263D2" w:rsidRPr="004E6C9F" w:rsidRDefault="00F263D2" w:rsidP="00F263D2">
      <w:pPr>
        <w:jc w:val="both"/>
        <w:rPr>
          <w:b/>
        </w:rPr>
      </w:pPr>
      <w:r w:rsidRPr="004E6C9F">
        <w:rPr>
          <w:b/>
        </w:rPr>
        <w:t>MMS % of Students Placed by Industrial Sectors (2016-17)</w:t>
      </w:r>
    </w:p>
    <w:tbl>
      <w:tblPr>
        <w:tblStyle w:val="TableGrid"/>
        <w:tblW w:w="9558" w:type="dxa"/>
        <w:tblLayout w:type="fixed"/>
        <w:tblLook w:val="04A0" w:firstRow="1" w:lastRow="0" w:firstColumn="1" w:lastColumn="0" w:noHBand="0" w:noVBand="1"/>
      </w:tblPr>
      <w:tblGrid>
        <w:gridCol w:w="5647"/>
        <w:gridCol w:w="3911"/>
      </w:tblGrid>
      <w:tr w:rsidR="00F263D2" w:rsidRPr="00F263D2" w:rsidTr="00705911">
        <w:tc>
          <w:tcPr>
            <w:tcW w:w="5647" w:type="dxa"/>
          </w:tcPr>
          <w:p w:rsidR="00F263D2" w:rsidRPr="00F263D2" w:rsidRDefault="00F263D2" w:rsidP="00F263D2">
            <w:pPr>
              <w:spacing w:after="160" w:line="259" w:lineRule="auto"/>
              <w:jc w:val="both"/>
              <w:rPr>
                <w:b/>
              </w:rPr>
            </w:pPr>
            <w:r w:rsidRPr="00F263D2">
              <w:rPr>
                <w:b/>
              </w:rPr>
              <w:t>Industry Sector</w:t>
            </w:r>
          </w:p>
        </w:tc>
        <w:tc>
          <w:tcPr>
            <w:tcW w:w="3911" w:type="dxa"/>
          </w:tcPr>
          <w:p w:rsidR="00F263D2" w:rsidRPr="00F263D2" w:rsidRDefault="00F263D2" w:rsidP="00F263D2">
            <w:pPr>
              <w:spacing w:after="160" w:line="259" w:lineRule="auto"/>
              <w:jc w:val="both"/>
              <w:rPr>
                <w:b/>
              </w:rPr>
            </w:pPr>
            <w:r w:rsidRPr="00F263D2">
              <w:rPr>
                <w:b/>
              </w:rPr>
              <w:t>% of students placed</w:t>
            </w:r>
          </w:p>
        </w:tc>
      </w:tr>
      <w:tr w:rsidR="00F263D2" w:rsidRPr="00F263D2" w:rsidTr="00705911">
        <w:tc>
          <w:tcPr>
            <w:tcW w:w="5647" w:type="dxa"/>
          </w:tcPr>
          <w:p w:rsidR="00F263D2" w:rsidRPr="00F263D2" w:rsidRDefault="00F263D2" w:rsidP="00F263D2">
            <w:pPr>
              <w:spacing w:after="160" w:line="259" w:lineRule="auto"/>
              <w:jc w:val="both"/>
              <w:rPr>
                <w:b/>
              </w:rPr>
            </w:pPr>
            <w:r w:rsidRPr="00F263D2">
              <w:rPr>
                <w:b/>
              </w:rPr>
              <w:t>Financial Services (other than Banking)</w:t>
            </w:r>
          </w:p>
        </w:tc>
        <w:tc>
          <w:tcPr>
            <w:tcW w:w="3911" w:type="dxa"/>
          </w:tcPr>
          <w:p w:rsidR="00F263D2" w:rsidRPr="00F263D2" w:rsidRDefault="00F263D2" w:rsidP="00F263D2">
            <w:pPr>
              <w:spacing w:after="160" w:line="259" w:lineRule="auto"/>
              <w:jc w:val="both"/>
              <w:rPr>
                <w:b/>
              </w:rPr>
            </w:pPr>
            <w:r w:rsidRPr="00F263D2">
              <w:rPr>
                <w:b/>
              </w:rPr>
              <w:t>09</w:t>
            </w:r>
          </w:p>
        </w:tc>
      </w:tr>
      <w:tr w:rsidR="00F263D2" w:rsidRPr="00F263D2" w:rsidTr="00705911">
        <w:tc>
          <w:tcPr>
            <w:tcW w:w="5647" w:type="dxa"/>
          </w:tcPr>
          <w:p w:rsidR="00F263D2" w:rsidRPr="00F263D2" w:rsidRDefault="00F263D2" w:rsidP="00F263D2">
            <w:pPr>
              <w:spacing w:after="160" w:line="259" w:lineRule="auto"/>
              <w:jc w:val="both"/>
              <w:rPr>
                <w:b/>
              </w:rPr>
            </w:pPr>
            <w:r w:rsidRPr="00F263D2">
              <w:rPr>
                <w:b/>
              </w:rPr>
              <w:t>Banking</w:t>
            </w:r>
          </w:p>
        </w:tc>
        <w:tc>
          <w:tcPr>
            <w:tcW w:w="3911" w:type="dxa"/>
          </w:tcPr>
          <w:p w:rsidR="00F263D2" w:rsidRPr="00F263D2" w:rsidRDefault="00F263D2" w:rsidP="00F263D2">
            <w:pPr>
              <w:spacing w:after="160" w:line="259" w:lineRule="auto"/>
              <w:jc w:val="both"/>
              <w:rPr>
                <w:b/>
              </w:rPr>
            </w:pPr>
            <w:r w:rsidRPr="00F263D2">
              <w:rPr>
                <w:b/>
              </w:rPr>
              <w:t>24</w:t>
            </w:r>
          </w:p>
        </w:tc>
      </w:tr>
      <w:tr w:rsidR="00F263D2" w:rsidRPr="00F263D2" w:rsidTr="00705911">
        <w:trPr>
          <w:trHeight w:val="224"/>
        </w:trPr>
        <w:tc>
          <w:tcPr>
            <w:tcW w:w="5647" w:type="dxa"/>
          </w:tcPr>
          <w:p w:rsidR="00F263D2" w:rsidRPr="00F263D2" w:rsidRDefault="00F263D2" w:rsidP="00F263D2">
            <w:pPr>
              <w:spacing w:after="160" w:line="259" w:lineRule="auto"/>
              <w:jc w:val="both"/>
              <w:rPr>
                <w:b/>
              </w:rPr>
            </w:pPr>
            <w:r w:rsidRPr="00F263D2">
              <w:rPr>
                <w:b/>
              </w:rPr>
              <w:t>Consulting</w:t>
            </w:r>
          </w:p>
        </w:tc>
        <w:tc>
          <w:tcPr>
            <w:tcW w:w="3911" w:type="dxa"/>
          </w:tcPr>
          <w:p w:rsidR="00F263D2" w:rsidRPr="00F263D2" w:rsidRDefault="00F263D2" w:rsidP="00F263D2">
            <w:pPr>
              <w:spacing w:after="160" w:line="259" w:lineRule="auto"/>
              <w:jc w:val="both"/>
              <w:rPr>
                <w:b/>
              </w:rPr>
            </w:pPr>
            <w:r w:rsidRPr="00F263D2">
              <w:rPr>
                <w:b/>
              </w:rPr>
              <w:t>10</w:t>
            </w:r>
          </w:p>
        </w:tc>
      </w:tr>
      <w:tr w:rsidR="00F263D2" w:rsidRPr="00F263D2" w:rsidTr="00705911">
        <w:tc>
          <w:tcPr>
            <w:tcW w:w="5647" w:type="dxa"/>
          </w:tcPr>
          <w:p w:rsidR="00F263D2" w:rsidRPr="00F263D2" w:rsidRDefault="00F263D2" w:rsidP="00F263D2">
            <w:pPr>
              <w:spacing w:after="160" w:line="259" w:lineRule="auto"/>
              <w:jc w:val="both"/>
              <w:rPr>
                <w:b/>
              </w:rPr>
            </w:pPr>
            <w:proofErr w:type="spellStart"/>
            <w:r w:rsidRPr="00F263D2">
              <w:rPr>
                <w:b/>
              </w:rPr>
              <w:t>Pharma</w:t>
            </w:r>
            <w:proofErr w:type="spellEnd"/>
            <w:r w:rsidRPr="00F263D2">
              <w:rPr>
                <w:b/>
              </w:rPr>
              <w:t xml:space="preserve"> and Healthcare</w:t>
            </w:r>
          </w:p>
        </w:tc>
        <w:tc>
          <w:tcPr>
            <w:tcW w:w="3911" w:type="dxa"/>
          </w:tcPr>
          <w:p w:rsidR="00F263D2" w:rsidRPr="00F263D2" w:rsidRDefault="00F263D2" w:rsidP="00F263D2">
            <w:pPr>
              <w:spacing w:after="160" w:line="259" w:lineRule="auto"/>
              <w:jc w:val="both"/>
              <w:rPr>
                <w:b/>
              </w:rPr>
            </w:pPr>
            <w:r w:rsidRPr="00F263D2">
              <w:rPr>
                <w:b/>
              </w:rPr>
              <w:t>2</w:t>
            </w:r>
          </w:p>
        </w:tc>
      </w:tr>
      <w:tr w:rsidR="00F263D2" w:rsidRPr="00F263D2" w:rsidTr="00705911">
        <w:tc>
          <w:tcPr>
            <w:tcW w:w="5647" w:type="dxa"/>
          </w:tcPr>
          <w:p w:rsidR="00F263D2" w:rsidRPr="00F263D2" w:rsidRDefault="00F263D2" w:rsidP="00F263D2">
            <w:pPr>
              <w:spacing w:after="160" w:line="259" w:lineRule="auto"/>
              <w:jc w:val="both"/>
              <w:rPr>
                <w:b/>
              </w:rPr>
            </w:pPr>
            <w:r w:rsidRPr="00F263D2">
              <w:rPr>
                <w:b/>
              </w:rPr>
              <w:t>IT an Telecom</w:t>
            </w:r>
          </w:p>
        </w:tc>
        <w:tc>
          <w:tcPr>
            <w:tcW w:w="3911" w:type="dxa"/>
          </w:tcPr>
          <w:p w:rsidR="00F263D2" w:rsidRPr="00F263D2" w:rsidRDefault="00F263D2" w:rsidP="00F263D2">
            <w:pPr>
              <w:spacing w:after="160" w:line="259" w:lineRule="auto"/>
              <w:jc w:val="both"/>
              <w:rPr>
                <w:b/>
              </w:rPr>
            </w:pPr>
            <w:r w:rsidRPr="00F263D2">
              <w:rPr>
                <w:b/>
              </w:rPr>
              <w:t>4</w:t>
            </w:r>
          </w:p>
        </w:tc>
      </w:tr>
      <w:tr w:rsidR="00F263D2" w:rsidRPr="00F263D2" w:rsidTr="00705911">
        <w:tc>
          <w:tcPr>
            <w:tcW w:w="5647" w:type="dxa"/>
          </w:tcPr>
          <w:p w:rsidR="00F263D2" w:rsidRPr="00F263D2" w:rsidRDefault="00F263D2" w:rsidP="00F263D2">
            <w:pPr>
              <w:spacing w:after="160" w:line="259" w:lineRule="auto"/>
              <w:jc w:val="both"/>
              <w:rPr>
                <w:b/>
              </w:rPr>
            </w:pPr>
            <w:r w:rsidRPr="00F263D2">
              <w:rPr>
                <w:b/>
              </w:rPr>
              <w:t>Textiles</w:t>
            </w:r>
          </w:p>
        </w:tc>
        <w:tc>
          <w:tcPr>
            <w:tcW w:w="3911" w:type="dxa"/>
          </w:tcPr>
          <w:p w:rsidR="00F263D2" w:rsidRPr="00F263D2" w:rsidRDefault="00F263D2" w:rsidP="00F263D2">
            <w:pPr>
              <w:spacing w:after="160" w:line="259" w:lineRule="auto"/>
              <w:jc w:val="both"/>
              <w:rPr>
                <w:b/>
              </w:rPr>
            </w:pPr>
            <w:r w:rsidRPr="00F263D2">
              <w:rPr>
                <w:b/>
              </w:rPr>
              <w:t>0</w:t>
            </w:r>
          </w:p>
        </w:tc>
      </w:tr>
      <w:tr w:rsidR="00F263D2" w:rsidRPr="00F263D2" w:rsidTr="00705911">
        <w:tc>
          <w:tcPr>
            <w:tcW w:w="5647" w:type="dxa"/>
          </w:tcPr>
          <w:p w:rsidR="00F263D2" w:rsidRPr="00F263D2" w:rsidRDefault="00F263D2" w:rsidP="00F263D2">
            <w:pPr>
              <w:spacing w:after="160" w:line="259" w:lineRule="auto"/>
              <w:jc w:val="both"/>
              <w:rPr>
                <w:b/>
              </w:rPr>
            </w:pPr>
            <w:r w:rsidRPr="00F263D2">
              <w:rPr>
                <w:b/>
              </w:rPr>
              <w:t>Media</w:t>
            </w:r>
          </w:p>
        </w:tc>
        <w:tc>
          <w:tcPr>
            <w:tcW w:w="3911" w:type="dxa"/>
          </w:tcPr>
          <w:p w:rsidR="00F263D2" w:rsidRPr="00F263D2" w:rsidRDefault="00F263D2" w:rsidP="00F263D2">
            <w:pPr>
              <w:spacing w:after="160" w:line="259" w:lineRule="auto"/>
              <w:jc w:val="both"/>
              <w:rPr>
                <w:b/>
              </w:rPr>
            </w:pPr>
            <w:r w:rsidRPr="00F263D2">
              <w:rPr>
                <w:b/>
              </w:rPr>
              <w:t>0</w:t>
            </w:r>
          </w:p>
        </w:tc>
      </w:tr>
      <w:tr w:rsidR="00F263D2" w:rsidRPr="00F263D2" w:rsidTr="00705911">
        <w:trPr>
          <w:trHeight w:val="287"/>
        </w:trPr>
        <w:tc>
          <w:tcPr>
            <w:tcW w:w="5647" w:type="dxa"/>
          </w:tcPr>
          <w:p w:rsidR="00F263D2" w:rsidRPr="00F263D2" w:rsidRDefault="00F263D2" w:rsidP="00F263D2">
            <w:pPr>
              <w:spacing w:after="160" w:line="259" w:lineRule="auto"/>
              <w:jc w:val="both"/>
              <w:rPr>
                <w:b/>
              </w:rPr>
            </w:pPr>
            <w:r w:rsidRPr="00F263D2">
              <w:rPr>
                <w:b/>
              </w:rPr>
              <w:t>Insurance</w:t>
            </w:r>
          </w:p>
        </w:tc>
        <w:tc>
          <w:tcPr>
            <w:tcW w:w="3911" w:type="dxa"/>
          </w:tcPr>
          <w:p w:rsidR="00F263D2" w:rsidRPr="00F263D2" w:rsidRDefault="00F263D2" w:rsidP="00F263D2">
            <w:pPr>
              <w:spacing w:after="160" w:line="259" w:lineRule="auto"/>
              <w:jc w:val="both"/>
              <w:rPr>
                <w:b/>
              </w:rPr>
            </w:pPr>
            <w:r w:rsidRPr="00F263D2">
              <w:rPr>
                <w:b/>
              </w:rPr>
              <w:t>6</w:t>
            </w:r>
          </w:p>
        </w:tc>
      </w:tr>
      <w:tr w:rsidR="00F263D2" w:rsidRPr="00F263D2" w:rsidTr="00705911">
        <w:trPr>
          <w:trHeight w:val="296"/>
        </w:trPr>
        <w:tc>
          <w:tcPr>
            <w:tcW w:w="5647" w:type="dxa"/>
          </w:tcPr>
          <w:p w:rsidR="00F263D2" w:rsidRPr="00F263D2" w:rsidRDefault="00F263D2" w:rsidP="00F263D2">
            <w:pPr>
              <w:spacing w:after="160" w:line="259" w:lineRule="auto"/>
              <w:jc w:val="both"/>
              <w:rPr>
                <w:b/>
              </w:rPr>
            </w:pPr>
            <w:r w:rsidRPr="00F263D2">
              <w:rPr>
                <w:b/>
              </w:rPr>
              <w:t>FMCG</w:t>
            </w:r>
          </w:p>
        </w:tc>
        <w:tc>
          <w:tcPr>
            <w:tcW w:w="3911" w:type="dxa"/>
          </w:tcPr>
          <w:p w:rsidR="00F263D2" w:rsidRPr="00F263D2" w:rsidRDefault="00F263D2" w:rsidP="00F263D2">
            <w:pPr>
              <w:spacing w:after="160" w:line="259" w:lineRule="auto"/>
              <w:jc w:val="both"/>
              <w:rPr>
                <w:b/>
              </w:rPr>
            </w:pPr>
            <w:r w:rsidRPr="00F263D2">
              <w:rPr>
                <w:b/>
              </w:rPr>
              <w:t>0</w:t>
            </w:r>
          </w:p>
        </w:tc>
      </w:tr>
      <w:tr w:rsidR="00F263D2" w:rsidRPr="00F263D2" w:rsidTr="00705911">
        <w:trPr>
          <w:trHeight w:val="485"/>
        </w:trPr>
        <w:tc>
          <w:tcPr>
            <w:tcW w:w="5647" w:type="dxa"/>
          </w:tcPr>
          <w:p w:rsidR="00F263D2" w:rsidRPr="00F263D2" w:rsidRDefault="00F263D2" w:rsidP="00F263D2">
            <w:pPr>
              <w:spacing w:after="160" w:line="259" w:lineRule="auto"/>
              <w:jc w:val="both"/>
              <w:rPr>
                <w:b/>
              </w:rPr>
            </w:pPr>
            <w:proofErr w:type="gramStart"/>
            <w:r w:rsidRPr="00F263D2">
              <w:rPr>
                <w:b/>
              </w:rPr>
              <w:t>Others(</w:t>
            </w:r>
            <w:proofErr w:type="gramEnd"/>
            <w:r w:rsidRPr="00F263D2">
              <w:rPr>
                <w:b/>
              </w:rPr>
              <w:t>Education, Manufacturing, Reality, retail etc.)</w:t>
            </w:r>
          </w:p>
        </w:tc>
        <w:tc>
          <w:tcPr>
            <w:tcW w:w="3911" w:type="dxa"/>
          </w:tcPr>
          <w:p w:rsidR="00F263D2" w:rsidRPr="00F263D2" w:rsidRDefault="00F263D2" w:rsidP="00F263D2">
            <w:pPr>
              <w:spacing w:after="160" w:line="259" w:lineRule="auto"/>
              <w:jc w:val="both"/>
              <w:rPr>
                <w:b/>
              </w:rPr>
            </w:pPr>
            <w:r w:rsidRPr="00F263D2">
              <w:rPr>
                <w:b/>
              </w:rPr>
              <w:t>26</w:t>
            </w:r>
          </w:p>
        </w:tc>
      </w:tr>
    </w:tbl>
    <w:p w:rsidR="00F263D2" w:rsidRPr="00F263D2" w:rsidRDefault="00F263D2" w:rsidP="00F263D2">
      <w:pPr>
        <w:jc w:val="both"/>
      </w:pPr>
    </w:p>
    <w:p w:rsidR="00F263D2" w:rsidRPr="00F263D2" w:rsidRDefault="00F263D2" w:rsidP="00F263D2">
      <w:pPr>
        <w:jc w:val="both"/>
      </w:pPr>
    </w:p>
    <w:p w:rsidR="00F263D2" w:rsidRPr="00F263D2" w:rsidRDefault="00F263D2" w:rsidP="00F263D2">
      <w:pPr>
        <w:jc w:val="both"/>
      </w:pPr>
    </w:p>
    <w:p w:rsidR="00F263D2" w:rsidRPr="00F263D2" w:rsidRDefault="00F263D2" w:rsidP="00F263D2">
      <w:pPr>
        <w:jc w:val="both"/>
      </w:pPr>
    </w:p>
    <w:p w:rsidR="00F263D2" w:rsidRPr="00F263D2" w:rsidRDefault="00F263D2" w:rsidP="00F263D2">
      <w:pPr>
        <w:jc w:val="both"/>
      </w:pPr>
    </w:p>
    <w:p w:rsidR="00F263D2" w:rsidRPr="00F263D2" w:rsidRDefault="00F263D2" w:rsidP="00F263D2">
      <w:pPr>
        <w:jc w:val="both"/>
        <w:rPr>
          <w:b/>
        </w:rPr>
      </w:pPr>
    </w:p>
    <w:p w:rsidR="00F263D2" w:rsidRPr="00F263D2" w:rsidRDefault="00F263D2" w:rsidP="00F263D2">
      <w:pPr>
        <w:jc w:val="both"/>
      </w:pPr>
    </w:p>
    <w:p w:rsidR="00F263D2" w:rsidRPr="00F263D2" w:rsidRDefault="00F263D2" w:rsidP="00F263D2">
      <w:pPr>
        <w:jc w:val="both"/>
      </w:pPr>
    </w:p>
    <w:p w:rsidR="00F263D2" w:rsidRPr="00F263D2" w:rsidRDefault="00F263D2" w:rsidP="00F263D2">
      <w:pPr>
        <w:jc w:val="both"/>
      </w:pPr>
    </w:p>
    <w:p w:rsidR="00F263D2" w:rsidRPr="00F263D2" w:rsidRDefault="00F263D2" w:rsidP="00F263D2">
      <w:pPr>
        <w:jc w:val="both"/>
      </w:pPr>
    </w:p>
    <w:p w:rsidR="00F263D2" w:rsidRPr="00F263D2" w:rsidRDefault="00F263D2" w:rsidP="00F263D2">
      <w:pPr>
        <w:jc w:val="both"/>
      </w:pPr>
    </w:p>
    <w:p w:rsidR="00F263D2" w:rsidRPr="00F263D2" w:rsidRDefault="00F263D2" w:rsidP="00F263D2">
      <w:pPr>
        <w:jc w:val="both"/>
      </w:pPr>
    </w:p>
    <w:p w:rsidR="00F263D2" w:rsidRPr="00F263D2" w:rsidRDefault="00F263D2" w:rsidP="00F263D2">
      <w:pPr>
        <w:jc w:val="both"/>
      </w:pPr>
    </w:p>
    <w:p w:rsidR="00541240" w:rsidRPr="00541240" w:rsidRDefault="00541240" w:rsidP="00541240">
      <w:pPr>
        <w:jc w:val="both"/>
      </w:pPr>
    </w:p>
    <w:p w:rsidR="00541240" w:rsidRDefault="00541240" w:rsidP="0040486C">
      <w:pPr>
        <w:jc w:val="both"/>
      </w:pPr>
    </w:p>
    <w:p w:rsidR="0040486C" w:rsidRDefault="0040486C" w:rsidP="0040486C">
      <w:pPr>
        <w:jc w:val="both"/>
      </w:pPr>
    </w:p>
    <w:sectPr w:rsidR="004048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832BBE"/>
    <w:multiLevelType w:val="hybridMultilevel"/>
    <w:tmpl w:val="9CA634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94217C"/>
    <w:multiLevelType w:val="hybridMultilevel"/>
    <w:tmpl w:val="95D0E3E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F1D7F7C"/>
    <w:multiLevelType w:val="hybridMultilevel"/>
    <w:tmpl w:val="305823A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F5561A"/>
    <w:multiLevelType w:val="hybridMultilevel"/>
    <w:tmpl w:val="D8E44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B180D74"/>
    <w:multiLevelType w:val="hybridMultilevel"/>
    <w:tmpl w:val="A8B6C9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9C51787"/>
    <w:multiLevelType w:val="hybridMultilevel"/>
    <w:tmpl w:val="7966DF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C1F5952"/>
    <w:multiLevelType w:val="hybridMultilevel"/>
    <w:tmpl w:val="F61063E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FEC1C9F"/>
    <w:multiLevelType w:val="multilevel"/>
    <w:tmpl w:val="7F5ED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2A81E65"/>
    <w:multiLevelType w:val="hybridMultilevel"/>
    <w:tmpl w:val="57F6C9E0"/>
    <w:lvl w:ilvl="0" w:tplc="8A9E368E">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0B47359"/>
    <w:multiLevelType w:val="hybridMultilevel"/>
    <w:tmpl w:val="BE5C72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39F6404"/>
    <w:multiLevelType w:val="hybridMultilevel"/>
    <w:tmpl w:val="F7A65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4151E82"/>
    <w:multiLevelType w:val="hybridMultilevel"/>
    <w:tmpl w:val="4F2C9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65C7C55"/>
    <w:multiLevelType w:val="hybridMultilevel"/>
    <w:tmpl w:val="319CA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C5E5DD3"/>
    <w:multiLevelType w:val="hybridMultilevel"/>
    <w:tmpl w:val="7054C6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1E07D04"/>
    <w:multiLevelType w:val="hybridMultilevel"/>
    <w:tmpl w:val="C9DEFAAA"/>
    <w:lvl w:ilvl="0" w:tplc="61CC3670">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7"/>
  </w:num>
  <w:num w:numId="2">
    <w:abstractNumId w:val="9"/>
  </w:num>
  <w:num w:numId="3">
    <w:abstractNumId w:val="0"/>
  </w:num>
  <w:num w:numId="4">
    <w:abstractNumId w:val="12"/>
  </w:num>
  <w:num w:numId="5">
    <w:abstractNumId w:val="5"/>
  </w:num>
  <w:num w:numId="6">
    <w:abstractNumId w:val="14"/>
  </w:num>
  <w:num w:numId="7">
    <w:abstractNumId w:val="11"/>
  </w:num>
  <w:num w:numId="8">
    <w:abstractNumId w:val="3"/>
  </w:num>
  <w:num w:numId="9">
    <w:abstractNumId w:val="1"/>
  </w:num>
  <w:num w:numId="10">
    <w:abstractNumId w:val="4"/>
  </w:num>
  <w:num w:numId="11">
    <w:abstractNumId w:val="6"/>
  </w:num>
  <w:num w:numId="12">
    <w:abstractNumId w:val="10"/>
  </w:num>
  <w:num w:numId="13">
    <w:abstractNumId w:val="2"/>
  </w:num>
  <w:num w:numId="14">
    <w:abstractNumId w:val="13"/>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5862"/>
    <w:rsid w:val="00022FD3"/>
    <w:rsid w:val="000F76DA"/>
    <w:rsid w:val="0018253A"/>
    <w:rsid w:val="00257DA2"/>
    <w:rsid w:val="0040486C"/>
    <w:rsid w:val="004E4ECA"/>
    <w:rsid w:val="004E6C9F"/>
    <w:rsid w:val="00541240"/>
    <w:rsid w:val="0056677C"/>
    <w:rsid w:val="005F705C"/>
    <w:rsid w:val="00645E68"/>
    <w:rsid w:val="00665552"/>
    <w:rsid w:val="006C2640"/>
    <w:rsid w:val="006E12D2"/>
    <w:rsid w:val="00705911"/>
    <w:rsid w:val="00772AD4"/>
    <w:rsid w:val="008C1620"/>
    <w:rsid w:val="00B3477B"/>
    <w:rsid w:val="00C7432B"/>
    <w:rsid w:val="00CF5862"/>
    <w:rsid w:val="00DB4E4E"/>
    <w:rsid w:val="00DD4BAF"/>
    <w:rsid w:val="00DE5B0F"/>
    <w:rsid w:val="00E22D91"/>
    <w:rsid w:val="00F263D2"/>
    <w:rsid w:val="00FA47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C52FFE-6AA0-4554-AC1A-169C392B86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263D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22F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784189">
      <w:bodyDiv w:val="1"/>
      <w:marLeft w:val="0"/>
      <w:marRight w:val="0"/>
      <w:marTop w:val="0"/>
      <w:marBottom w:val="0"/>
      <w:divBdr>
        <w:top w:val="none" w:sz="0" w:space="0" w:color="auto"/>
        <w:left w:val="none" w:sz="0" w:space="0" w:color="auto"/>
        <w:bottom w:val="none" w:sz="0" w:space="0" w:color="auto"/>
        <w:right w:val="none" w:sz="0" w:space="0" w:color="auto"/>
      </w:divBdr>
    </w:div>
    <w:div w:id="559099403">
      <w:bodyDiv w:val="1"/>
      <w:marLeft w:val="0"/>
      <w:marRight w:val="0"/>
      <w:marTop w:val="0"/>
      <w:marBottom w:val="0"/>
      <w:divBdr>
        <w:top w:val="none" w:sz="0" w:space="0" w:color="auto"/>
        <w:left w:val="none" w:sz="0" w:space="0" w:color="auto"/>
        <w:bottom w:val="none" w:sz="0" w:space="0" w:color="auto"/>
        <w:right w:val="none" w:sz="0" w:space="0" w:color="auto"/>
      </w:divBdr>
    </w:div>
    <w:div w:id="838887640">
      <w:bodyDiv w:val="1"/>
      <w:marLeft w:val="0"/>
      <w:marRight w:val="0"/>
      <w:marTop w:val="0"/>
      <w:marBottom w:val="0"/>
      <w:divBdr>
        <w:top w:val="none" w:sz="0" w:space="0" w:color="auto"/>
        <w:left w:val="none" w:sz="0" w:space="0" w:color="auto"/>
        <w:bottom w:val="none" w:sz="0" w:space="0" w:color="auto"/>
        <w:right w:val="none" w:sz="0" w:space="0" w:color="auto"/>
      </w:divBdr>
    </w:div>
    <w:div w:id="1280070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styles" Target="styles.xml"/><Relationship Id="rId7" Type="http://schemas.openxmlformats.org/officeDocument/2006/relationships/chart" Target="charts/chart1.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chart" Target="charts/chart4.xml"/><Relationship Id="rId4" Type="http://schemas.openxmlformats.org/officeDocument/2006/relationships/settings" Target="settings.xml"/><Relationship Id="rId9" Type="http://schemas.openxmlformats.org/officeDocument/2006/relationships/chart" Target="charts/chart3.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Worksheet4.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Sheet1!$B$1</c:f>
              <c:strCache>
                <c:ptCount val="1"/>
                <c:pt idx="0">
                  <c:v>No. of companies</c:v>
                </c:pt>
              </c:strCache>
            </c:strRef>
          </c:tx>
          <c:invertIfNegative val="0"/>
          <c:cat>
            <c:strRef>
              <c:f>Sheet1!$A$2:$A$5</c:f>
              <c:strCache>
                <c:ptCount val="4"/>
                <c:pt idx="0">
                  <c:v>Multinational companies</c:v>
                </c:pt>
                <c:pt idx="1">
                  <c:v>Public limited companies</c:v>
                </c:pt>
                <c:pt idx="2">
                  <c:v>Private companies</c:v>
                </c:pt>
                <c:pt idx="3">
                  <c:v>Limited liability Partnership</c:v>
                </c:pt>
              </c:strCache>
            </c:strRef>
          </c:cat>
          <c:val>
            <c:numRef>
              <c:f>Sheet1!$B$2:$B$5</c:f>
              <c:numCache>
                <c:formatCode>General</c:formatCode>
                <c:ptCount val="4"/>
                <c:pt idx="0">
                  <c:v>48</c:v>
                </c:pt>
                <c:pt idx="1">
                  <c:v>0</c:v>
                </c:pt>
                <c:pt idx="2">
                  <c:v>97</c:v>
                </c:pt>
                <c:pt idx="3">
                  <c:v>0</c:v>
                </c:pt>
              </c:numCache>
            </c:numRef>
          </c:val>
        </c:ser>
        <c:ser>
          <c:idx val="1"/>
          <c:order val="1"/>
          <c:tx>
            <c:strRef>
              <c:f>Sheet1!$C$1</c:f>
              <c:strCache>
                <c:ptCount val="1"/>
                <c:pt idx="0">
                  <c:v>No of students placed</c:v>
                </c:pt>
              </c:strCache>
            </c:strRef>
          </c:tx>
          <c:invertIfNegative val="0"/>
          <c:cat>
            <c:strRef>
              <c:f>Sheet1!$A$2:$A$5</c:f>
              <c:strCache>
                <c:ptCount val="4"/>
                <c:pt idx="0">
                  <c:v>Multinational companies</c:v>
                </c:pt>
                <c:pt idx="1">
                  <c:v>Public limited companies</c:v>
                </c:pt>
                <c:pt idx="2">
                  <c:v>Private companies</c:v>
                </c:pt>
                <c:pt idx="3">
                  <c:v>Limited liability Partnership</c:v>
                </c:pt>
              </c:strCache>
            </c:strRef>
          </c:cat>
          <c:val>
            <c:numRef>
              <c:f>Sheet1!$C$2:$C$5</c:f>
              <c:numCache>
                <c:formatCode>General</c:formatCode>
                <c:ptCount val="4"/>
                <c:pt idx="0">
                  <c:v>37</c:v>
                </c:pt>
                <c:pt idx="1">
                  <c:v>0</c:v>
                </c:pt>
                <c:pt idx="2">
                  <c:v>44</c:v>
                </c:pt>
                <c:pt idx="3">
                  <c:v>0</c:v>
                </c:pt>
              </c:numCache>
            </c:numRef>
          </c:val>
        </c:ser>
        <c:dLbls>
          <c:showLegendKey val="0"/>
          <c:showVal val="0"/>
          <c:showCatName val="0"/>
          <c:showSerName val="0"/>
          <c:showPercent val="0"/>
          <c:showBubbleSize val="0"/>
        </c:dLbls>
        <c:gapWidth val="150"/>
        <c:axId val="412543928"/>
        <c:axId val="412545888"/>
      </c:barChart>
      <c:catAx>
        <c:axId val="412543928"/>
        <c:scaling>
          <c:orientation val="minMax"/>
        </c:scaling>
        <c:delete val="0"/>
        <c:axPos val="b"/>
        <c:numFmt formatCode="General" sourceLinked="0"/>
        <c:majorTickMark val="out"/>
        <c:minorTickMark val="none"/>
        <c:tickLblPos val="nextTo"/>
        <c:crossAx val="412545888"/>
        <c:crosses val="autoZero"/>
        <c:auto val="1"/>
        <c:lblAlgn val="ctr"/>
        <c:lblOffset val="100"/>
        <c:noMultiLvlLbl val="0"/>
      </c:catAx>
      <c:valAx>
        <c:axId val="412545888"/>
        <c:scaling>
          <c:orientation val="minMax"/>
        </c:scaling>
        <c:delete val="0"/>
        <c:axPos val="l"/>
        <c:majorGridlines/>
        <c:numFmt formatCode="General" sourceLinked="1"/>
        <c:majorTickMark val="out"/>
        <c:minorTickMark val="none"/>
        <c:tickLblPos val="nextTo"/>
        <c:crossAx val="412543928"/>
        <c:crosses val="autoZero"/>
        <c:crossBetween val="between"/>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Sheet1!$B$1</c:f>
              <c:strCache>
                <c:ptCount val="1"/>
                <c:pt idx="0">
                  <c:v>No. of companies</c:v>
                </c:pt>
              </c:strCache>
            </c:strRef>
          </c:tx>
          <c:invertIfNegative val="0"/>
          <c:cat>
            <c:strRef>
              <c:f>Sheet1!$A$2:$A$10</c:f>
              <c:strCache>
                <c:ptCount val="9"/>
                <c:pt idx="0">
                  <c:v>Banking</c:v>
                </c:pt>
                <c:pt idx="1">
                  <c:v>Financial Services other than banking</c:v>
                </c:pt>
                <c:pt idx="2">
                  <c:v>Consulting</c:v>
                </c:pt>
                <c:pt idx="3">
                  <c:v>Pharma&amp; health care</c:v>
                </c:pt>
                <c:pt idx="4">
                  <c:v>It &amp; Telecom</c:v>
                </c:pt>
                <c:pt idx="5">
                  <c:v>Media</c:v>
                </c:pt>
                <c:pt idx="6">
                  <c:v>Insurance</c:v>
                </c:pt>
                <c:pt idx="7">
                  <c:v>FMCG</c:v>
                </c:pt>
                <c:pt idx="8">
                  <c:v>Others (Real Estate, Retail, Education, Manufacturing etc.)</c:v>
                </c:pt>
              </c:strCache>
            </c:strRef>
          </c:cat>
          <c:val>
            <c:numRef>
              <c:f>Sheet1!$B$2:$B$10</c:f>
              <c:numCache>
                <c:formatCode>General</c:formatCode>
                <c:ptCount val="9"/>
                <c:pt idx="0">
                  <c:v>11</c:v>
                </c:pt>
                <c:pt idx="1">
                  <c:v>16</c:v>
                </c:pt>
                <c:pt idx="2">
                  <c:v>22</c:v>
                </c:pt>
                <c:pt idx="3">
                  <c:v>6</c:v>
                </c:pt>
                <c:pt idx="4">
                  <c:v>8</c:v>
                </c:pt>
                <c:pt idx="5">
                  <c:v>11</c:v>
                </c:pt>
                <c:pt idx="6">
                  <c:v>9</c:v>
                </c:pt>
                <c:pt idx="7">
                  <c:v>13</c:v>
                </c:pt>
                <c:pt idx="8">
                  <c:v>49</c:v>
                </c:pt>
              </c:numCache>
            </c:numRef>
          </c:val>
        </c:ser>
        <c:ser>
          <c:idx val="1"/>
          <c:order val="1"/>
          <c:tx>
            <c:strRef>
              <c:f>Sheet1!$C$1</c:f>
              <c:strCache>
                <c:ptCount val="1"/>
                <c:pt idx="0">
                  <c:v>No of students placed</c:v>
                </c:pt>
              </c:strCache>
            </c:strRef>
          </c:tx>
          <c:invertIfNegative val="0"/>
          <c:cat>
            <c:strRef>
              <c:f>Sheet1!$A$2:$A$10</c:f>
              <c:strCache>
                <c:ptCount val="9"/>
                <c:pt idx="0">
                  <c:v>Banking</c:v>
                </c:pt>
                <c:pt idx="1">
                  <c:v>Financial Services other than banking</c:v>
                </c:pt>
                <c:pt idx="2">
                  <c:v>Consulting</c:v>
                </c:pt>
                <c:pt idx="3">
                  <c:v>Pharma&amp; health care</c:v>
                </c:pt>
                <c:pt idx="4">
                  <c:v>It &amp; Telecom</c:v>
                </c:pt>
                <c:pt idx="5">
                  <c:v>Media</c:v>
                </c:pt>
                <c:pt idx="6">
                  <c:v>Insurance</c:v>
                </c:pt>
                <c:pt idx="7">
                  <c:v>FMCG</c:v>
                </c:pt>
                <c:pt idx="8">
                  <c:v>Others (Real Estate, Retail, Education, Manufacturing etc.)</c:v>
                </c:pt>
              </c:strCache>
            </c:strRef>
          </c:cat>
          <c:val>
            <c:numRef>
              <c:f>Sheet1!$C$2:$C$10</c:f>
              <c:numCache>
                <c:formatCode>General</c:formatCode>
                <c:ptCount val="9"/>
                <c:pt idx="0">
                  <c:v>24</c:v>
                </c:pt>
                <c:pt idx="1">
                  <c:v>9</c:v>
                </c:pt>
                <c:pt idx="2">
                  <c:v>10</c:v>
                </c:pt>
                <c:pt idx="3">
                  <c:v>2</c:v>
                </c:pt>
                <c:pt idx="4">
                  <c:v>4</c:v>
                </c:pt>
                <c:pt idx="5">
                  <c:v>0</c:v>
                </c:pt>
                <c:pt idx="6">
                  <c:v>6</c:v>
                </c:pt>
                <c:pt idx="7">
                  <c:v>0</c:v>
                </c:pt>
                <c:pt idx="8">
                  <c:v>26</c:v>
                </c:pt>
              </c:numCache>
            </c:numRef>
          </c:val>
        </c:ser>
        <c:dLbls>
          <c:showLegendKey val="0"/>
          <c:showVal val="0"/>
          <c:showCatName val="0"/>
          <c:showSerName val="0"/>
          <c:showPercent val="0"/>
          <c:showBubbleSize val="0"/>
        </c:dLbls>
        <c:gapWidth val="150"/>
        <c:axId val="412546280"/>
        <c:axId val="412547064"/>
      </c:barChart>
      <c:catAx>
        <c:axId val="412546280"/>
        <c:scaling>
          <c:orientation val="minMax"/>
        </c:scaling>
        <c:delete val="0"/>
        <c:axPos val="b"/>
        <c:numFmt formatCode="General" sourceLinked="0"/>
        <c:majorTickMark val="out"/>
        <c:minorTickMark val="none"/>
        <c:tickLblPos val="nextTo"/>
        <c:crossAx val="412547064"/>
        <c:crosses val="autoZero"/>
        <c:auto val="1"/>
        <c:lblAlgn val="ctr"/>
        <c:lblOffset val="100"/>
        <c:noMultiLvlLbl val="0"/>
      </c:catAx>
      <c:valAx>
        <c:axId val="412547064"/>
        <c:scaling>
          <c:orientation val="minMax"/>
        </c:scaling>
        <c:delete val="0"/>
        <c:axPos val="l"/>
        <c:majorGridlines/>
        <c:numFmt formatCode="General" sourceLinked="1"/>
        <c:majorTickMark val="out"/>
        <c:minorTickMark val="none"/>
        <c:tickLblPos val="nextTo"/>
        <c:crossAx val="412546280"/>
        <c:crosses val="autoZero"/>
        <c:crossBetween val="between"/>
      </c:valAx>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barChart>
        <c:barDir val="col"/>
        <c:grouping val="clustered"/>
        <c:varyColors val="0"/>
        <c:ser>
          <c:idx val="0"/>
          <c:order val="0"/>
          <c:tx>
            <c:strRef>
              <c:f>Sheet1!$B$1</c:f>
              <c:strCache>
                <c:ptCount val="1"/>
                <c:pt idx="0">
                  <c:v>No. of Students</c:v>
                </c:pt>
              </c:strCache>
            </c:strRef>
          </c:tx>
          <c:invertIfNegative val="0"/>
          <c:cat>
            <c:strRef>
              <c:f>Sheet1!$A$2:$A$4</c:f>
              <c:strCache>
                <c:ptCount val="3"/>
                <c:pt idx="0">
                  <c:v>Rs. 4.0 -6.0 Lakhs</c:v>
                </c:pt>
                <c:pt idx="1">
                  <c:v>Rs. 3.0 – 4.0 Lakhs</c:v>
                </c:pt>
                <c:pt idx="2">
                  <c:v>Below 3.0 Lakhs</c:v>
                </c:pt>
              </c:strCache>
            </c:strRef>
          </c:cat>
          <c:val>
            <c:numRef>
              <c:f>Sheet1!$B$2:$B$4</c:f>
              <c:numCache>
                <c:formatCode>General</c:formatCode>
                <c:ptCount val="3"/>
                <c:pt idx="0">
                  <c:v>33</c:v>
                </c:pt>
                <c:pt idx="1">
                  <c:v>40</c:v>
                </c:pt>
                <c:pt idx="2">
                  <c:v>8</c:v>
                </c:pt>
              </c:numCache>
            </c:numRef>
          </c:val>
        </c:ser>
        <c:dLbls>
          <c:showLegendKey val="0"/>
          <c:showVal val="0"/>
          <c:showCatName val="0"/>
          <c:showSerName val="0"/>
          <c:showPercent val="0"/>
          <c:showBubbleSize val="0"/>
        </c:dLbls>
        <c:gapWidth val="150"/>
        <c:axId val="411320224"/>
        <c:axId val="411321400"/>
      </c:barChart>
      <c:catAx>
        <c:axId val="411320224"/>
        <c:scaling>
          <c:orientation val="minMax"/>
        </c:scaling>
        <c:delete val="0"/>
        <c:axPos val="b"/>
        <c:numFmt formatCode="General" sourceLinked="0"/>
        <c:majorTickMark val="out"/>
        <c:minorTickMark val="none"/>
        <c:tickLblPos val="nextTo"/>
        <c:crossAx val="411321400"/>
        <c:crosses val="autoZero"/>
        <c:auto val="1"/>
        <c:lblAlgn val="ctr"/>
        <c:lblOffset val="100"/>
        <c:noMultiLvlLbl val="0"/>
      </c:catAx>
      <c:valAx>
        <c:axId val="411321400"/>
        <c:scaling>
          <c:orientation val="minMax"/>
        </c:scaling>
        <c:delete val="0"/>
        <c:axPos val="l"/>
        <c:majorGridlines/>
        <c:numFmt formatCode="General" sourceLinked="1"/>
        <c:majorTickMark val="out"/>
        <c:minorTickMark val="none"/>
        <c:tickLblPos val="nextTo"/>
        <c:crossAx val="411320224"/>
        <c:crosses val="autoZero"/>
        <c:crossBetween val="between"/>
      </c:valAx>
      <c:spPr>
        <a:noFill/>
        <a:ln w="25400">
          <a:noFill/>
        </a:ln>
      </c:spPr>
    </c:plotArea>
    <c:legend>
      <c:legendPos val="r"/>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barChart>
        <c:barDir val="col"/>
        <c:grouping val="clustered"/>
        <c:varyColors val="0"/>
        <c:ser>
          <c:idx val="0"/>
          <c:order val="0"/>
          <c:tx>
            <c:strRef>
              <c:f>Sheet1!$B$1</c:f>
              <c:strCache>
                <c:ptCount val="1"/>
                <c:pt idx="0">
                  <c:v>Series 1</c:v>
                </c:pt>
              </c:strCache>
            </c:strRef>
          </c:tx>
          <c:invertIfNegative val="0"/>
          <c:cat>
            <c:strRef>
              <c:f>Sheet1!$A$2:$A$6</c:f>
              <c:strCache>
                <c:ptCount val="5"/>
                <c:pt idx="0">
                  <c:v>Multi-National Companies</c:v>
                </c:pt>
                <c:pt idx="1">
                  <c:v>Public Limited Companies</c:v>
                </c:pt>
                <c:pt idx="2">
                  <c:v>Private Companies</c:v>
                </c:pt>
                <c:pt idx="3">
                  <c:v>Limited Liability Partnership</c:v>
                </c:pt>
                <c:pt idx="4">
                  <c:v>Total no. of Students Placed</c:v>
                </c:pt>
              </c:strCache>
            </c:strRef>
          </c:cat>
          <c:val>
            <c:numRef>
              <c:f>Sheet1!$B$2:$B$6</c:f>
              <c:numCache>
                <c:formatCode>General</c:formatCode>
                <c:ptCount val="5"/>
                <c:pt idx="0">
                  <c:v>37</c:v>
                </c:pt>
                <c:pt idx="1">
                  <c:v>0</c:v>
                </c:pt>
                <c:pt idx="2">
                  <c:v>44</c:v>
                </c:pt>
                <c:pt idx="3">
                  <c:v>0</c:v>
                </c:pt>
                <c:pt idx="4">
                  <c:v>81</c:v>
                </c:pt>
              </c:numCache>
            </c:numRef>
          </c:val>
        </c:ser>
        <c:dLbls>
          <c:showLegendKey val="0"/>
          <c:showVal val="0"/>
          <c:showCatName val="0"/>
          <c:showSerName val="0"/>
          <c:showPercent val="0"/>
          <c:showBubbleSize val="0"/>
        </c:dLbls>
        <c:gapWidth val="150"/>
        <c:axId val="411318264"/>
        <c:axId val="411320616"/>
      </c:barChart>
      <c:catAx>
        <c:axId val="411318264"/>
        <c:scaling>
          <c:orientation val="minMax"/>
        </c:scaling>
        <c:delete val="0"/>
        <c:axPos val="b"/>
        <c:numFmt formatCode="General" sourceLinked="0"/>
        <c:majorTickMark val="out"/>
        <c:minorTickMark val="none"/>
        <c:tickLblPos val="nextTo"/>
        <c:crossAx val="411320616"/>
        <c:crosses val="autoZero"/>
        <c:auto val="1"/>
        <c:lblAlgn val="ctr"/>
        <c:lblOffset val="100"/>
        <c:noMultiLvlLbl val="0"/>
      </c:catAx>
      <c:valAx>
        <c:axId val="411320616"/>
        <c:scaling>
          <c:orientation val="minMax"/>
        </c:scaling>
        <c:delete val="0"/>
        <c:axPos val="l"/>
        <c:majorGridlines/>
        <c:numFmt formatCode="General" sourceLinked="1"/>
        <c:majorTickMark val="out"/>
        <c:minorTickMark val="none"/>
        <c:tickLblPos val="nextTo"/>
        <c:crossAx val="411318264"/>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ADBC97-CD73-4075-B897-B0DEDBA7C0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161</TotalTime>
  <Pages>9</Pages>
  <Words>1570</Words>
  <Characters>8951</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7</cp:revision>
  <dcterms:created xsi:type="dcterms:W3CDTF">2017-12-19T07:44:00Z</dcterms:created>
  <dcterms:modified xsi:type="dcterms:W3CDTF">2017-12-26T05:11:00Z</dcterms:modified>
</cp:coreProperties>
</file>