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b/>
          <w:bCs/>
          <w:color w:val="2E75B6"/>
          <w:spacing w:val="80"/>
          <w:sz w:val="28"/>
          <w:szCs w:val="28"/>
        </w:rPr>
        <w:t xml:space="preserve">PHASE 0 · APPENDIX A</w:t>
      </w:r>
    </w:p>
    <w:p>
      <w:pPr>
        <w:spacing w:after="100"/>
        <w:jc w:val="center"/>
      </w:pPr>
      <w:r>
        <w:rPr>
          <w:b/>
          <w:bCs/>
          <w:color w:val="1F3A5F"/>
          <w:sz w:val="52"/>
          <w:szCs w:val="52"/>
        </w:rPr>
        <w:t xml:space="preserve">Naming Convention &amp;</w:t>
      </w:r>
    </w:p>
    <w:p>
      <w:pPr>
        <w:spacing w:after="500"/>
        <w:jc w:val="center"/>
      </w:pPr>
      <w:r>
        <w:rPr>
          <w:b/>
          <w:bCs/>
          <w:color w:val="1F3A5F"/>
          <w:sz w:val="52"/>
          <w:szCs w:val="52"/>
        </w:rPr>
        <w:t xml:space="preserve">Demo Data Specification</w:t>
      </w:r>
    </w:p>
    <w:p>
      <w:pPr>
        <w:spacing w:after="120"/>
        <w:jc w:val="center"/>
      </w:pPr>
      <w:r>
        <w:rPr>
          <w:i/>
          <w:iCs/>
          <w:color w:val="606060"/>
          <w:sz w:val="28"/>
          <w:szCs w:val="28"/>
        </w:rPr>
        <w:t xml:space="preserve">Real Estate CRM — Indian Residential Developers</w:t>
      </w:r>
    </w:p>
    <w:p>
      <w:pPr>
        <w:spacing w:before="800"/>
      </w:pPr>
      <w:r>
        <w:t xml:space="preserve"/>
      </w:r>
    </w:p>
    <w:p>
      <w:pPr>
        <w:spacing w:after="40"/>
        <w:jc w:val="center"/>
      </w:pPr>
      <w:r>
        <w:rPr>
          <w:color w:val="606060"/>
          <w:sz w:val="22"/>
          <w:szCs w:val="22"/>
        </w:rPr>
        <w:t xml:space="preserve">Companion Document to Phase 0 Brief v1.0</w:t>
      </w:r>
    </w:p>
    <w:p>
      <w:pPr>
        <w:spacing w:after="40"/>
        <w:jc w:val="center"/>
      </w:pPr>
      <w:r>
        <w:rPr>
          <w:color w:val="606060"/>
          <w:sz w:val="22"/>
          <w:szCs w:val="22"/>
        </w:rPr>
        <w:t xml:space="preserve">Inherits Suryoday project conventions; adapted for SDO build</w:t>
      </w:r>
    </w:p>
    <w:p>
      <w:pPr>
        <w:spacing w:after="40"/>
        <w:jc w:val="center"/>
      </w:pPr>
      <w:r>
        <w:rPr>
          <w:color w:val="606060"/>
          <w:sz w:val="22"/>
          <w:szCs w:val="22"/>
        </w:rPr>
        <w:t xml:space="preserve">Version 1.0 — April 2026</w:t>
      </w:r>
    </w:p>
    <w:p>
      <w:r>
        <w:br w:type="page"/>
      </w:r>
    </w:p>
    <w:p>
      <w:pPr>
        <w:pStyle w:val="Heading1"/>
        <w:spacing w:after="180" w:before="360"/>
      </w:pPr>
      <w:r>
        <w:t xml:space="preserve">1. Purpose and Scope</w:t>
      </w:r>
    </w:p>
    <w:p>
      <w:pPr>
        <w:spacing w:after="120" w:line="300"/>
        <w:jc w:val="both"/>
      </w:pPr>
      <w:r>
        <w:rPr>
          <w:sz w:val="22"/>
          <w:szCs w:val="22"/>
        </w:rPr>
        <w:t xml:space="preserve">This appendix captures the full naming convention and demo data specification for the Real Estate CRM build. It is derived from your Suryoday project conventions, adapted for an Indian tier-1 developer with a multi-project portfolio and extended to cover residential + commercial inventory.</w:t>
      </w:r>
    </w:p>
    <w:p>
      <w:pPr>
        <w:spacing w:after="120" w:line="300"/>
        <w:jc w:val="both"/>
      </w:pPr>
      <w:r>
        <w:rPr>
          <w:sz w:val="22"/>
          <w:szCs w:val="22"/>
        </w:rPr>
        <w:t xml:space="preserve">Two outputs are bundled with this appendix: (a) this document, which codifies the convention and the design rationale; and (b) the companion workbook RE_CRM_Demo_Inventory_Master.xlsx, which contains 720 pre-coded inventory records (480 residential + 240 commercial), pricing components, payment plans, CP master, lead source taxonomy, and commission rate cards — ready for data-loader seeding into the SDO.</w:t>
      </w:r>
    </w:p>
    <w:p>
      <w:pPr>
        <w:spacing w:after="120" w:line="300"/>
        <w:jc w:val="both"/>
      </w:pPr>
      <w:r>
        <w:rPr>
          <w:sz w:val="22"/>
          <w:szCs w:val="22"/>
        </w:rPr>
        <w:t xml:space="preserve">Everything here must feel continuous with Suryoday so that switching to the SDO build is a change of venue, not a change of methodology.</w:t>
      </w:r>
    </w:p>
    <w:p>
      <w:pPr>
        <w:pStyle w:val="Heading2"/>
        <w:spacing w:after="140" w:before="280"/>
      </w:pPr>
      <w:r>
        <w:t xml:space="preserve">1.1 Confirmed answers carried forward</w:t>
      </w:r>
    </w:p>
    <w:p>
      <w:pPr>
        <w:pStyle w:val="ListParagraph"/>
        <w:numPr>
          <w:ilvl w:val="0"/>
          <w:numId w:val="2"/>
        </w:numPr>
        <w:spacing w:after="80" w:line="280"/>
      </w:pPr>
      <w:r>
        <w:rPr>
          <w:b/>
          <w:bCs/>
          <w:sz w:val="22"/>
          <w:szCs w:val="22"/>
        </w:rPr>
        <w:t xml:space="preserve">Agreement copy in MVP: </w:t>
      </w:r>
      <w:r>
        <w:rPr>
          <w:sz w:val="22"/>
          <w:szCs w:val="22"/>
        </w:rPr>
        <w:t xml:space="preserve">Yes — dummy agreement PDF template generated as part of E12. Adds ~1 day.</w:t>
      </w:r>
    </w:p>
    <w:p>
      <w:pPr>
        <w:pStyle w:val="ListParagraph"/>
        <w:numPr>
          <w:ilvl w:val="0"/>
          <w:numId w:val="2"/>
        </w:numPr>
        <w:spacing w:after="80" w:line="280"/>
      </w:pPr>
      <w:r>
        <w:rPr>
          <w:b/>
          <w:bCs/>
          <w:sz w:val="22"/>
          <w:szCs w:val="22"/>
        </w:rPr>
        <w:t xml:space="preserve">Lead source taxonomy: </w:t>
      </w:r>
      <w:r>
        <w:rPr>
          <w:sz w:val="22"/>
          <w:szCs w:val="22"/>
        </w:rPr>
        <w:t xml:space="preserve">Digital, Aggregator-99acres, Aggregator-MagicBricks, Aggregator-Housing, Meta-LeadAd, Google-LeadGen, CP, Walk-in, Referral, Other. Ten values, confirmed.</w:t>
      </w:r>
    </w:p>
    <w:p>
      <w:pPr>
        <w:pStyle w:val="ListParagraph"/>
        <w:numPr>
          <w:ilvl w:val="0"/>
          <w:numId w:val="2"/>
        </w:numPr>
        <w:spacing w:after="80" w:line="280"/>
      </w:pPr>
      <w:r>
        <w:rPr>
          <w:b/>
          <w:bCs/>
          <w:sz w:val="22"/>
          <w:szCs w:val="22"/>
        </w:rPr>
        <w:t xml:space="preserve">CP tiering: </w:t>
      </w:r>
      <w:r>
        <w:rPr>
          <w:sz w:val="22"/>
          <w:szCs w:val="22"/>
        </w:rPr>
        <w:t xml:space="preserve">Three-tier — Standard, Preferred, Platinum.</w:t>
      </w:r>
    </w:p>
    <w:p>
      <w:pPr>
        <w:pStyle w:val="ListParagraph"/>
        <w:numPr>
          <w:ilvl w:val="0"/>
          <w:numId w:val="2"/>
        </w:numPr>
        <w:spacing w:after="80" w:line="280"/>
      </w:pPr>
      <w:r>
        <w:rPr>
          <w:b/>
          <w:bCs/>
          <w:sz w:val="22"/>
          <w:szCs w:val="22"/>
        </w:rPr>
        <w:t xml:space="preserve">Concession approval: </w:t>
      </w:r>
      <w:r>
        <w:rPr>
          <w:sz w:val="22"/>
          <w:szCs w:val="22"/>
        </w:rPr>
        <w:t xml:space="preserve">Two-level — PSM approves up to threshold, Sales Head approves above. No RM-level auto-approve.</w:t>
      </w:r>
    </w:p>
    <w:p>
      <w:pPr>
        <w:pStyle w:val="ListParagraph"/>
        <w:numPr>
          <w:ilvl w:val="0"/>
          <w:numId w:val="2"/>
        </w:numPr>
        <w:spacing w:after="80" w:line="280"/>
      </w:pPr>
      <w:r>
        <w:rPr>
          <w:b/>
          <w:bCs/>
          <w:sz w:val="22"/>
          <w:szCs w:val="22"/>
        </w:rPr>
        <w:t xml:space="preserve">Demo scenario: </w:t>
      </w:r>
      <w:r>
        <w:rPr>
          <w:sz w:val="22"/>
          <w:szCs w:val="22"/>
        </w:rPr>
        <w:t xml:space="preserve">One fictional developer, 10 residential societies (3 towers × 4 floors × 4 units each = 48 units/project; 480 total) and 2 commercial projects (2 blocks × 3 floors × 20 shops each = 120 units/project; 240 total).</w:t>
      </w:r>
    </w:p>
    <w:p>
      <w:pPr>
        <w:pStyle w:val="ListParagraph"/>
        <w:numPr>
          <w:ilvl w:val="0"/>
          <w:numId w:val="2"/>
        </w:numPr>
        <w:spacing w:after="80" w:line="280"/>
      </w:pPr>
      <w:r>
        <w:rPr>
          <w:b/>
          <w:bCs/>
          <w:sz w:val="22"/>
          <w:szCs w:val="22"/>
        </w:rPr>
        <w:t xml:space="preserve">Commercial modelling: </w:t>
      </w:r>
      <w:r>
        <w:rPr>
          <w:sz w:val="22"/>
          <w:szCs w:val="22"/>
        </w:rPr>
        <w:t xml:space="preserve">Same Project/Tower/Unit hierarchy re-used, with Project_Type__c = Commercial and Unit_Type_Class__c = Shop. Outright sale only — no lease lifecycle.</w:t>
      </w:r>
    </w:p>
    <w:p>
      <w:pPr>
        <w:pStyle w:val="Heading1"/>
        <w:spacing w:after="180" w:before="360"/>
      </w:pPr>
      <w:r>
        <w:t xml:space="preserve">2. Naming Design Principles</w:t>
      </w:r>
    </w:p>
    <w:p>
      <w:pPr>
        <w:spacing w:after="120" w:line="300"/>
        <w:jc w:val="both"/>
      </w:pPr>
      <w:r>
        <w:rPr>
          <w:sz w:val="22"/>
          <w:szCs w:val="22"/>
        </w:rPr>
        <w:t xml:space="preserve">Four principles govern every ID format in this document.</w:t>
      </w:r>
    </w:p>
    <w:p>
      <w:pPr>
        <w:pStyle w:val="ListParagraph"/>
        <w:numPr>
          <w:ilvl w:val="0"/>
          <w:numId w:val="2"/>
        </w:numPr>
        <w:spacing w:after="80" w:line="280"/>
      </w:pPr>
      <w:r>
        <w:rPr>
          <w:b/>
          <w:bCs/>
          <w:sz w:val="22"/>
          <w:szCs w:val="22"/>
        </w:rPr>
        <w:t xml:space="preserve">Self-describing. </w:t>
      </w:r>
      <w:r>
        <w:rPr>
          <w:sz w:val="22"/>
          <w:szCs w:val="22"/>
        </w:rPr>
        <w:t xml:space="preserve">A code read on its own should tell you what it identifies. PRK-T01-F03-U002 is unambiguously Park Residences, Tower 1, Floor 3, Unit 2 — no lookup required.</w:t>
      </w:r>
    </w:p>
    <w:p>
      <w:pPr>
        <w:pStyle w:val="ListParagraph"/>
        <w:numPr>
          <w:ilvl w:val="0"/>
          <w:numId w:val="2"/>
        </w:numPr>
        <w:spacing w:after="80" w:line="280"/>
      </w:pPr>
      <w:r>
        <w:rPr>
          <w:b/>
          <w:bCs/>
          <w:sz w:val="22"/>
          <w:szCs w:val="22"/>
        </w:rPr>
        <w:t xml:space="preserve">Sortable. </w:t>
      </w:r>
      <w:r>
        <w:rPr>
          <w:sz w:val="22"/>
          <w:szCs w:val="22"/>
        </w:rPr>
        <w:t xml:space="preserve">Padded numeric segments (T01 not T1, F03 not F3) ensure natural string sorts match numeric intent. Tower 10 sorts after Tower 09, not between Tower 1 and Tower 2.</w:t>
      </w:r>
    </w:p>
    <w:p>
      <w:pPr>
        <w:pStyle w:val="ListParagraph"/>
        <w:numPr>
          <w:ilvl w:val="0"/>
          <w:numId w:val="2"/>
        </w:numPr>
        <w:spacing w:after="80" w:line="280"/>
      </w:pPr>
      <w:r>
        <w:rPr>
          <w:b/>
          <w:bCs/>
          <w:sz w:val="22"/>
          <w:szCs w:val="22"/>
        </w:rPr>
        <w:t xml:space="preserve">Unambiguous across the portfolio. </w:t>
      </w:r>
      <w:r>
        <w:rPr>
          <w:sz w:val="22"/>
          <w:szCs w:val="22"/>
        </w:rPr>
        <w:t xml:space="preserve">No two entities share an ID. Unit codes include project and tower so the same Unit 147 can exist in multiple projects without collision.</w:t>
      </w:r>
    </w:p>
    <w:p>
      <w:pPr>
        <w:pStyle w:val="ListParagraph"/>
        <w:numPr>
          <w:ilvl w:val="0"/>
          <w:numId w:val="2"/>
        </w:numPr>
        <w:spacing w:after="80" w:line="280"/>
      </w:pPr>
      <w:r>
        <w:rPr>
          <w:b/>
          <w:bCs/>
          <w:sz w:val="22"/>
          <w:szCs w:val="22"/>
        </w:rPr>
        <w:t xml:space="preserve">Year-scoped for transactions. </w:t>
      </w:r>
      <w:r>
        <w:rPr>
          <w:sz w:val="22"/>
          <w:szCs w:val="22"/>
        </w:rPr>
        <w:t xml:space="preserve">Transactional IDs (Lead, Booking, Receipt, Commission Payout) include the fiscal year so resets, reporting, and compliance scans are straightforward.</w:t>
      </w:r>
    </w:p>
    <w:p>
      <w:pPr>
        <w:pStyle w:val="Heading1"/>
        <w:spacing w:after="180" w:before="360"/>
      </w:pPr>
      <w:r>
        <w:t xml:space="preserve">3. Inventory Codes</w:t>
      </w:r>
    </w:p>
    <w:p>
      <w:pPr>
        <w:spacing w:after="120" w:line="300"/>
        <w:jc w:val="both"/>
      </w:pPr>
      <w:r>
        <w:rPr>
          <w:sz w:val="22"/>
          <w:szCs w:val="22"/>
        </w:rPr>
        <w:t xml:space="preserve">Inventory codes are deterministic and manually constructed (or derived via formula from parent fields). They are not auto-numbered — they are meaningful identifiers.</w:t>
      </w:r>
    </w:p>
    <w:p>
      <w:pPr>
        <w:pStyle w:val="Heading2"/>
        <w:spacing w:after="140" w:before="280"/>
      </w:pPr>
      <w:r>
        <w:t xml:space="preserve">3.1 Project code</w:t>
      </w:r>
    </w:p>
    <w:p>
      <w:pPr>
        <w:spacing w:after="120" w:line="300"/>
        <w:jc w:val="both"/>
      </w:pPr>
      <w:r>
        <w:rPr>
          <w:sz w:val="22"/>
          <w:szCs w:val="22"/>
        </w:rPr>
        <w:t xml:space="preserve">Format: </w:t>
      </w:r>
      <w:r>
        <w:rPr>
          <w:rFonts w:ascii="Consolas" w:cs="Consolas" w:eastAsia="Consolas" w:hAnsi="Consolas"/>
          <w:sz w:val="21"/>
          <w:szCs w:val="21"/>
        </w:rPr>
        <w:t xml:space="preserve">{3-LETTER CODE}</w:t>
      </w:r>
      <w:r>
        <w:rPr>
          <w:sz w:val="22"/>
          <w:szCs w:val="22"/>
        </w:rPr>
        <w:t xml:space="preserve">   · Example: </w:t>
      </w:r>
      <w:r>
        <w:rPr>
          <w:rFonts w:ascii="Consolas" w:cs="Consolas" w:eastAsia="Consolas" w:hAnsi="Consolas"/>
          <w:sz w:val="21"/>
          <w:szCs w:val="21"/>
        </w:rPr>
        <w:t xml:space="preserve">PRK</w:t>
      </w:r>
      <w:r>
        <w:rPr>
          <w:sz w:val="22"/>
          <w:szCs w:val="22"/>
        </w:rPr>
        <w:t xml:space="preserve"> (Park Residences)</w:t>
      </w:r>
    </w:p>
    <w:p>
      <w:pPr>
        <w:spacing w:after="120" w:line="300"/>
        <w:jc w:val="both"/>
      </w:pPr>
      <w:r>
        <w:rPr>
          <w:sz w:val="22"/>
          <w:szCs w:val="22"/>
        </w:rPr>
        <w:t xml:space="preserve">A three-letter mnemonic derived from the project name. Must be unique across the portfolio. Acts as the root prefix for all child inventory codes and for project-scoped transactional IDs (Booking, Demand, etc.).</w:t>
      </w:r>
    </w:p>
    <w:p>
      <w:pPr>
        <w:pStyle w:val="Heading2"/>
        <w:spacing w:after="140" w:before="280"/>
      </w:pPr>
      <w:r>
        <w:t xml:space="preserve">3.2 Tower / Block code</w:t>
      </w:r>
    </w:p>
    <w:p>
      <w:pPr>
        <w:spacing w:after="120" w:line="300"/>
        <w:jc w:val="both"/>
      </w:pPr>
      <w:r>
        <w:rPr>
          <w:sz w:val="22"/>
          <w:szCs w:val="22"/>
        </w:rPr>
        <w:t xml:space="preserve">Format (residential): </w:t>
      </w:r>
      <w:r>
        <w:rPr>
          <w:rFonts w:ascii="Consolas" w:cs="Consolas" w:eastAsia="Consolas" w:hAnsi="Consolas"/>
          <w:sz w:val="21"/>
          <w:szCs w:val="21"/>
        </w:rPr>
        <w:t xml:space="preserve">{PROJ}-T{nn}</w:t>
      </w:r>
      <w:r>
        <w:rPr>
          <w:sz w:val="22"/>
          <w:szCs w:val="22"/>
        </w:rPr>
        <w:t xml:space="preserve">   · Example: </w:t>
      </w:r>
      <w:r>
        <w:rPr>
          <w:rFonts w:ascii="Consolas" w:cs="Consolas" w:eastAsia="Consolas" w:hAnsi="Consolas"/>
          <w:sz w:val="21"/>
          <w:szCs w:val="21"/>
        </w:rPr>
        <w:t xml:space="preserve">PRK-T01</w:t>
      </w:r>
    </w:p>
    <w:p>
      <w:pPr>
        <w:spacing w:after="120" w:line="300"/>
        <w:jc w:val="both"/>
      </w:pPr>
      <w:r>
        <w:rPr>
          <w:sz w:val="22"/>
          <w:szCs w:val="22"/>
        </w:rPr>
        <w:t xml:space="preserve">Format (commercial): </w:t>
      </w:r>
      <w:r>
        <w:rPr>
          <w:rFonts w:ascii="Consolas" w:cs="Consolas" w:eastAsia="Consolas" w:hAnsi="Consolas"/>
          <w:sz w:val="21"/>
          <w:szCs w:val="21"/>
        </w:rPr>
        <w:t xml:space="preserve">{PROJ}-B{nn}</w:t>
      </w:r>
      <w:r>
        <w:rPr>
          <w:sz w:val="22"/>
          <w:szCs w:val="22"/>
        </w:rPr>
        <w:t xml:space="preserve">   · Example: </w:t>
      </w:r>
      <w:r>
        <w:rPr>
          <w:rFonts w:ascii="Consolas" w:cs="Consolas" w:eastAsia="Consolas" w:hAnsi="Consolas"/>
          <w:sz w:val="21"/>
          <w:szCs w:val="21"/>
        </w:rPr>
        <w:t xml:space="preserve">GAL-B01</w:t>
      </w:r>
    </w:p>
    <w:p>
      <w:pPr>
        <w:spacing w:after="120" w:line="300"/>
        <w:jc w:val="both"/>
      </w:pPr>
      <w:r>
        <w:rPr>
          <w:sz w:val="22"/>
          <w:szCs w:val="22"/>
        </w:rPr>
        <w:t xml:space="preserve">Tower number is always 2-digit padded. The letter distinguishes Tower (residential) from Block (commercial). This is the single visible divergence between residential and commercial naming.</w:t>
      </w:r>
    </w:p>
    <w:p>
      <w:pPr>
        <w:pStyle w:val="Heading2"/>
        <w:spacing w:after="140" w:before="280"/>
      </w:pPr>
      <w:r>
        <w:t xml:space="preserve">3.3 Floor code</w:t>
      </w:r>
    </w:p>
    <w:p>
      <w:pPr>
        <w:spacing w:after="120" w:line="300"/>
        <w:jc w:val="both"/>
      </w:pPr>
      <w:r>
        <w:rPr>
          <w:sz w:val="22"/>
          <w:szCs w:val="22"/>
        </w:rPr>
        <w:t xml:space="preserve">Format: </w:t>
      </w:r>
      <w:r>
        <w:rPr>
          <w:rFonts w:ascii="Consolas" w:cs="Consolas" w:eastAsia="Consolas" w:hAnsi="Consolas"/>
          <w:sz w:val="21"/>
          <w:szCs w:val="21"/>
        </w:rPr>
        <w:t xml:space="preserve">{PROJ}-T{nn}-F{nn}</w:t>
      </w:r>
      <w:r>
        <w:rPr>
          <w:sz w:val="22"/>
          <w:szCs w:val="22"/>
        </w:rPr>
        <w:t xml:space="preserve">   · Example: </w:t>
      </w:r>
      <w:r>
        <w:rPr>
          <w:rFonts w:ascii="Consolas" w:cs="Consolas" w:eastAsia="Consolas" w:hAnsi="Consolas"/>
          <w:sz w:val="21"/>
          <w:szCs w:val="21"/>
        </w:rPr>
        <w:t xml:space="preserve">PRK-T01-F03</w:t>
      </w:r>
    </w:p>
    <w:p>
      <w:pPr>
        <w:spacing w:after="120" w:line="300"/>
        <w:jc w:val="both"/>
      </w:pPr>
      <w:r>
        <w:rPr>
          <w:sz w:val="22"/>
          <w:szCs w:val="22"/>
        </w:rPr>
        <w:t xml:space="preserve">Floor number is 2-digit padded. Applies identically to residential and commercial (F for floor in both).</w:t>
      </w:r>
    </w:p>
    <w:p>
      <w:pPr>
        <w:pStyle w:val="Heading2"/>
        <w:spacing w:after="140" w:before="280"/>
      </w:pPr>
      <w:r>
        <w:t xml:space="preserve">3.4 Unit code</w:t>
      </w:r>
    </w:p>
    <w:p>
      <w:pPr>
        <w:spacing w:after="120" w:line="300"/>
        <w:jc w:val="both"/>
      </w:pPr>
      <w:r>
        <w:rPr>
          <w:sz w:val="22"/>
          <w:szCs w:val="22"/>
        </w:rPr>
        <w:t xml:space="preserve">Format (residential): </w:t>
      </w:r>
      <w:r>
        <w:rPr>
          <w:rFonts w:ascii="Consolas" w:cs="Consolas" w:eastAsia="Consolas" w:hAnsi="Consolas"/>
          <w:sz w:val="21"/>
          <w:szCs w:val="21"/>
        </w:rPr>
        <w:t xml:space="preserve">{PROJ}-T{nn}-F{nn}-U{nnn}</w:t>
      </w:r>
      <w:r>
        <w:rPr>
          <w:sz w:val="22"/>
          <w:szCs w:val="22"/>
        </w:rPr>
        <w:t xml:space="preserve">   · Example: </w:t>
      </w:r>
      <w:r>
        <w:rPr>
          <w:rFonts w:ascii="Consolas" w:cs="Consolas" w:eastAsia="Consolas" w:hAnsi="Consolas"/>
          <w:sz w:val="21"/>
          <w:szCs w:val="21"/>
        </w:rPr>
        <w:t xml:space="preserve">PRK-T01-F03-U002</w:t>
      </w:r>
    </w:p>
    <w:p>
      <w:pPr>
        <w:spacing w:after="120" w:line="300"/>
        <w:jc w:val="both"/>
      </w:pPr>
      <w:r>
        <w:rPr>
          <w:sz w:val="22"/>
          <w:szCs w:val="22"/>
        </w:rPr>
        <w:t xml:space="preserve">Format (commercial shop): </w:t>
      </w:r>
      <w:r>
        <w:rPr>
          <w:rFonts w:ascii="Consolas" w:cs="Consolas" w:eastAsia="Consolas" w:hAnsi="Consolas"/>
          <w:sz w:val="21"/>
          <w:szCs w:val="21"/>
        </w:rPr>
        <w:t xml:space="preserve">{PROJ}-B{nn}-F{nn}-S{nnn}</w:t>
      </w:r>
      <w:r>
        <w:rPr>
          <w:sz w:val="22"/>
          <w:szCs w:val="22"/>
        </w:rPr>
        <w:t xml:space="preserve">   · Example: </w:t>
      </w:r>
      <w:r>
        <w:rPr>
          <w:rFonts w:ascii="Consolas" w:cs="Consolas" w:eastAsia="Consolas" w:hAnsi="Consolas"/>
          <w:sz w:val="21"/>
          <w:szCs w:val="21"/>
        </w:rPr>
        <w:t xml:space="preserve">GAL-B01-F02-S015</w:t>
      </w:r>
    </w:p>
    <w:p>
      <w:pPr>
        <w:spacing w:after="120" w:line="300"/>
        <w:jc w:val="both"/>
      </w:pPr>
      <w:r>
        <w:rPr>
          <w:sz w:val="22"/>
          <w:szCs w:val="22"/>
        </w:rPr>
        <w:t xml:space="preserve">Unit (residential) or Shop (commercial) number is 3-digit padded. Unit numbers start at 001 per floor and increment — so 4 units per residential floor are U001, U002, U003, U004; 20 shops per commercial floor are S001 through S020.</w:t>
      </w:r>
    </w:p>
    <w:p>
      <w:pPr>
        <w:pStyle w:val="Heading2"/>
        <w:spacing w:after="140" w:before="280"/>
      </w:pPr>
      <w:r>
        <w:t xml:space="preserve">3.5 Implementation note</w:t>
      </w:r>
    </w:p>
    <w:p>
      <w:pPr>
        <w:spacing w:after="120" w:line="300"/>
        <w:jc w:val="both"/>
      </w:pPr>
      <w:r>
        <w:rPr>
          <w:sz w:val="22"/>
          <w:szCs w:val="22"/>
        </w:rPr>
        <w:t xml:space="preserve">Unit_Code__c on the Unit__c object is a formula field, not a writable text field, derived from Tower_Code__c, Floor__c, and Unit_Number__c (or Shop_Number__c for commercial). This prevents any manual drift from the convention. A validation rule enforces Floor__c is 1–nn and Unit_Number__c is 1–00n so the padding stays within expected bounds.</w:t>
      </w:r>
    </w:p>
    <w:p>
      <w:pPr>
        <w:pStyle w:val="Heading2"/>
        <w:spacing w:after="140" w:before="280"/>
      </w:pPr>
      <w:r>
        <w:t xml:space="preserve">3.6 Full portfolio project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800"/>
        <w:gridCol w:w="2426"/>
      </w:tblGrid>
      <w:tr>
        <w:trPr>
          <w:tblHeader/>
        </w:trP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Code</w:t>
            </w:r>
          </w:p>
        </w:tc>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Project Name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Type</w:t>
            </w:r>
          </w:p>
        </w:tc>
        <w:tc>
          <w:tcPr>
            <w:tcW w:type="dxa" w:w="24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Inventory Count</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PRK</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Park Residences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 (3×4×4)</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SPL</w:t>
            </w:r>
          </w:p>
        </w:tc>
        <w:tc>
          <w:tcPr>
            <w:tcW w:type="dxa" w:w="3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Splendora</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BEL</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Bellissimo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GRN</w:t>
            </w:r>
          </w:p>
        </w:tc>
        <w:tc>
          <w:tcPr>
            <w:tcW w:type="dxa" w:w="3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Green Meadows</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HRZ</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Horizon Heights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ELY</w:t>
            </w:r>
          </w:p>
        </w:tc>
        <w:tc>
          <w:tcPr>
            <w:tcW w:type="dxa" w:w="3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Elysium</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AUR</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Aurelia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SRN</w:t>
            </w:r>
          </w:p>
        </w:tc>
        <w:tc>
          <w:tcPr>
            <w:tcW w:type="dxa" w:w="3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Serenity Gardens</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CSM</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Cosmos Enclave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MRD</w:t>
            </w:r>
          </w:p>
        </w:tc>
        <w:tc>
          <w:tcPr>
            <w:tcW w:type="dxa" w:w="3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Meridian Towers</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Residential</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GAL</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Galleria Central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Commercial</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120 (2×3×20)</w:t>
            </w:r>
          </w:p>
        </w:tc>
      </w:tr>
      <w:tr>
        <w:tc>
          <w:tcPr>
            <w:tcW w:type="dxa" w:w="1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NXS</w:t>
            </w:r>
          </w:p>
        </w:tc>
        <w:tc>
          <w:tcPr>
            <w:tcW w:type="dxa" w:w="3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Nexus Corporate Park</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Commercial</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120</w:t>
            </w:r>
          </w:p>
        </w:tc>
      </w:tr>
    </w:tbl>
    <w:p>
      <w:r>
        <w:t xml:space="preserve"/>
      </w:r>
    </w:p>
    <w:p>
      <w:pPr>
        <w:spacing w:after="120" w:line="300"/>
        <w:jc w:val="both"/>
      </w:pPr>
      <w:r>
        <w:rPr>
          <w:sz w:val="22"/>
          <w:szCs w:val="22"/>
        </w:rPr>
        <w:t xml:space="preserve">Total: 720 inventory records — 480 residential units + 240 commercial shops. Full master is in the companion workbook, sheet Projects.</w:t>
      </w:r>
    </w:p>
    <w:p>
      <w:pPr>
        <w:pStyle w:val="Heading1"/>
        <w:spacing w:after="180" w:before="360"/>
      </w:pPr>
      <w:r>
        <w:t xml:space="preserve">4. Transactional Codes</w:t>
      </w:r>
    </w:p>
    <w:p>
      <w:pPr>
        <w:spacing w:after="120" w:line="300"/>
        <w:jc w:val="both"/>
      </w:pPr>
      <w:r>
        <w:rPr>
          <w:sz w:val="22"/>
          <w:szCs w:val="22"/>
        </w:rPr>
        <w:t xml:space="preserve">Transactional codes are auto-generated and follow three patterns: year-scoped (Lead, Opportunity, Receipt, Site Visit, Concession Request), project-and-year-scoped (Booking), and parent-child sequential (Demand, Commission Ledger, Agreement, Possession).</w:t>
      </w:r>
    </w:p>
    <w:p>
      <w:pPr>
        <w:pStyle w:val="Heading2"/>
        <w:spacing w:after="140" w:before="280"/>
      </w:pPr>
      <w:r>
        <w:t xml:space="preserve">4.1 Year-scoped sequences</w:t>
      </w:r>
    </w:p>
    <w:p>
      <w:pPr>
        <w:spacing w:after="120" w:line="300"/>
        <w:jc w:val="both"/>
      </w:pPr>
      <w:r>
        <w:rPr>
          <w:sz w:val="22"/>
          <w:szCs w:val="22"/>
        </w:rPr>
        <w:t xml:space="preserve">These use Salesforce native auto-number fields where possible, with the year token {YY} representing the calendar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Object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Format</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Example</w:t>
            </w:r>
          </w:p>
        </w:tc>
        <w:tc>
          <w:tcPr>
            <w:tcW w:type="dxa" w:w="20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Implementation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Lead</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LD-{YY}-{00000}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LD-26-00147</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Auto-number on Lead</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Opportunity (Name)</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OP-{YY}-{00000}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OP-26-00094</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Trigger/Flow on create; sets Name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Receipt__c</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RCT-{YY}-{00000}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RCT-26-01837</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Auto-number on Receipt__c</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Site_Visit__c</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SV-{YY}-{00000}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SV-26-00321</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Auto-number on Site_Visit__c</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Concession_Request__c</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CR-{YY}-{00000}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CR-26-00028</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Auto-number</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Account (CP Name)</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CP-{YY}-{0000}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CP-26-0087</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Name formula from external ID / auto-number</w:t>
            </w:r>
          </w:p>
        </w:tc>
      </w:tr>
    </w:tbl>
    <w:p>
      <w:pPr>
        <w:pStyle w:val="Heading2"/>
        <w:spacing w:after="140" w:before="280"/>
      </w:pPr>
      <w:r>
        <w:t xml:space="preserve">4.2 Project-and-year-scoped</w:t>
      </w:r>
    </w:p>
    <w:p>
      <w:pPr>
        <w:spacing w:after="120" w:line="300"/>
        <w:jc w:val="both"/>
      </w:pPr>
      <w:r>
        <w:rPr>
          <w:sz w:val="22"/>
          <w:szCs w:val="22"/>
        </w:rPr>
        <w:t xml:space="preserve">Only Booking__c uses this pattern. It makes Booking IDs human-parseable across the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Object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Format</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Example</w:t>
            </w:r>
          </w:p>
        </w:tc>
        <w:tc>
          <w:tcPr>
            <w:tcW w:type="dxa" w:w="20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Implementation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Booking__c (Name)</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BKG-{PROJ}-{YY}-{0000}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BKG-PRK-26-0042</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Trigger on create; sequence scoped per project × year (counter held in Booking_Sequence__c custom setting)</w:t>
            </w:r>
          </w:p>
        </w:tc>
      </w:tr>
    </w:tbl>
    <w:p>
      <w:pPr>
        <w:pStyle w:val="Heading2"/>
        <w:spacing w:after="140" w:before="280"/>
      </w:pPr>
      <w:r>
        <w:t xml:space="preserve">4.3 Parent-scoped sequential</w:t>
      </w:r>
    </w:p>
    <w:p>
      <w:pPr>
        <w:spacing w:after="120" w:line="300"/>
        <w:jc w:val="both"/>
      </w:pPr>
      <w:r>
        <w:rPr>
          <w:sz w:val="22"/>
          <w:szCs w:val="22"/>
        </w:rPr>
        <w:t xml:space="preserve">These IDs chain through the booking so the parent-child relationship is legible from the string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26"/>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Object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Format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Example</w:t>
            </w:r>
          </w:p>
        </w:tc>
        <w:tc>
          <w:tcPr>
            <w:tcW w:type="dxa" w:w="14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Implementation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Demand__c (Name)</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DM-{BKG-ID}-{nn}</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DM-BKG-PRK-26-0042-03</w:t>
            </w:r>
          </w:p>
        </w:tc>
        <w:tc>
          <w:tcPr>
            <w:tcW w:type="dxa" w:w="1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Trigger on Demand__c insert; sequence scoped per Booking</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Agreement__c (Name)</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AGR-{BKG-ID}</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AGR-BKG-PRK-26-0042</w:t>
            </w:r>
          </w:p>
        </w:tc>
        <w:tc>
          <w:tcPr>
            <w:tcW w:type="dxa" w:w="1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Trigger on Agreement__c insert (1:1 with Booking)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Possession__c (Name)</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POS-{BKG-ID}</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POS-BKG-PRK-26-0042</w:t>
            </w:r>
          </w:p>
        </w:tc>
        <w:tc>
          <w:tcPr>
            <w:tcW w:type="dxa" w:w="1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Trigger on Possession__c insert (1:1 with Booking)</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Commission_Ledger__c</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CL-{BKG-ID}-{nn}</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CL-BKG-PRK-26-0042-01</w:t>
            </w:r>
          </w:p>
        </w:tc>
        <w:tc>
          <w:tcPr>
            <w:tcW w:type="dxa" w:w="1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Trigger on Ledger insert; sequence scoped per Booking</w:t>
            </w:r>
          </w:p>
        </w:tc>
      </w:tr>
    </w:tbl>
    <w:p>
      <w:pPr>
        <w:pStyle w:val="Heading2"/>
        <w:spacing w:after="140" w:before="280"/>
      </w:pPr>
      <w:r>
        <w:t xml:space="preserve">4.4 Monthly-scoped batches</w:t>
      </w:r>
    </w:p>
    <w:p>
      <w:pPr>
        <w:spacing w:after="120" w:line="300"/>
        <w:jc w:val="both"/>
      </w:pPr>
      <w:r>
        <w:rPr>
          <w:sz w:val="22"/>
          <w:szCs w:val="22"/>
        </w:rPr>
        <w:t xml:space="preserve">Only Commission Payout uses this. Payouts are processed monthly, so the batch ID encodes year, month, and sequence within the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Object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Format</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Example</w:t>
            </w:r>
          </w:p>
        </w:tc>
        <w:tc>
          <w:tcPr>
            <w:tcW w:type="dxa" w:w="20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Implementation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Commission_Payout__c</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CPY-{YY}-{MM}-{000}</w:t>
            </w:r>
          </w:p>
        </w:tc>
        <w:tc>
          <w:tcPr>
            <w:tcW w:type="dxa" w:w="20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vAlign w:val="center"/>
          </w:tcPr>
          <w:p>
            <w:pPr>
              <w:spacing w:after="40"/>
              <w:jc w:val="left"/>
            </w:pPr>
            <w:r>
              <w:rPr>
                <w:rFonts w:ascii="Consolas" w:cs="Consolas" w:eastAsia="Consolas" w:hAnsi="Consolas"/>
                <w:color w:val="000000"/>
                <w:sz w:val="20"/>
                <w:szCs w:val="20"/>
              </w:rPr>
              <w:t xml:space="preserve">CPY-26-04-003</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Auto-number format CPY-{YY}-{MM}-{000}</w:t>
            </w:r>
          </w:p>
        </w:tc>
      </w:tr>
    </w:tbl>
    <w:p>
      <w:pPr>
        <w:pStyle w:val="Heading1"/>
        <w:spacing w:after="180" w:before="360"/>
      </w:pPr>
      <w:r>
        <w:t xml:space="preserve">5. End-to-end Demo Narrative</w:t>
      </w:r>
    </w:p>
    <w:p>
      <w:pPr>
        <w:spacing w:after="120" w:line="300"/>
        <w:jc w:val="both"/>
      </w:pPr>
      <w:r>
        <w:rPr>
          <w:sz w:val="22"/>
          <w:szCs w:val="22"/>
        </w:rPr>
        <w:t xml:space="preserve">The following walkthrough uses the real naming convention on realistic records. It is the narrative thread for the demo rehearsal in week 12 (epic E23). Every ID below is constructable by the rules in sections 3 and 4.</w:t>
      </w:r>
    </w:p>
    <w:p>
      <w:pPr>
        <w:pStyle w:val="Heading3"/>
        <w:spacing w:after="100" w:before="200"/>
      </w:pPr>
      <w:r>
        <w:t xml:space="preserve">Scene 1 — Lead arrives</w:t>
      </w:r>
    </w:p>
    <w:p>
      <w:pPr>
        <w:spacing w:after="120" w:line="300"/>
        <w:jc w:val="both"/>
      </w:pPr>
      <w:r>
        <w:rPr>
          <w:sz w:val="22"/>
          <w:szCs w:val="22"/>
        </w:rPr>
        <w:t xml:space="preserve">A prospect submits a form on the Park Residences microsite. Salesforce creates lead </w:t>
      </w:r>
      <w:r>
        <w:rPr>
          <w:rFonts w:ascii="Consolas" w:cs="Consolas" w:eastAsia="Consolas" w:hAnsi="Consolas"/>
          <w:sz w:val="21"/>
          <w:szCs w:val="21"/>
        </w:rPr>
        <w:t xml:space="preserve">LD-26-00147</w:t>
      </w:r>
      <w:r>
        <w:rPr>
          <w:sz w:val="22"/>
          <w:szCs w:val="22"/>
        </w:rPr>
        <w:t xml:space="preserve"> with Lead_Source__c = </w:t>
      </w:r>
      <w:r>
        <w:rPr>
          <w:rFonts w:ascii="Consolas" w:cs="Consolas" w:eastAsia="Consolas" w:hAnsi="Consolas"/>
          <w:sz w:val="21"/>
          <w:szCs w:val="21"/>
        </w:rPr>
        <w:t xml:space="preserve">Digital</w:t>
      </w:r>
      <w:r>
        <w:rPr>
          <w:sz w:val="22"/>
          <w:szCs w:val="22"/>
        </w:rPr>
        <w:t xml:space="preserve"> and Project_Interest__c = </w:t>
      </w:r>
      <w:r>
        <w:rPr>
          <w:rFonts w:ascii="Consolas" w:cs="Consolas" w:eastAsia="Consolas" w:hAnsi="Consolas"/>
          <w:sz w:val="21"/>
          <w:szCs w:val="21"/>
        </w:rPr>
        <w:t xml:space="preserve">PRK</w:t>
      </w:r>
      <w:r>
        <w:rPr>
          <w:sz w:val="22"/>
          <w:szCs w:val="22"/>
        </w:rPr>
        <w:t xml:space="preserve">.</w:t>
      </w:r>
    </w:p>
    <w:p>
      <w:pPr>
        <w:spacing w:after="120" w:line="300"/>
        <w:jc w:val="both"/>
      </w:pPr>
      <w:r>
        <w:rPr>
          <w:sz w:val="22"/>
          <w:szCs w:val="22"/>
        </w:rPr>
        <w:t xml:space="preserve">Within seconds, the </w:t>
      </w:r>
      <w:r>
        <w:rPr>
          <w:b/>
          <w:bCs/>
          <w:sz w:val="22"/>
          <w:szCs w:val="22"/>
        </w:rPr>
        <w:t xml:space="preserve">Lead Qualification Agent</w:t>
      </w:r>
      <w:r>
        <w:rPr>
          <w:sz w:val="22"/>
          <w:szCs w:val="22"/>
        </w:rPr>
        <w:t xml:space="preserve"> triages the lead — budget band ₹3–4 Cr, configuration 3BHK, location preference Central Mumbai. It matches three available units: </w:t>
      </w:r>
      <w:r>
        <w:rPr>
          <w:rFonts w:ascii="Consolas" w:cs="Consolas" w:eastAsia="Consolas" w:hAnsi="Consolas"/>
          <w:sz w:val="21"/>
          <w:szCs w:val="21"/>
        </w:rPr>
        <w:t xml:space="preserve">PRK-T02-F08-U003</w:t>
      </w:r>
      <w:r>
        <w:rPr>
          <w:sz w:val="22"/>
          <w:szCs w:val="22"/>
        </w:rPr>
        <w:t xml:space="preserve">, </w:t>
      </w:r>
      <w:r>
        <w:rPr>
          <w:rFonts w:ascii="Consolas" w:cs="Consolas" w:eastAsia="Consolas" w:hAnsi="Consolas"/>
          <w:sz w:val="21"/>
          <w:szCs w:val="21"/>
        </w:rPr>
        <w:t xml:space="preserve">PRK-T01-F06-U002</w:t>
      </w:r>
      <w:r>
        <w:rPr>
          <w:sz w:val="22"/>
          <w:szCs w:val="22"/>
        </w:rPr>
        <w:t xml:space="preserve">, </w:t>
      </w:r>
      <w:r>
        <w:rPr>
          <w:rFonts w:ascii="Consolas" w:cs="Consolas" w:eastAsia="Consolas" w:hAnsi="Consolas"/>
          <w:sz w:val="21"/>
          <w:szCs w:val="21"/>
        </w:rPr>
        <w:t xml:space="preserve">PRK-T03-F09-U001</w:t>
      </w:r>
      <w:r>
        <w:rPr>
          <w:sz w:val="22"/>
          <w:szCs w:val="22"/>
        </w:rPr>
        <w:t xml:space="preserve">. Scores the lead </w:t>
      </w:r>
      <w:r>
        <w:rPr>
          <w:b/>
          <w:bCs/>
          <w:sz w:val="22"/>
          <w:szCs w:val="22"/>
        </w:rPr>
        <w:t xml:space="preserve">Hot</w:t>
      </w:r>
      <w:r>
        <w:rPr>
          <w:sz w:val="22"/>
          <w:szCs w:val="22"/>
        </w:rPr>
        <w:t xml:space="preserve">, routes to the Park Residences RM queue.</w:t>
      </w:r>
    </w:p>
    <w:p>
      <w:pPr>
        <w:pStyle w:val="Heading3"/>
        <w:spacing w:after="100" w:before="200"/>
      </w:pPr>
      <w:r>
        <w:t xml:space="preserve">Scene 2 — Site visit and opportunity</w:t>
      </w:r>
    </w:p>
    <w:p>
      <w:pPr>
        <w:spacing w:after="120" w:line="300"/>
        <w:jc w:val="both"/>
      </w:pPr>
      <w:r>
        <w:rPr>
          <w:sz w:val="22"/>
          <w:szCs w:val="22"/>
        </w:rPr>
        <w:t xml:space="preserve">RM converts the lead. Opportunity </w:t>
      </w:r>
      <w:r>
        <w:rPr>
          <w:rFonts w:ascii="Consolas" w:cs="Consolas" w:eastAsia="Consolas" w:hAnsi="Consolas"/>
          <w:sz w:val="21"/>
          <w:szCs w:val="21"/>
        </w:rPr>
        <w:t xml:space="preserve">OP-26-00094</w:t>
      </w:r>
      <w:r>
        <w:rPr>
          <w:sz w:val="22"/>
          <w:szCs w:val="22"/>
        </w:rPr>
        <w:t xml:space="preserve"> is created with stage = </w:t>
      </w:r>
      <w:r>
        <w:rPr>
          <w:rFonts w:ascii="Consolas" w:cs="Consolas" w:eastAsia="Consolas" w:hAnsi="Consolas"/>
          <w:sz w:val="21"/>
          <w:szCs w:val="21"/>
        </w:rPr>
        <w:t xml:space="preserve">Site Visit Scheduled</w:t>
      </w:r>
      <w:r>
        <w:rPr>
          <w:sz w:val="22"/>
          <w:szCs w:val="22"/>
        </w:rPr>
        <w:t xml:space="preserve">. Site visit </w:t>
      </w:r>
      <w:r>
        <w:rPr>
          <w:rFonts w:ascii="Consolas" w:cs="Consolas" w:eastAsia="Consolas" w:hAnsi="Consolas"/>
          <w:sz w:val="21"/>
          <w:szCs w:val="21"/>
        </w:rPr>
        <w:t xml:space="preserve">SV-26-00321</w:t>
      </w:r>
      <w:r>
        <w:rPr>
          <w:sz w:val="22"/>
          <w:szCs w:val="22"/>
        </w:rPr>
        <w:t xml:space="preserve"> is scheduled for the weekend. Outcome: strong interest in </w:t>
      </w:r>
      <w:r>
        <w:rPr>
          <w:rFonts w:ascii="Consolas" w:cs="Consolas" w:eastAsia="Consolas" w:hAnsi="Consolas"/>
          <w:sz w:val="21"/>
          <w:szCs w:val="21"/>
        </w:rPr>
        <w:t xml:space="preserve">PRK-T02-F08-U003</w:t>
      </w:r>
      <w:r>
        <w:rPr>
          <w:sz w:val="22"/>
          <w:szCs w:val="22"/>
        </w:rPr>
        <w:t xml:space="preserve"> — the unit is </w:t>
      </w:r>
      <w:r>
        <w:rPr>
          <w:b/>
          <w:bCs/>
          <w:sz w:val="22"/>
          <w:szCs w:val="22"/>
        </w:rPr>
        <w:t xml:space="preserve">Blocked</w:t>
      </w:r>
      <w:r>
        <w:rPr>
          <w:sz w:val="22"/>
          <w:szCs w:val="22"/>
        </w:rPr>
        <w:t xml:space="preserve"> in the CRM (Unit Status lifecycle transitions Available → Blocked).</w:t>
      </w:r>
    </w:p>
    <w:p>
      <w:pPr>
        <w:pStyle w:val="Heading3"/>
        <w:spacing w:after="100" w:before="200"/>
      </w:pPr>
      <w:r>
        <w:t xml:space="preserve">Scene 3 — Concession, booking, commission</w:t>
      </w:r>
    </w:p>
    <w:p>
      <w:pPr>
        <w:spacing w:after="120" w:line="300"/>
        <w:jc w:val="both"/>
      </w:pPr>
      <w:r>
        <w:rPr>
          <w:sz w:val="22"/>
          <w:szCs w:val="22"/>
        </w:rPr>
        <w:t xml:space="preserve">Buyer requests a 3% concession. RM raises </w:t>
      </w:r>
      <w:r>
        <w:rPr>
          <w:rFonts w:ascii="Consolas" w:cs="Consolas" w:eastAsia="Consolas" w:hAnsi="Consolas"/>
          <w:sz w:val="21"/>
          <w:szCs w:val="21"/>
        </w:rPr>
        <w:t xml:space="preserve">CR-26-00028</w:t>
      </w:r>
      <w:r>
        <w:rPr>
          <w:sz w:val="22"/>
          <w:szCs w:val="22"/>
        </w:rPr>
        <w:t xml:space="preserve">; it exceeds the threshold and routes to the PSM for approval. Approved. Buyer pays token, then booking amount.</w:t>
      </w:r>
    </w:p>
    <w:p>
      <w:pPr>
        <w:spacing w:after="120" w:line="300"/>
        <w:jc w:val="both"/>
      </w:pPr>
      <w:r>
        <w:rPr>
          <w:sz w:val="22"/>
          <w:szCs w:val="22"/>
        </w:rPr>
        <w:t xml:space="preserve">Opportunity closes won. Trigger creates booking </w:t>
      </w:r>
      <w:r>
        <w:rPr>
          <w:rFonts w:ascii="Consolas" w:cs="Consolas" w:eastAsia="Consolas" w:hAnsi="Consolas"/>
          <w:sz w:val="21"/>
          <w:szCs w:val="21"/>
        </w:rPr>
        <w:t xml:space="preserve">BKG-PRK-26-0042</w:t>
      </w:r>
      <w:r>
        <w:rPr>
          <w:sz w:val="22"/>
          <w:szCs w:val="22"/>
        </w:rPr>
        <w:t xml:space="preserve">. Unit status transitions Blocked → Booked. Ownership of Booking moves to the Post-Sales queue.</w:t>
      </w:r>
    </w:p>
    <w:p>
      <w:pPr>
        <w:spacing w:after="120" w:line="300"/>
        <w:jc w:val="both"/>
      </w:pPr>
      <w:r>
        <w:rPr>
          <w:sz w:val="22"/>
          <w:szCs w:val="22"/>
        </w:rPr>
        <w:t xml:space="preserve">Because the lead was sourced via </w:t>
      </w:r>
      <w:r>
        <w:rPr>
          <w:rFonts w:ascii="Consolas" w:cs="Consolas" w:eastAsia="Consolas" w:hAnsi="Consolas"/>
          <w:sz w:val="21"/>
          <w:szCs w:val="21"/>
        </w:rPr>
        <w:t xml:space="preserve">CP-26-0087</w:t>
      </w:r>
      <w:r>
        <w:rPr>
          <w:sz w:val="22"/>
          <w:szCs w:val="22"/>
        </w:rPr>
        <w:t xml:space="preserve"> (Acme Realty Advisors, Platinum tier), commission ledger entry </w:t>
      </w:r>
      <w:r>
        <w:rPr>
          <w:rFonts w:ascii="Consolas" w:cs="Consolas" w:eastAsia="Consolas" w:hAnsi="Consolas"/>
          <w:sz w:val="21"/>
          <w:szCs w:val="21"/>
        </w:rPr>
        <w:t xml:space="preserve">CL-BKG-PRK-26-0042-01</w:t>
      </w:r>
      <w:r>
        <w:rPr>
          <w:sz w:val="22"/>
          <w:szCs w:val="22"/>
        </w:rPr>
        <w:t xml:space="preserve"> is accrued at 0.5% of agreement value on booking milestone. Two more accruals are scheduled (agreement and registration milestones).</w:t>
      </w:r>
    </w:p>
    <w:p>
      <w:pPr>
        <w:pStyle w:val="Heading3"/>
        <w:spacing w:after="100" w:before="200"/>
      </w:pPr>
      <w:r>
        <w:t xml:space="preserve">Scene 4 — Payment plan, demand, receipt</w:t>
      </w:r>
    </w:p>
    <w:p>
      <w:pPr>
        <w:spacing w:after="120" w:line="300"/>
        <w:jc w:val="both"/>
      </w:pPr>
      <w:r>
        <w:rPr>
          <w:sz w:val="22"/>
          <w:szCs w:val="22"/>
        </w:rPr>
        <w:t xml:space="preserve">Buyer selects Construction Linked Plan. 10 payment schedule entries are instantiated on the booking. The first demand </w:t>
      </w:r>
      <w:r>
        <w:rPr>
          <w:rFonts w:ascii="Consolas" w:cs="Consolas" w:eastAsia="Consolas" w:hAnsi="Consolas"/>
          <w:sz w:val="21"/>
          <w:szCs w:val="21"/>
        </w:rPr>
        <w:t xml:space="preserve">DM-BKG-PRK-26-0042-01</w:t>
      </w:r>
      <w:r>
        <w:rPr>
          <w:sz w:val="22"/>
          <w:szCs w:val="22"/>
        </w:rPr>
        <w:t xml:space="preserve"> is raised for 10% of total consideration with GST breakup. Receipt </w:t>
      </w:r>
      <w:r>
        <w:rPr>
          <w:rFonts w:ascii="Consolas" w:cs="Consolas" w:eastAsia="Consolas" w:hAnsi="Consolas"/>
          <w:sz w:val="21"/>
          <w:szCs w:val="21"/>
        </w:rPr>
        <w:t xml:space="preserve">RCT-26-01837</w:t>
      </w:r>
      <w:r>
        <w:rPr>
          <w:sz w:val="22"/>
          <w:szCs w:val="22"/>
        </w:rPr>
        <w:t xml:space="preserve"> is reconciled against it.</w:t>
      </w:r>
    </w:p>
    <w:p>
      <w:pPr>
        <w:pStyle w:val="Heading3"/>
        <w:spacing w:after="100" w:before="200"/>
      </w:pPr>
      <w:r>
        <w:t xml:space="preserve">Scene 5 — Agreement, registration, possession</w:t>
      </w:r>
    </w:p>
    <w:p>
      <w:pPr>
        <w:spacing w:after="120" w:line="300"/>
        <w:jc w:val="both"/>
      </w:pPr>
      <w:r>
        <w:rPr>
          <w:sz w:val="22"/>
          <w:szCs w:val="22"/>
        </w:rPr>
        <w:t xml:space="preserve">Agreement </w:t>
      </w:r>
      <w:r>
        <w:rPr>
          <w:rFonts w:ascii="Consolas" w:cs="Consolas" w:eastAsia="Consolas" w:hAnsi="Consolas"/>
          <w:sz w:val="21"/>
          <w:szCs w:val="21"/>
        </w:rPr>
        <w:t xml:space="preserve">AGR-BKG-PRK-26-0042</w:t>
      </w:r>
      <w:r>
        <w:rPr>
          <w:sz w:val="22"/>
          <w:szCs w:val="22"/>
        </w:rPr>
        <w:t xml:space="preserve"> is generated (dummy PDF in MVP), sent via e-sign stub, marked signed. Registration is captured with stamp duty and registration fee references.</w:t>
      </w:r>
    </w:p>
    <w:p>
      <w:pPr>
        <w:spacing w:after="120" w:line="300"/>
        <w:jc w:val="both"/>
      </w:pPr>
      <w:r>
        <w:rPr>
          <w:sz w:val="22"/>
          <w:szCs w:val="22"/>
        </w:rPr>
        <w:t xml:space="preserve">Commission ledger entries 2 and 3 accrue automatically (agreement + registration milestones). In the next payout cycle, </w:t>
      </w:r>
      <w:r>
        <w:rPr>
          <w:rFonts w:ascii="Consolas" w:cs="Consolas" w:eastAsia="Consolas" w:hAnsi="Consolas"/>
          <w:sz w:val="21"/>
          <w:szCs w:val="21"/>
        </w:rPr>
        <w:t xml:space="preserve">CPY-26-04-003</w:t>
      </w:r>
      <w:r>
        <w:rPr>
          <w:sz w:val="22"/>
          <w:szCs w:val="22"/>
        </w:rPr>
        <w:t xml:space="preserve"> bundles all approved ledger entries for CP-26-0087 — TDS deducted, GST reverse-charge applied, payout statement generated.</w:t>
      </w:r>
    </w:p>
    <w:p>
      <w:pPr>
        <w:spacing w:after="120" w:line="300"/>
        <w:jc w:val="both"/>
      </w:pPr>
      <w:r>
        <w:rPr>
          <w:sz w:val="22"/>
          <w:szCs w:val="22"/>
        </w:rPr>
        <w:t xml:space="preserve">Months later, possession </w:t>
      </w:r>
      <w:r>
        <w:rPr>
          <w:rFonts w:ascii="Consolas" w:cs="Consolas" w:eastAsia="Consolas" w:hAnsi="Consolas"/>
          <w:sz w:val="21"/>
          <w:szCs w:val="21"/>
        </w:rPr>
        <w:t xml:space="preserve">POS-BKG-PRK-26-0042</w:t>
      </w:r>
      <w:r>
        <w:rPr>
          <w:sz w:val="22"/>
          <w:szCs w:val="22"/>
        </w:rPr>
        <w:t xml:space="preserve"> is raised — snag checklist populated and resolved, NOC issued, keys handed. Booking lifecycle complete.</w:t>
      </w:r>
    </w:p>
    <w:p>
      <w:pPr>
        <w:pStyle w:val="Heading1"/>
        <w:spacing w:after="180" w:before="360"/>
      </w:pPr>
      <w:r>
        <w:t xml:space="preserve">6. Companion Workbook Contents</w:t>
      </w:r>
    </w:p>
    <w:p>
      <w:pPr>
        <w:spacing w:after="120" w:line="300"/>
        <w:jc w:val="both"/>
      </w:pPr>
      <w:r>
        <w:rPr>
          <w:sz w:val="22"/>
          <w:szCs w:val="22"/>
        </w:rPr>
        <w:t xml:space="preserve">The RE_CRM_Demo_Inventory_Master.xlsx workbook supplied alongside this document contains eleven sheets. Each is structured so Salesforce Data Loader (or Workbench upsert) can ingest it with minimal transformation after Phase 1 field design is finalised.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Sheet</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Rows</w:t>
            </w:r>
          </w:p>
        </w:tc>
        <w:tc>
          <w:tcPr>
            <w:tcW w:type="dxa" w:w="56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rFonts w:ascii="Arial" w:cs="Arial" w:eastAsia="Arial" w:hAnsi="Arial"/>
                <w:b/>
                <w:bCs/>
                <w:color w:val="FFFFFF"/>
                <w:sz w:val="22"/>
                <w:szCs w:val="22"/>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Overview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Readme and summary statistics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Projects</w:t>
            </w:r>
          </w:p>
        </w:tc>
        <w:tc>
          <w:tcPr>
            <w:tcW w:type="dxa" w:w="1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12</w:t>
            </w:r>
          </w:p>
        </w:tc>
        <w:tc>
          <w:tcPr>
            <w:tcW w:type="dxa" w:w="5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Project master — 10 residential + 2 commercial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Towers_Blocks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34</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30 residential towers + 4 commercial blocks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Units_Residential</w:t>
            </w:r>
          </w:p>
        </w:tc>
        <w:tc>
          <w:tcPr>
            <w:tcW w:type="dxa" w:w="1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480</w:t>
            </w:r>
          </w:p>
        </w:tc>
        <w:tc>
          <w:tcPr>
            <w:tcW w:type="dxa" w:w="5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Full residential unit master with pricing and status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Units_Commercial</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240</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Full commercial shop master</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Pricing_Components</w:t>
            </w:r>
          </w:p>
        </w:tc>
        <w:tc>
          <w:tcPr>
            <w:tcW w:type="dxa" w:w="1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15</w:t>
            </w:r>
          </w:p>
        </w:tc>
        <w:tc>
          <w:tcPr>
            <w:tcW w:type="dxa" w:w="5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BSP, PLCs, EDC, IDC, IFMS, GST, stamp, registration, TDS structure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Payment_Plans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21</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CLP (10 milestones) + DLP (3) + PLP (4); formulas validate each plan sums to 100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CP_Master</w:t>
            </w:r>
          </w:p>
        </w:tc>
        <w:tc>
          <w:tcPr>
            <w:tcW w:type="dxa" w:w="1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10</w:t>
            </w:r>
          </w:p>
        </w:tc>
        <w:tc>
          <w:tcPr>
            <w:tcW w:type="dxa" w:w="5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Sample CPs across three tiers — 3 Platinum, 3 Preferred, 4 Standard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Lead_Source_Taxonomy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10</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Confirmed picklist values with routing priority</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Commission_RateCard</w:t>
            </w:r>
          </w:p>
        </w:tc>
        <w:tc>
          <w:tcPr>
            <w:tcW w:type="dxa" w:w="1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36</w:t>
            </w:r>
          </w:p>
        </w:tc>
        <w:tc>
          <w:tcPr>
            <w:tcW w:type="dxa" w:w="5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12 projects × 3 tiers; % split by milestone; total validated via formula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Numbering_Schemes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17</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rFonts w:ascii="Arial" w:cs="Arial" w:eastAsia="Arial" w:hAnsi="Arial"/>
                <w:color w:val="000000"/>
                <w:sz w:val="20"/>
                <w:szCs w:val="20"/>
              </w:rPr>
              <w:t xml:space="preserve">Auto-number reference for every object</w:t>
            </w:r>
          </w:p>
        </w:tc>
      </w:tr>
    </w:tbl>
    <w:p>
      <w:r>
        <w:t xml:space="preserve"/>
      </w:r>
    </w:p>
    <w:p>
      <w:pPr>
        <w:spacing w:after="120" w:line="300"/>
        <w:jc w:val="both"/>
      </w:pPr>
      <w:r>
        <w:rPr>
          <w:sz w:val="22"/>
          <w:szCs w:val="22"/>
        </w:rPr>
        <w:t xml:space="preserve">Inventory status is seeded with a realistic mix (~77% Available, ~17% Booked, ~6% Blocked) so the demo does not look like an empty building nor a sold-out one. The ~17% Booked records drive post-sales demo scenarios — bookings at various lifecycle stages (payment plan active, agreement pending, agreement signed, registration complete, possession ready).</w:t>
      </w:r>
    </w:p>
    <w:p>
      <w:pPr>
        <w:spacing w:after="120" w:line="300"/>
        <w:jc w:val="both"/>
      </w:pPr>
      <w:r>
        <w:rPr>
          <w:sz w:val="22"/>
          <w:szCs w:val="22"/>
        </w:rPr>
        <w:t xml:space="preserve">Pricing uses project-specific BSP rates (₹6,500–₹65,000 per sq ft across the 10 residential projects, ₹28,000–₹35,000 for commercial) with 1.5% per-floor rise, 3% corner premium, 2.5% park-facing premium applied. Numbers are consistent with real tier-1 Indian market ranges without being tied to any real developer's actuals.</w:t>
      </w:r>
    </w:p>
    <w:p>
      <w:pPr>
        <w:pStyle w:val="Heading1"/>
        <w:spacing w:after="180" w:before="360"/>
      </w:pPr>
      <w:r>
        <w:t xml:space="preserve">7. Validation Rules to Enforce the Convention</w:t>
      </w:r>
    </w:p>
    <w:p>
      <w:pPr>
        <w:spacing w:after="120" w:line="300"/>
        <w:jc w:val="both"/>
      </w:pPr>
      <w:r>
        <w:rPr>
          <w:sz w:val="22"/>
          <w:szCs w:val="22"/>
        </w:rPr>
        <w:t xml:space="preserve">Declarative enforcement so names cannot drift from the convention post-build.</w:t>
      </w:r>
    </w:p>
    <w:p>
      <w:pPr>
        <w:pStyle w:val="Heading3"/>
        <w:spacing w:after="100" w:before="200"/>
      </w:pPr>
      <w:r>
        <w:t xml:space="preserve">Project__c</w:t>
      </w:r>
    </w:p>
    <w:p>
      <w:pPr>
        <w:pStyle w:val="ListParagraph"/>
        <w:numPr>
          <w:ilvl w:val="0"/>
          <w:numId w:val="2"/>
        </w:numPr>
        <w:spacing w:after="80" w:line="280"/>
      </w:pPr>
      <w:r>
        <w:rPr>
          <w:sz w:val="22"/>
          <w:szCs w:val="22"/>
        </w:rPr>
        <w:t xml:space="preserve">Project_Code__c must be exactly 3 uppercase letters. Validation: NOT(REGEX(Project_Code__c, "^[A-Z]{3}$"))</w:t>
      </w:r>
    </w:p>
    <w:p>
      <w:pPr>
        <w:pStyle w:val="ListParagraph"/>
        <w:numPr>
          <w:ilvl w:val="0"/>
          <w:numId w:val="2"/>
        </w:numPr>
        <w:spacing w:after="80" w:line="280"/>
      </w:pPr>
      <w:r>
        <w:rPr>
          <w:sz w:val="22"/>
          <w:szCs w:val="22"/>
        </w:rPr>
        <w:t xml:space="preserve">Project_Type__c must be Residential or Commercial.</w:t>
      </w:r>
    </w:p>
    <w:p>
      <w:pPr>
        <w:pStyle w:val="Heading3"/>
        <w:spacing w:after="100" w:before="200"/>
      </w:pPr>
      <w:r>
        <w:t xml:space="preserve">Tower__c</w:t>
      </w:r>
    </w:p>
    <w:p>
      <w:pPr>
        <w:pStyle w:val="ListParagraph"/>
        <w:numPr>
          <w:ilvl w:val="0"/>
          <w:numId w:val="2"/>
        </w:numPr>
        <w:spacing w:after="80" w:line="280"/>
      </w:pPr>
      <w:r>
        <w:rPr>
          <w:sz w:val="22"/>
          <w:szCs w:val="22"/>
        </w:rPr>
        <w:t xml:space="preserve">Name must match pattern {PROJ}-T{nn} for residential or {PROJ}-B{nn} for commercial, where {PROJ} matches the parent Project's code.</w:t>
      </w:r>
    </w:p>
    <w:p>
      <w:pPr>
        <w:pStyle w:val="ListParagraph"/>
        <w:numPr>
          <w:ilvl w:val="0"/>
          <w:numId w:val="2"/>
        </w:numPr>
        <w:spacing w:after="80" w:line="280"/>
      </w:pPr>
      <w:r>
        <w:rPr>
          <w:sz w:val="22"/>
          <w:szCs w:val="22"/>
        </w:rPr>
        <w:t xml:space="preserve">Use a formula field Tower_Code__c deriving the name from Project lookup + Tower_Number__c + Type, so the Name field is never manually entered.</w:t>
      </w:r>
    </w:p>
    <w:p>
      <w:pPr>
        <w:pStyle w:val="Heading3"/>
        <w:spacing w:after="100" w:before="200"/>
      </w:pPr>
      <w:r>
        <w:t xml:space="preserve">Unit__c</w:t>
      </w:r>
    </w:p>
    <w:p>
      <w:pPr>
        <w:pStyle w:val="ListParagraph"/>
        <w:numPr>
          <w:ilvl w:val="0"/>
          <w:numId w:val="2"/>
        </w:numPr>
        <w:spacing w:after="80" w:line="280"/>
      </w:pPr>
      <w:r>
        <w:rPr>
          <w:sz w:val="22"/>
          <w:szCs w:val="22"/>
        </w:rPr>
        <w:t xml:space="preserve">Floor__c must be between 1 and 99. Unit_Number__c must be between 1 and 999.</w:t>
      </w:r>
    </w:p>
    <w:p>
      <w:pPr>
        <w:pStyle w:val="ListParagraph"/>
        <w:numPr>
          <w:ilvl w:val="0"/>
          <w:numId w:val="2"/>
        </w:numPr>
        <w:spacing w:after="80" w:line="280"/>
      </w:pPr>
      <w:r>
        <w:rPr>
          <w:sz w:val="22"/>
          <w:szCs w:val="22"/>
        </w:rPr>
        <w:t xml:space="preserve">Unit_Code__c is a formula field. Unit status transitions enforced by a Flow: Available → Blocked, Blocked → Available/Booked, Booked → Cancelled. No direct Booked → Available allowed.</w:t>
      </w:r>
    </w:p>
    <w:p>
      <w:pPr>
        <w:pStyle w:val="Heading3"/>
        <w:spacing w:after="100" w:before="200"/>
      </w:pPr>
      <w:r>
        <w:t xml:space="preserve">Booking__c</w:t>
      </w:r>
    </w:p>
    <w:p>
      <w:pPr>
        <w:pStyle w:val="ListParagraph"/>
        <w:numPr>
          <w:ilvl w:val="0"/>
          <w:numId w:val="2"/>
        </w:numPr>
        <w:spacing w:after="80" w:line="280"/>
      </w:pPr>
      <w:r>
        <w:rPr>
          <w:sz w:val="22"/>
          <w:szCs w:val="22"/>
        </w:rPr>
        <w:t xml:space="preserve">Name populated by a Before Insert trigger using a custom setting counter scoped per Project × fiscal year.</w:t>
      </w:r>
    </w:p>
    <w:p>
      <w:pPr>
        <w:pStyle w:val="ListParagraph"/>
        <w:numPr>
          <w:ilvl w:val="0"/>
          <w:numId w:val="2"/>
        </w:numPr>
        <w:spacing w:after="80" w:line="280"/>
      </w:pPr>
      <w:r>
        <w:rPr>
          <w:sz w:val="22"/>
          <w:szCs w:val="22"/>
        </w:rPr>
        <w:t xml:space="preserve">Validation: linked Unit's status must be Blocked (book from Available is not allowed — blocking is a required pre-step).</w:t>
      </w:r>
    </w:p>
    <w:p>
      <w:pPr>
        <w:pStyle w:val="Heading3"/>
        <w:spacing w:after="100" w:before="200"/>
      </w:pPr>
      <w:r>
        <w:t xml:space="preserve">Demand / Agreement / Possession / Commission Ledger</w:t>
      </w:r>
    </w:p>
    <w:p>
      <w:pPr>
        <w:pStyle w:val="ListParagraph"/>
        <w:numPr>
          <w:ilvl w:val="0"/>
          <w:numId w:val="2"/>
        </w:numPr>
        <w:spacing w:after="80" w:line="280"/>
      </w:pPr>
      <w:r>
        <w:rPr>
          <w:sz w:val="22"/>
          <w:szCs w:val="22"/>
        </w:rPr>
        <w:t xml:space="preserve">Names populated by Before Insert triggers from parent Booking Name + sequence / fixed suffix.</w:t>
      </w:r>
    </w:p>
    <w:p>
      <w:pPr>
        <w:pStyle w:val="ListParagraph"/>
        <w:numPr>
          <w:ilvl w:val="0"/>
          <w:numId w:val="2"/>
        </w:numPr>
        <w:spacing w:after="80" w:line="280"/>
      </w:pPr>
      <w:r>
        <w:rPr>
          <w:sz w:val="22"/>
          <w:szCs w:val="22"/>
        </w:rPr>
        <w:t xml:space="preserve">Commission Ledger trigger scoped per Booking; sequence starts at 01 for the first accrued milestone.</w:t>
      </w:r>
    </w:p>
    <w:p>
      <w:pPr>
        <w:pStyle w:val="Heading1"/>
        <w:spacing w:after="180" w:before="360"/>
      </w:pPr>
      <w:r>
        <w:t xml:space="preserve">8. Next Steps</w:t>
      </w:r>
    </w:p>
    <w:p>
      <w:pPr>
        <w:spacing w:after="120" w:line="300"/>
        <w:jc w:val="both"/>
      </w:pPr>
      <w:r>
        <w:rPr>
          <w:sz w:val="22"/>
          <w:szCs w:val="22"/>
        </w:rPr>
        <w:t xml:space="preserve">This appendix, together with the Phase 0 Brief, unblocks the architecture phase.</w:t>
      </w:r>
    </w:p>
    <w:p>
      <w:pPr>
        <w:pStyle w:val="ListParagraph"/>
        <w:numPr>
          <w:ilvl w:val="0"/>
          <w:numId w:val="2"/>
        </w:numPr>
        <w:spacing w:after="80" w:line="280"/>
      </w:pPr>
      <w:r>
        <w:rPr>
          <w:b/>
          <w:bCs/>
          <w:sz w:val="22"/>
          <w:szCs w:val="22"/>
        </w:rPr>
        <w:t xml:space="preserve">Immediate: </w:t>
      </w:r>
      <w:r>
        <w:rPr>
          <w:sz w:val="22"/>
          <w:szCs w:val="22"/>
        </w:rPr>
        <w:t xml:space="preserve">Sahil to review and redline project codes, positioning descriptions, and commission rate card values in the companion workbook.</w:t>
      </w:r>
    </w:p>
    <w:p>
      <w:pPr>
        <w:pStyle w:val="ListParagraph"/>
        <w:numPr>
          <w:ilvl w:val="0"/>
          <w:numId w:val="2"/>
        </w:numPr>
        <w:spacing w:after="80" w:line="280"/>
      </w:pPr>
      <w:r>
        <w:rPr>
          <w:b/>
          <w:bCs/>
          <w:sz w:val="22"/>
          <w:szCs w:val="22"/>
        </w:rPr>
        <w:t xml:space="preserve">Phase 1 Day 1: </w:t>
      </w:r>
      <w:r>
        <w:rPr>
          <w:sz w:val="22"/>
          <w:szCs w:val="22"/>
        </w:rPr>
        <w:t xml:space="preserve">Every naming convention in this document is embedded in </w:t>
      </w:r>
      <w:r>
        <w:rPr>
          <w:rFonts w:ascii="Consolas" w:cs="Consolas" w:eastAsia="Consolas" w:hAnsi="Consolas"/>
          <w:sz w:val="21"/>
          <w:szCs w:val="21"/>
        </w:rPr>
        <w:t xml:space="preserve">CLAUDE.md</w:t>
      </w:r>
      <w:r>
        <w:rPr>
          <w:sz w:val="22"/>
          <w:szCs w:val="22"/>
        </w:rPr>
        <w:t xml:space="preserve"> and </w:t>
      </w:r>
      <w:r>
        <w:rPr>
          <w:rFonts w:ascii="Consolas" w:cs="Consolas" w:eastAsia="Consolas" w:hAnsi="Consolas"/>
          <w:sz w:val="21"/>
          <w:szCs w:val="21"/>
        </w:rPr>
        <w:t xml:space="preserve">PROJECT_CONTEXT.md</w:t>
      </w:r>
      <w:r>
        <w:rPr>
          <w:sz w:val="22"/>
          <w:szCs w:val="22"/>
        </w:rPr>
        <w:t xml:space="preserve"> so Claude Code generates metadata, Apex triggers, and validation rules consistent with it from the first commit.</w:t>
      </w:r>
    </w:p>
    <w:p>
      <w:pPr>
        <w:pStyle w:val="ListParagraph"/>
        <w:numPr>
          <w:ilvl w:val="0"/>
          <w:numId w:val="2"/>
        </w:numPr>
        <w:spacing w:after="80" w:line="280"/>
      </w:pPr>
      <w:r>
        <w:rPr>
          <w:b/>
          <w:bCs/>
          <w:sz w:val="22"/>
          <w:szCs w:val="22"/>
        </w:rPr>
        <w:t xml:space="preserve">Phase 2 Week 2: </w:t>
      </w:r>
      <w:r>
        <w:rPr>
          <w:sz w:val="22"/>
          <w:szCs w:val="22"/>
        </w:rPr>
        <w:t xml:space="preserve">Workbook sheets are ingested via Data Loader into the scratch org in the order Projects → Towers → Units → Pricing Components → Payment Plans → CP Master → Rate Cards. Demo data is available before any transactional feature is built, which accelerates every subsequent epic.</w:t>
      </w:r>
    </w:p>
    <w:p>
      <w:r>
        <w:t xml:space="preserve"/>
      </w:r>
    </w:p>
    <w:p>
      <w:pPr>
        <w:spacing w:after="120" w:line="300"/>
        <w:jc w:val="both"/>
      </w:pPr>
      <w:r>
        <w:rPr>
          <w:sz w:val="22"/>
          <w:szCs w:val="22"/>
        </w:rPr>
        <w:t xml:space="preserve">Once you approve this appendix, the next deliverable is the Phase 1 Architecture Document — field-level design, sharing model, Flow/Apex boundaries, commission algorithm, PDF doc-gen approach, and the Claude Code repository scaffolding.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t xml:space="preserve">Page </w:t>
    </w:r>
    <w:r>
      <w:rPr>
        <w:color w:val="606060"/>
        <w:sz w:val="18"/>
        <w:szCs w:val="18"/>
      </w:rPr>
      <w:fldChar w:fldCharType="begin"/>
      <w:instrText xml:space="preserve">PAGE</w:instrText>
      <w:fldChar w:fldCharType="separate"/>
      <w:fldChar w:fldCharType="end"/>
    </w:r>
    <w:r>
      <w:rPr>
        <w:color w:val="606060"/>
        <w:sz w:val="18"/>
        <w:szCs w:val="18"/>
      </w:rPr>
      <w:t xml:space="preserve"> of </w:t>
    </w:r>
    <w:r>
      <w:rPr>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06060"/>
        <w:sz w:val="18"/>
        <w:szCs w:val="18"/>
      </w:rPr>
      <w:t xml:space="preserve">RE Developer CRM · Phase 0 Appendix A · Naming Convention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Developer CRM — Naming Convention Appendix</dc:title>
  <dc:creator>Kasa Innovations</dc:creator>
  <dc:description>Phase 0 Appendix A — Naming Convention and Demo Data Specification</dc:description>
  <cp:lastModifiedBy>Un-named</cp:lastModifiedBy>
  <cp:revision>1</cp:revision>
  <dcterms:created xsi:type="dcterms:W3CDTF">2026-04-20T04:55:17.202Z</dcterms:created>
  <dcterms:modified xsi:type="dcterms:W3CDTF">2026-04-20T04:55:17.203Z</dcterms:modified>
</cp:coreProperties>
</file>

<file path=docProps/custom.xml><?xml version="1.0" encoding="utf-8"?>
<Properties xmlns="http://schemas.openxmlformats.org/officeDocument/2006/custom-properties" xmlns:vt="http://schemas.openxmlformats.org/officeDocument/2006/docPropsVTypes"/>
</file>