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2E75B6"/>
          <w:spacing w:val="80"/>
          <w:sz w:val="28"/>
          <w:szCs w:val="28"/>
        </w:rPr>
        <w:t xml:space="preserve">PRODUCT VISION &amp; ARCHITECTURE BRIEF</w:t>
      </w:r>
    </w:p>
    <w:p>
      <w:pPr>
        <w:spacing w:after="100"/>
        <w:jc w:val="center"/>
      </w:pPr>
      <w:r>
        <w:rPr>
          <w:b/>
          <w:bCs/>
          <w:color w:val="1F3A5F"/>
          <w:sz w:val="72"/>
          <w:szCs w:val="72"/>
        </w:rPr>
        <w:t xml:space="preserve">Real Estate CRM</w:t>
      </w:r>
    </w:p>
    <w:p>
      <w:pPr>
        <w:spacing w:after="600"/>
        <w:jc w:val="center"/>
      </w:pPr>
      <w:r>
        <w:rPr>
          <w:i/>
          <w:iCs/>
          <w:color w:val="606060"/>
          <w:sz w:val="36"/>
          <w:szCs w:val="36"/>
        </w:rPr>
        <w:t xml:space="preserve">For Indian Residential Developers</w:t>
      </w:r>
    </w:p>
    <w:p>
      <w:pPr>
        <w:spacing w:after="120"/>
        <w:jc w:val="center"/>
      </w:pPr>
      <w:r>
        <w:rPr>
          <w:b/>
          <w:bCs/>
          <w:color w:val="1F3A5F"/>
          <w:sz w:val="26"/>
          <w:szCs w:val="26"/>
        </w:rPr>
        <w:t xml:space="preserve">Phase 0 Deliverable</w:t>
      </w:r>
    </w:p>
    <w:p>
      <w:pPr>
        <w:spacing w:after="100"/>
        <w:jc w:val="center"/>
      </w:pPr>
      <w:r>
        <w:rPr>
          <w:color w:val="606060"/>
          <w:sz w:val="22"/>
          <w:szCs w:val="22"/>
        </w:rPr>
        <w:t xml:space="preserve">Scope: Sales Cloud • Channel Partner Portal • Agentforce</w:t>
      </w:r>
    </w:p>
    <w:p>
      <w:pPr>
        <w:spacing w:after="100"/>
        <w:jc w:val="center"/>
      </w:pPr>
      <w:r>
        <w:rPr>
          <w:color w:val="606060"/>
          <w:sz w:val="22"/>
          <w:szCs w:val="22"/>
        </w:rPr>
        <w:t xml:space="preserve">Target: SDO-grade MVP in 10–12 weeks, solo build with Claude Code</w:t>
      </w:r>
    </w:p>
    <w:p>
      <w:pPr>
        <w:spacing w:before="1200"/>
      </w:pPr>
      <w:r>
        <w:t xml:space="preserve"/>
      </w:r>
    </w:p>
    <w:p>
      <w:pPr>
        <w:spacing w:after="40"/>
        <w:jc w:val="center"/>
      </w:pPr>
      <w:r>
        <w:rPr>
          <w:color w:val="606060"/>
          <w:sz w:val="22"/>
          <w:szCs w:val="22"/>
        </w:rPr>
        <w:t xml:space="preserve">Prepared for: Sahil</w:t>
      </w:r>
    </w:p>
    <w:p>
      <w:pPr>
        <w:spacing w:after="40"/>
        <w:jc w:val="center"/>
      </w:pPr>
      <w:r>
        <w:rPr>
          <w:color w:val="606060"/>
          <w:sz w:val="22"/>
          <w:szCs w:val="22"/>
        </w:rPr>
        <w:t xml:space="preserve">Role: Product Owner &amp; Solution Architect (advisory)</w:t>
      </w:r>
    </w:p>
    <w:p>
      <w:pPr>
        <w:spacing w:after="40"/>
        <w:jc w:val="center"/>
      </w:pPr>
      <w:r>
        <w:rPr>
          <w:color w:val="606060"/>
          <w:sz w:val="22"/>
          <w:szCs w:val="22"/>
        </w:rPr>
        <w:t xml:space="preserve">Version 1.0 — April 2026</w:t>
      </w:r>
    </w:p>
    <w:p>
      <w:r>
        <w:br w:type="page"/>
      </w:r>
    </w:p>
    <w:p>
      <w:pPr>
        <w:pStyle w:val="Heading1"/>
        <w:spacing w:after="180" w:before="360"/>
      </w:pPr>
      <w:r>
        <w:t xml:space="preserve">1. Executive Summary</w:t>
      </w:r>
    </w:p>
    <w:p>
      <w:pPr>
        <w:spacing w:after="120" w:line="300"/>
        <w:jc w:val="both"/>
      </w:pPr>
      <w:r>
        <w:rPr>
          <w:sz w:val="22"/>
          <w:szCs w:val="22"/>
        </w:rPr>
        <w:t xml:space="preserve">This document defines the product vision, persona set, scope boundary, conceptual architecture, and phased delivery plan for a Salesforce-based Real Estate CRM purpose-built for Indian residential developers in the mould of Lodha, Godrej Properties, DLF, Gaur Group, and Mahagun.</w:t>
      </w:r>
    </w:p>
    <w:p>
      <w:pPr>
        <w:spacing w:after="120" w:line="300"/>
        <w:jc w:val="both"/>
      </w:pPr>
      <w:r>
        <w:rPr>
          <w:sz w:val="22"/>
          <w:szCs w:val="22"/>
        </w:rPr>
        <w:t xml:space="preserve">The build is scoped as an SDO-grade MVP targeting a 10–12 week solo delivery by Sahil, with Claude Code serving as the development pair for metadata, Apex, LWC, and declarative artefact generation. The scope is deliberately tight: Sales Cloud as the transactional core, a Channel Partner Experience Cloud portal, and two Agentforce agents. Marketing Cloud Next and Service Cloud are explicitly deferred to a subsequent phase, and customer-facing communications (SMS, WhatsApp, email journeys) are out of scope for MVP — only the data-model hooks are designed now, to keep future integration cheap.</w:t>
      </w:r>
    </w:p>
    <w:p>
      <w:pPr>
        <w:spacing w:after="120" w:line="300"/>
        <w:jc w:val="both"/>
      </w:pPr>
      <w:r>
        <w:rPr>
          <w:sz w:val="22"/>
          <w:szCs w:val="22"/>
        </w:rPr>
        <w:t xml:space="preserve">The design posture is opinionated. Rather than adopting a generic real estate data model, we treat three concepts as first-class citizens because they define the Indian developer business: inventory (project → tower → unit, with dynamic pricing and status lifecycle), channel partners (60–70% of sourced leads come through CPs, who require their own lifecycle, portal, and commission engine), and the post-sales lifecycle (booking → payment plan → demand → receipt → agreement → registration → possession, spanning 24–36 months).</w:t>
      </w:r>
    </w:p>
    <w:p>
      <w:pPr>
        <w:spacing w:after="120" w:line="300"/>
        <w:jc w:val="both"/>
      </w:pPr>
      <w:r>
        <w:rPr>
          <w:sz w:val="22"/>
          <w:szCs w:val="22"/>
        </w:rPr>
        <w:t xml:space="preserve">Two architecture decisions deserve early attention and are addressed in this brief. First, the modelling of Booking versus Opportunity — three options are weighed and a recommendation is provided. Second, the scope of the Channel Partner portal and commission engine, which represents the single largest effort within the MVP and anchors the 10–12 week plan.</w:t>
      </w:r>
    </w:p>
    <w:p>
      <w:pPr>
        <w:spacing w:after="120" w:line="300"/>
        <w:jc w:val="both"/>
      </w:pPr>
      <w:r>
        <w:rPr>
          <w:sz w:val="22"/>
          <w:szCs w:val="22"/>
        </w:rPr>
        <w:t xml:space="preserve">The document concludes with a week-by-week delivery plan, a risk register, and the immediate next actions to move from Phase 0 into Phase 1 (architecture detailing and repository scaffolding).</w:t>
      </w:r>
    </w:p>
    <w:p>
      <w:pPr>
        <w:pStyle w:val="Heading1"/>
        <w:spacing w:after="180" w:before="360"/>
      </w:pPr>
      <w:r>
        <w:t xml:space="preserve">2. Market Context</w:t>
      </w:r>
    </w:p>
    <w:p>
      <w:pPr>
        <w:spacing w:after="120" w:line="300"/>
        <w:jc w:val="both"/>
      </w:pPr>
      <w:r>
        <w:rPr>
          <w:sz w:val="22"/>
          <w:szCs w:val="22"/>
        </w:rPr>
        <w:t xml:space="preserve">Indian residential real estate is a highly structured but non-standardised industry, dominated by a handful of large developers across the major metros. Organised developers — Lodha, Godrej Properties, DLF, Prestige, Sobha, Brigade, Mahindra Lifespaces in the tier-1 category; Gaur Group, Mahagun, ATS, M3M, Signature Global, Supertech in the NCR tier; Oberoi, Hiranandani, Piramal Realty in MMR — collectively deploy capital of roughly ₹1.5–2 lakh crore annually across new launches.</w:t>
      </w:r>
    </w:p>
    <w:p>
      <w:pPr>
        <w:spacing w:after="120" w:line="300"/>
        <w:jc w:val="both"/>
      </w:pPr>
      <w:r>
        <w:rPr>
          <w:sz w:val="22"/>
          <w:szCs w:val="22"/>
        </w:rPr>
        <w:t xml:space="preserve">The business model sits at the intersection of real estate development, financial services, and project delivery. A single project takes 36–60 months from land acquisition to possession, and a single booking transaction plays out over 24–36 months from token to possession handover. This creates a CRM problem that standard B2B or retail models do not solve.</w:t>
      </w:r>
    </w:p>
    <w:p>
      <w:pPr>
        <w:pStyle w:val="Heading2"/>
        <w:spacing w:after="140" w:before="280"/>
      </w:pPr>
      <w:r>
        <w:t xml:space="preserve">2.1 Why generic Salesforce Real Estate models do not fit</w:t>
      </w:r>
    </w:p>
    <w:p>
      <w:pPr>
        <w:spacing w:after="120" w:line="300"/>
        <w:jc w:val="both"/>
      </w:pPr>
      <w:r>
        <w:rPr>
          <w:sz w:val="22"/>
          <w:szCs w:val="22"/>
        </w:rPr>
        <w:t xml:space="preserve">Salesforce’s own Real Estate industry constructs (within Financial Services Cloud and the Real Estate Cloud extensions) are oriented towards US commercial real estate and residential brokerage — matchmaking buyers with listed properties in an open market, with agents as the primary users. This framing is wrong for Indian residential developers in four ways:</w:t>
      </w:r>
    </w:p>
    <w:p>
      <w:pPr>
        <w:pStyle w:val="ListParagraph"/>
        <w:numPr>
          <w:ilvl w:val="0"/>
          <w:numId w:val="2"/>
        </w:numPr>
        <w:spacing w:after="80" w:line="280"/>
      </w:pPr>
      <w:r>
        <w:rPr>
          <w:sz w:val="22"/>
          <w:szCs w:val="22"/>
        </w:rPr>
        <w:t xml:space="preserve">The developer owns the inventory. There is no MLS, no open listing market, no buyer-agent pairing. The CRM is an inventory management system as much as it is a lead-to-cash system.</w:t>
      </w:r>
    </w:p>
    <w:p>
      <w:pPr>
        <w:pStyle w:val="ListParagraph"/>
        <w:numPr>
          <w:ilvl w:val="0"/>
          <w:numId w:val="2"/>
        </w:numPr>
        <w:spacing w:after="80" w:line="280"/>
      </w:pPr>
      <w:r>
        <w:rPr>
          <w:sz w:val="22"/>
          <w:szCs w:val="22"/>
        </w:rPr>
        <w:t xml:space="preserve">Channel partners, not agents, dominate distribution. A CP is an independent entity (often RERA-registered) that sources leads and accompanies buyers to the site, but does not hold exclusive listings. They need a dedicated lifecycle, commission contract, and a self-service portal.</w:t>
      </w:r>
    </w:p>
    <w:p>
      <w:pPr>
        <w:pStyle w:val="ListParagraph"/>
        <w:numPr>
          <w:ilvl w:val="0"/>
          <w:numId w:val="2"/>
        </w:numPr>
        <w:spacing w:after="80" w:line="280"/>
      </w:pPr>
      <w:r>
        <w:rPr>
          <w:sz w:val="22"/>
          <w:szCs w:val="22"/>
        </w:rPr>
        <w:t xml:space="preserve">Post-sales is a full 24–36 month relationship of collections, agreements, registration, and construction communication. This dwarfs the pre-sales cycle in record volume and regulatory complexity.</w:t>
      </w:r>
    </w:p>
    <w:p>
      <w:pPr>
        <w:pStyle w:val="ListParagraph"/>
        <w:numPr>
          <w:ilvl w:val="0"/>
          <w:numId w:val="2"/>
        </w:numPr>
        <w:spacing w:after="80" w:line="280"/>
      </w:pPr>
      <w:r>
        <w:rPr>
          <w:sz w:val="22"/>
          <w:szCs w:val="22"/>
        </w:rPr>
        <w:t xml:space="preserve">Compliance is extensive and India-specific: RERA (state-level), GST on under-construction inventory, TDS on transactions above ₹50 lakh, DLT regulations for SMS, FEMA for NRI buyers, and state-specific stamp duty and registration mechanics.</w:t>
      </w:r>
    </w:p>
    <w:p>
      <w:pPr>
        <w:pStyle w:val="Heading2"/>
        <w:spacing w:after="140" w:before="280"/>
      </w:pPr>
      <w:r>
        <w:t xml:space="preserve">2.2 What this means for the CRM design</w:t>
      </w:r>
    </w:p>
    <w:p>
      <w:pPr>
        <w:spacing w:after="120" w:line="300"/>
        <w:jc w:val="both"/>
      </w:pPr>
      <w:r>
        <w:rPr>
          <w:sz w:val="22"/>
          <w:szCs w:val="22"/>
        </w:rPr>
        <w:t xml:space="preserve">The CRM must be opinionated about three things the generic model is not: inventory is a first-class object hierarchy with its own lifecycle, pricing components, and availability logic; channel partners are an operating system unto themselves, requiring onboarding, portal access, lead attribution, commission accrual on milestones, and payout workflows; and post-sales operates on a fundamentally different cadence (low velocity, compliance-heavy, operations-owned) than pre-sales (high velocity, conversion-focused, RM-owned) — which has architectural consequences for object modelling, sharing, and reporting.</w:t>
      </w:r>
    </w:p>
    <w:p>
      <w:pPr>
        <w:pStyle w:val="Heading1"/>
        <w:spacing w:after="180" w:before="360"/>
      </w:pPr>
      <w:r>
        <w:t xml:space="preserve">3. Product Vision &amp; Guiding Principles</w:t>
      </w:r>
    </w:p>
    <w:p>
      <w:pPr>
        <w:pStyle w:val="Heading2"/>
        <w:spacing w:after="140" w:before="280"/>
      </w:pPr>
      <w:r>
        <w:t xml:space="preserve">3.1 Vision statement</w:t>
      </w:r>
    </w:p>
    <w:p>
      <w:pPr>
        <w:spacing w:after="120" w:line="300"/>
        <w:jc w:val="both"/>
      </w:pPr>
      <w:r>
        <w:rPr>
          <w:sz w:val="22"/>
          <w:szCs w:val="22"/>
        </w:rPr>
        <w:t xml:space="preserve">A Salesforce-native CRM for Indian residential developers that manages the full commercial lifecycle — from lead capture through possession handover — with channel partners and AI agents as first-class operators, and an opinionated data model that reflects how the industry actually works rather than forcing developers to adapt to a generic CRM shape.</w:t>
      </w:r>
    </w:p>
    <w:p>
      <w:pPr>
        <w:pStyle w:val="Heading2"/>
        <w:spacing w:after="140" w:before="280"/>
      </w:pPr>
      <w:r>
        <w:t xml:space="preserve">3.2 Guiding principles</w:t>
      </w:r>
    </w:p>
    <w:p>
      <w:pPr>
        <w:pStyle w:val="ListParagraph"/>
        <w:numPr>
          <w:ilvl w:val="0"/>
          <w:numId w:val="2"/>
        </w:numPr>
        <w:spacing w:after="80" w:line="280"/>
      </w:pPr>
      <w:r>
        <w:rPr>
          <w:b/>
          <w:bCs/>
          <w:sz w:val="22"/>
          <w:szCs w:val="22"/>
        </w:rPr>
        <w:t xml:space="preserve">Inventory is central.</w:t>
      </w:r>
      <w:r>
        <w:rPr>
          <w:sz w:val="22"/>
          <w:szCs w:val="22"/>
        </w:rPr>
        <w:t xml:space="preserve"> Project, Tower, and Unit are the gravitational core of the data model. Leads, opportunities, bookings, demands, and commissions all orbit inventory, not the other way around.</w:t>
      </w:r>
    </w:p>
    <w:p>
      <w:pPr>
        <w:pStyle w:val="ListParagraph"/>
        <w:numPr>
          <w:ilvl w:val="0"/>
          <w:numId w:val="2"/>
        </w:numPr>
        <w:spacing w:after="80" w:line="280"/>
      </w:pPr>
      <w:r>
        <w:rPr>
          <w:b/>
          <w:bCs/>
          <w:sz w:val="22"/>
          <w:szCs w:val="22"/>
        </w:rPr>
        <w:t xml:space="preserve">Channel partners are operators, not contacts.</w:t>
      </w:r>
      <w:r>
        <w:rPr>
          <w:sz w:val="22"/>
          <w:szCs w:val="22"/>
        </w:rPr>
        <w:t xml:space="preserve"> The CP has a lifecycle, a portal, a commission contract, and a performance surface. We model CPs as they behave in the real world, not as an attribution field on a Lead.</w:t>
      </w:r>
    </w:p>
    <w:p>
      <w:pPr>
        <w:pStyle w:val="ListParagraph"/>
        <w:numPr>
          <w:ilvl w:val="0"/>
          <w:numId w:val="2"/>
        </w:numPr>
        <w:spacing w:after="80" w:line="280"/>
      </w:pPr>
      <w:r>
        <w:rPr>
          <w:b/>
          <w:bCs/>
          <w:sz w:val="22"/>
          <w:szCs w:val="22"/>
        </w:rPr>
        <w:t xml:space="preserve">Pre-sales and post-sales are distinct systems of work.</w:t>
      </w:r>
      <w:r>
        <w:rPr>
          <w:sz w:val="22"/>
          <w:szCs w:val="22"/>
        </w:rPr>
        <w:t xml:space="preserve"> Different owners, different cadences, different SLAs, different sharing models. The data model respects that boundary.</w:t>
      </w:r>
    </w:p>
    <w:p>
      <w:pPr>
        <w:pStyle w:val="ListParagraph"/>
        <w:numPr>
          <w:ilvl w:val="0"/>
          <w:numId w:val="2"/>
        </w:numPr>
        <w:spacing w:after="80" w:line="280"/>
      </w:pPr>
      <w:r>
        <w:rPr>
          <w:b/>
          <w:bCs/>
          <w:sz w:val="22"/>
          <w:szCs w:val="22"/>
        </w:rPr>
        <w:t xml:space="preserve">AI-assisted, not AI-dependent.</w:t>
      </w:r>
      <w:r>
        <w:rPr>
          <w:sz w:val="22"/>
          <w:szCs w:val="22"/>
        </w:rPr>
        <w:t xml:space="preserve"> Agentforce is deployed to compress time-to-first-response on leads and to reduce swivel-chair work for RMs. The CRM must function fully without the agents; agents add leverage, they do not substitute for fundamentals.</w:t>
      </w:r>
    </w:p>
    <w:p>
      <w:pPr>
        <w:pStyle w:val="ListParagraph"/>
        <w:numPr>
          <w:ilvl w:val="0"/>
          <w:numId w:val="2"/>
        </w:numPr>
        <w:spacing w:after="80" w:line="280"/>
      </w:pPr>
      <w:r>
        <w:rPr>
          <w:b/>
          <w:bCs/>
          <w:sz w:val="22"/>
          <w:szCs w:val="22"/>
        </w:rPr>
        <w:t xml:space="preserve">India-first, without cosmetic Indianisation.</w:t>
      </w:r>
      <w:r>
        <w:rPr>
          <w:sz w:val="22"/>
          <w:szCs w:val="22"/>
        </w:rPr>
        <w:t xml:space="preserve"> RERA numbers, GST breakup, CLP schedules, PAN/Aadhaar references, and joint-buyer structures are designed in from day one — not bolted on as custom fields over a US template.</w:t>
      </w:r>
    </w:p>
    <w:p>
      <w:pPr>
        <w:pStyle w:val="ListParagraph"/>
        <w:numPr>
          <w:ilvl w:val="0"/>
          <w:numId w:val="2"/>
        </w:numPr>
        <w:spacing w:after="80" w:line="280"/>
      </w:pPr>
      <w:r>
        <w:rPr>
          <w:b/>
          <w:bCs/>
          <w:sz w:val="22"/>
          <w:szCs w:val="22"/>
        </w:rPr>
        <w:t xml:space="preserve">Demo-optimised, architecturally sound.</w:t>
      </w:r>
      <w:r>
        <w:rPr>
          <w:sz w:val="22"/>
          <w:szCs w:val="22"/>
        </w:rPr>
        <w:t xml:space="preserve"> The MVP is SDO-grade and must demo a credible end-to-end story. But the data model and metadata must hold up under scrutiny — nothing in the MVP should need to be torn out to scale to production.</w:t>
      </w:r>
    </w:p>
    <w:p>
      <w:pPr>
        <w:pStyle w:val="ListParagraph"/>
        <w:numPr>
          <w:ilvl w:val="0"/>
          <w:numId w:val="2"/>
        </w:numPr>
        <w:spacing w:after="80" w:line="280"/>
      </w:pPr>
      <w:r>
        <w:rPr>
          <w:b/>
          <w:bCs/>
          <w:sz w:val="22"/>
          <w:szCs w:val="22"/>
        </w:rPr>
        <w:t xml:space="preserve">Opinionated over flexible.</w:t>
      </w:r>
      <w:r>
        <w:rPr>
          <w:sz w:val="22"/>
          <w:szCs w:val="22"/>
        </w:rPr>
        <w:t xml:space="preserve"> A few right answers beat many configurable knobs. We pick patterns and defend them; we do not build a ‘platform’ in disguise.</w:t>
      </w:r>
    </w:p>
    <w:p>
      <w:pPr>
        <w:pStyle w:val="Heading1"/>
        <w:spacing w:after="180" w:before="360"/>
      </w:pPr>
      <w:r>
        <w:t xml:space="preserve">4. Personas</w:t>
      </w:r>
    </w:p>
    <w:p>
      <w:pPr>
        <w:spacing w:after="120" w:line="300"/>
        <w:jc w:val="both"/>
      </w:pPr>
      <w:r>
        <w:rPr>
          <w:sz w:val="22"/>
          <w:szCs w:val="22"/>
        </w:rPr>
        <w:t xml:space="preserve">Five personas are in scope: three primary, two secondary. A sixth reporting persona (the Sales Head) is served through dashboards and reports, not transactional screens, and is therefore not treated as a direct user of the CRM.</w:t>
      </w:r>
    </w:p>
    <w:p>
      <w:pPr>
        <w:pStyle w:val="Heading2"/>
        <w:spacing w:after="140" w:before="280"/>
      </w:pPr>
      <w:r>
        <w:t xml:space="preserve">4.1 Relationship Manager / Sales Executive  (primary)</w:t>
      </w:r>
    </w:p>
    <w:p>
      <w:pPr>
        <w:spacing w:after="120" w:line="300"/>
        <w:jc w:val="both"/>
      </w:pPr>
      <w:r>
        <w:rPr>
          <w:sz w:val="22"/>
          <w:szCs w:val="22"/>
        </w:rPr>
        <w:t xml:space="preserve">The RM owns the lead-to-booking conversion. A typical RM handles 40–80 active leads across one or two projects, meets buyers at the site, conducts the sales pitch, negotiates pricing concessions within approved bands, and closes the booking by collecting token and booking amount. The RM is measured on conversion rate, average booking value, and time-to-close.</w:t>
      </w:r>
    </w:p>
    <w:p>
      <w:pPr>
        <w:spacing w:after="120" w:line="300"/>
        <w:jc w:val="both"/>
      </w:pPr>
      <w:r>
        <w:rPr>
          <w:b/>
          <w:bCs/>
          <w:sz w:val="22"/>
          <w:szCs w:val="22"/>
        </w:rPr>
        <w:t xml:space="preserve">Jobs to be done: </w:t>
      </w:r>
      <w:r>
        <w:rPr>
          <w:sz w:val="22"/>
          <w:szCs w:val="22"/>
        </w:rPr>
        <w:t xml:space="preserve">respond to a new lead within the golden hour; schedule and conduct site visits; match buyer requirements to available inventory; generate a pricing quote with approved concessions; collect token and booking documents; hand over the buyer to the post-sales CRM team once the agreement is triggered.</w:t>
      </w:r>
    </w:p>
    <w:p>
      <w:pPr>
        <w:spacing w:after="120" w:line="300"/>
        <w:jc w:val="both"/>
      </w:pPr>
      <w:r>
        <w:rPr>
          <w:b/>
          <w:bCs/>
          <w:sz w:val="22"/>
          <w:szCs w:val="22"/>
        </w:rPr>
        <w:t xml:space="preserve">Pain points today: </w:t>
      </w:r>
      <w:r>
        <w:rPr>
          <w:sz w:val="22"/>
          <w:szCs w:val="22"/>
        </w:rPr>
        <w:t xml:space="preserve">leads from multiple sources (digital, aggregators, CP, walk-in) arrive in inconsistent formats and different systems; inventory visibility is stale and often contested between RMs working the same project; pricing is calculated on spreadsheets with version drift; the post-sales handover is a WhatsApp message and a physical file.</w:t>
      </w:r>
    </w:p>
    <w:p>
      <w:pPr>
        <w:pStyle w:val="Heading2"/>
        <w:spacing w:after="140" w:before="280"/>
      </w:pPr>
      <w:r>
        <w:t xml:space="preserve">4.2 Project Sales Manager  (primary)</w:t>
      </w:r>
    </w:p>
    <w:p>
      <w:pPr>
        <w:spacing w:after="120" w:line="300"/>
        <w:jc w:val="both"/>
      </w:pPr>
      <w:r>
        <w:rPr>
          <w:sz w:val="22"/>
          <w:szCs w:val="22"/>
        </w:rPr>
        <w:t xml:space="preserve">The PSM owns the pipeline and inventory health for a single project (or a small cluster of projects). Typically manages a team of 4–10 RMs. Accountable for project sales targets, inventory turnover, CP relationships on the project, and concession approvals beyond the RM’s band.</w:t>
      </w:r>
    </w:p>
    <w:p>
      <w:pPr>
        <w:spacing w:after="120" w:line="300"/>
        <w:jc w:val="both"/>
      </w:pPr>
      <w:r>
        <w:rPr>
          <w:b/>
          <w:bCs/>
          <w:sz w:val="22"/>
          <w:szCs w:val="22"/>
        </w:rPr>
        <w:t xml:space="preserve">Jobs to be done: </w:t>
      </w:r>
      <w:r>
        <w:rPr>
          <w:sz w:val="22"/>
          <w:szCs w:val="22"/>
        </w:rPr>
        <w:t xml:space="preserve">monitor project pipeline by stage and RM; approve concession requests above threshold; monitor inventory availability and unit blocking behaviour; review CP-sourced leads and attribution; run weekly pipeline reviews.</w:t>
      </w:r>
    </w:p>
    <w:p>
      <w:pPr>
        <w:spacing w:after="120" w:line="300"/>
        <w:jc w:val="both"/>
      </w:pPr>
      <w:r>
        <w:rPr>
          <w:b/>
          <w:bCs/>
          <w:sz w:val="22"/>
          <w:szCs w:val="22"/>
        </w:rPr>
        <w:t xml:space="preserve">Pain points today: </w:t>
      </w:r>
      <w:r>
        <w:rPr>
          <w:sz w:val="22"/>
          <w:szCs w:val="22"/>
        </w:rPr>
        <w:t xml:space="preserve">dashboard latency of 24–48 hours; concessions routed over email with no audit trail; inventory blocking abuse (RMs hold units informally for prospects who never convert); CP performance visibility is manual and project-specific.</w:t>
      </w:r>
    </w:p>
    <w:p>
      <w:pPr>
        <w:pStyle w:val="Heading2"/>
        <w:spacing w:after="140" w:before="280"/>
      </w:pPr>
      <w:r>
        <w:t xml:space="preserve">4.3 Post-Sales / CRM Executive  (primary)</w:t>
      </w:r>
    </w:p>
    <w:p>
      <w:pPr>
        <w:spacing w:after="120" w:line="300"/>
        <w:jc w:val="both"/>
      </w:pPr>
      <w:r>
        <w:rPr>
          <w:sz w:val="22"/>
          <w:szCs w:val="22"/>
        </w:rPr>
        <w:t xml:space="preserve">The Post-Sales executive owns the customer from booking confirmed through possession handover. Responsibilities include raising construction-milestone-linked demand letters, tracking collections and outstanding, chasing agreement execution and registration, coordinating home loans with banks, and driving the possession handover workflow including snag resolution.</w:t>
      </w:r>
    </w:p>
    <w:p>
      <w:pPr>
        <w:spacing w:after="120" w:line="300"/>
        <w:jc w:val="both"/>
      </w:pPr>
      <w:r>
        <w:rPr>
          <w:b/>
          <w:bCs/>
          <w:sz w:val="22"/>
          <w:szCs w:val="22"/>
        </w:rPr>
        <w:t xml:space="preserve">Jobs to be done: </w:t>
      </w:r>
      <w:r>
        <w:rPr>
          <w:sz w:val="22"/>
          <w:szCs w:val="22"/>
        </w:rPr>
        <w:t xml:space="preserve">raise demands aligned to payment plan milestones; track receipts and outstanding with ageing; drive agreement execution within stipulated timelines; co-ordinate registration; manage possession handover with the project delivery team.</w:t>
      </w:r>
    </w:p>
    <w:p>
      <w:pPr>
        <w:spacing w:after="120" w:line="300"/>
        <w:jc w:val="both"/>
      </w:pPr>
      <w:r>
        <w:rPr>
          <w:b/>
          <w:bCs/>
          <w:sz w:val="22"/>
          <w:szCs w:val="22"/>
        </w:rPr>
        <w:t xml:space="preserve">Pain points today: </w:t>
      </w:r>
      <w:r>
        <w:rPr>
          <w:sz w:val="22"/>
          <w:szCs w:val="22"/>
        </w:rPr>
        <w:t xml:space="preserve">demand generation runs on Excel with manual tax calculation; collections chasing happens over telephone and WhatsApp with no central record; agreement execution status is tracked in a parallel system (often physical files); NOC and possession handover are orchestrated on email threads that break down at scale.</w:t>
      </w:r>
    </w:p>
    <w:p>
      <w:pPr>
        <w:pStyle w:val="Heading2"/>
        <w:spacing w:after="140" w:before="280"/>
      </w:pPr>
      <w:r>
        <w:t xml:space="preserve">4.4 Channel Partner Manager  (secondary)</w:t>
      </w:r>
    </w:p>
    <w:p>
      <w:pPr>
        <w:spacing w:after="120" w:line="300"/>
        <w:jc w:val="both"/>
      </w:pPr>
      <w:r>
        <w:rPr>
          <w:sz w:val="22"/>
          <w:szCs w:val="22"/>
        </w:rPr>
        <w:t xml:space="preserve">The CP Manager operates on the developer side and owns the CP ecosystem — onboarding new CPs, maintaining RERA and KYC records, negotiating commission slabs, approving payouts, and managing CP grievances. Not a high-transaction persona, but operates the system that drives the majority of sourced leads.</w:t>
      </w:r>
    </w:p>
    <w:p>
      <w:pPr>
        <w:pStyle w:val="Heading2"/>
        <w:spacing w:after="140" w:before="280"/>
      </w:pPr>
      <w:r>
        <w:t xml:space="preserve">4.5 Channel Partner  (secondary, external)</w:t>
      </w:r>
    </w:p>
    <w:p>
      <w:pPr>
        <w:spacing w:after="120" w:line="300"/>
        <w:jc w:val="both"/>
      </w:pPr>
      <w:r>
        <w:rPr>
          <w:sz w:val="22"/>
          <w:szCs w:val="22"/>
        </w:rPr>
        <w:t xml:space="preserve">The CP is an external user accessing the system via the Experience Cloud portal. A CP may be an individual broker or a small brokerage firm with a few agents. They register on the portal, submit leads, arrange site visits, track lead status, view commission accruals, and download payout statements. CPs do not see each other’s leads or commissions; strict data isolation is a baseline requirement, not a feature.</w:t>
      </w:r>
    </w:p>
    <w:p>
      <w:pPr>
        <w:pStyle w:val="Heading2"/>
        <w:spacing w:after="140" w:before="280"/>
      </w:pPr>
      <w:r>
        <w:t xml:space="preserve">4.6 Sales Head  (reporting persona)</w:t>
      </w:r>
    </w:p>
    <w:p>
      <w:pPr>
        <w:spacing w:after="120" w:line="300"/>
        <w:jc w:val="both"/>
      </w:pPr>
      <w:r>
        <w:rPr>
          <w:sz w:val="22"/>
          <w:szCs w:val="22"/>
        </w:rPr>
        <w:t xml:space="preserve">The Sales Head or VP Sales consumes the CRM through dashboards: portfolio-level pipeline and booking velocity, project-level target attainment, CP mix and concentration, post-sales ageing and collections performance. Served by reports and dashboards, not by transactional UI. Mobile dashboards matter.</w:t>
      </w:r>
    </w:p>
    <w:p>
      <w:pPr>
        <w:pStyle w:val="Heading1"/>
        <w:spacing w:after="180" w:before="360"/>
      </w:pPr>
      <w:r>
        <w:t xml:space="preserve">5. Scope Boundary</w:t>
      </w:r>
    </w:p>
    <w:p>
      <w:pPr>
        <w:spacing w:after="120" w:line="300"/>
        <w:jc w:val="both"/>
      </w:pPr>
      <w:r>
        <w:rPr>
          <w:sz w:val="22"/>
          <w:szCs w:val="22"/>
        </w:rPr>
        <w:t xml:space="preserve">The MVP scope is deliberately narrow to fit the 10–12 week solo delivery window at SDO-grade fidelity. The boundary below is not a wish list; it is the cut line that will be defended during Phase 1 and Phase 2.</w:t>
      </w:r>
    </w:p>
    <w:p>
      <w:pPr>
        <w:pStyle w:val="Heading2"/>
        <w:spacing w:after="140" w:before="280"/>
      </w:pPr>
      <w:r>
        <w:t xml:space="preserve">5.1 In scope for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Area</w:t>
            </w:r>
          </w:p>
        </w:tc>
        <w:tc>
          <w:tcPr>
            <w:tcW w:type="dxa" w:w="66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MVP Content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Sales Cloud — Pre-sales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capture (web-to-lead stub + manual + bulk import), lead routing and assignment, Site Visit object and scheduling, Opportunity lifecycle from interest to booking, inventory management (Project/Tower/Unit with status lifecycle and basic dynamic pricing).</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Sales Cloud — Post-sales</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 object, Payment Plan templates (CLP, DLP, PLP), Demand Letter generation with GST breakup, Receipt tracking, Agreement workflow with stubbed e-sign, Registration tracking, Possession handover workflow with snag checklist.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Channel Partner portal</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Experience Cloud site for CPs with lead submission, lead status tracking, site visit visibility, commission accrual dashboard, and payout statement download. Strict per-CP data isolation.</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Commission engine</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Rate card configuration by project and CP tier, accrual rules triggered on booking/agreement/registration milestones, Commission_Ledger object, payout batch generation.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Agentforce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Two agents: Lead Qualification Agent (inbound triage and routing) and Sales RM Copilot (internal assistant on Lead and Opportunity records).</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Reporting</w:t>
            </w:r>
          </w:p>
        </w:tc>
        <w:tc>
          <w:tcPr>
            <w:tcW w:type="dxa" w:w="66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Dashboards for Sales Head (portfolio), Project Sales Manager (project pipeline and inventory), CP Manager (CP performance), and Post-Sales (collections and ageing).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Data-model hooks for future comms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Notification_Preference object, Template metadata structure, trigger-point markers on Booking, Demand, and Possession objects. No send logic is implemented.</w:t>
            </w:r>
          </w:p>
        </w:tc>
      </w:tr>
    </w:tbl>
    <w:p>
      <w:r>
        <w:t xml:space="preserve"/>
      </w:r>
    </w:p>
    <w:p>
      <w:pPr>
        <w:pStyle w:val="Heading2"/>
        <w:spacing w:after="140" w:before="280"/>
      </w:pPr>
      <w:r>
        <w:t xml:space="preserve">5.2 Explicitly out of scope for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Area</w:t>
            </w:r>
          </w:p>
        </w:tc>
        <w:tc>
          <w:tcPr>
            <w:tcW w:type="dxa" w:w="38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Deferred to</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Marketing Cloud Next journeys, DLT, WhatsApp Business API</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 / v1.5</w:t>
            </w:r>
          </w:p>
        </w:tc>
      </w:tr>
      <w:tr>
        <w:tc>
          <w:tcPr>
            <w:tcW w:type="dxa" w:w="5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Service Cloud — post-possession cases, snagging tickets, customer care</w:t>
            </w:r>
          </w:p>
        </w:tc>
        <w:tc>
          <w:tcPr>
            <w:tcW w:type="dxa" w:w="3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 / v1.5</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Real integrations with 99acres, MagicBricks, Housing.com, Meta Lead Ads</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 — stub with webhook-ready Apex class in MVP</w:t>
            </w:r>
          </w:p>
        </w:tc>
      </w:tr>
      <w:tr>
        <w:tc>
          <w:tcPr>
            <w:tcW w:type="dxa" w:w="5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Real e-sign integration with Leegality / Signdesk / DocuSign India</w:t>
            </w:r>
          </w:p>
        </w:tc>
        <w:tc>
          <w:tcPr>
            <w:tcW w:type="dxa" w:w="3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 — stub in MVP</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Real KYC integration (PAN verification, Aadhaar via DigiLocker)</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 — stub in MVP</w:t>
            </w:r>
          </w:p>
        </w:tc>
      </w:tr>
      <w:tr>
        <w:tc>
          <w:tcPr>
            <w:tcW w:type="dxa" w:w="5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Real payment gateway (Razorpay, PayU) and bank home loan APIs</w:t>
            </w:r>
          </w:p>
        </w:tc>
        <w:tc>
          <w:tcPr>
            <w:tcW w:type="dxa" w:w="3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 — stub in MVP</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Third Agentforce agent (CP Portal Assistant)</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 / v1.5</w:t>
            </w:r>
          </w:p>
        </w:tc>
      </w:tr>
      <w:tr>
        <w:tc>
          <w:tcPr>
            <w:tcW w:type="dxa" w:w="5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Mobile app (Salesforce Mobile supported out-of-box; no custom mobile work)</w:t>
            </w:r>
          </w:p>
        </w:tc>
        <w:tc>
          <w:tcPr>
            <w:tcW w:type="dxa" w:w="3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Post-MVP polish</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RERA state-portal submissions (quarterly progress reports)</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3 when business requires</w:t>
            </w:r>
          </w:p>
        </w:tc>
      </w:tr>
    </w:tbl>
    <w:p>
      <w:pPr>
        <w:pStyle w:val="Heading1"/>
        <w:spacing w:after="180" w:before="360"/>
      </w:pPr>
      <w:r>
        <w:t xml:space="preserve">6. Capability Matrix</w:t>
      </w:r>
    </w:p>
    <w:p>
      <w:pPr>
        <w:spacing w:after="120" w:line="300"/>
        <w:jc w:val="both"/>
      </w:pPr>
      <w:r>
        <w:rPr>
          <w:sz w:val="22"/>
          <w:szCs w:val="22"/>
        </w:rPr>
        <w:t xml:space="preserve">Capabilities are prioritised using MoSCoW. Every Must is in the 10–12 week plan. Shoulds are built if time remains. Coulds are noted to guide Phase 1 architecture so they remain cheap to add later; they are not built in MVP.</w:t>
      </w:r>
    </w:p>
    <w:p>
      <w:pPr>
        <w:pStyle w:val="Heading2"/>
        <w:spacing w:after="140" w:before="280"/>
      </w:pPr>
      <w:r>
        <w:t xml:space="preserve">6.1 Sales Cloud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Capability</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MoSCoW</w:t>
            </w:r>
          </w:p>
        </w:tc>
        <w:tc>
          <w:tcPr>
            <w:tcW w:type="dxa" w:w="3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capture from web form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Web-to-Lead + REST endpoint stub</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Lead routing by project, source, location</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Assignment rules + queues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de-duplication on phone/email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Duplicate rules + matching rules</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Site Visit scheduling and outcome capture</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Custom object, basic calendar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Opportunity lifecycle to Booked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Stages + stage-gated validation</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Inventory hierarchy: Project → Tower → Unit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Custom objects with relationships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Unit status lifecycle (Available/Blocked/Booked/Cancelled)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State-machine via validation + Flow</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Dynamic pricing: BSP + PLC + EDC + IDC + IFMS + GST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Pricing component object, calc fields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Concession approval workflow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Approval process, RM → PSM</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Joint buyer modelling (multi co-buyers per booking)</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Booking_Customer junction</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NRI buyer flag and FEMA compliance fields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Should</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Fields only in MVP</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Payment Plan templates and instantiation</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CLP, DLP, PLP templates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Demand Letter generation (PDF)</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VF PDF or doc-gen Apex</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Receipt capture and reconciliation</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Manual entry in MVP</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Agreement workflow with e-sign stub</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Stub ready for Leegality</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Registration tracking</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Date and reference capture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Possession handover with snag checklist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Custom object, checklist child</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Cancellation and refund workflow</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Should</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State only; refund engine Phase 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Resale / unit transfer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Won’t (MVP)</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RERA quarterly progress report submission</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Won’t (MVP)</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3</w:t>
            </w:r>
          </w:p>
        </w:tc>
      </w:tr>
    </w:tbl>
    <w:p>
      <w:pPr>
        <w:pStyle w:val="Heading2"/>
        <w:spacing w:after="140" w:before="280"/>
      </w:pPr>
      <w:r>
        <w:t xml:space="preserve">6.2 Channel Partner portal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Capability</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MoSCoW</w:t>
            </w:r>
          </w:p>
        </w:tc>
        <w:tc>
          <w:tcPr>
            <w:tcW w:type="dxa" w:w="3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CP self-registration with RERA and KYC fields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Exp Cloud self-register + approval</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CP login and profile management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Customer+ or Partner Community licence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submission by CP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LWC form posting to Lead</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Lead status visibility (own leads only)</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Sharing set / sharing rules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Site visit scheduling request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Creates Site Visit in draft</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Commission accrual dashboard</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Exp Cloud dashboard from Ledger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Payout statement download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PDF generation</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Project brochure and collateral library</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Should</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Files in CMS workspace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CP-to-CP lead sharing / referral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Won’t (MVP)</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2</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In-portal AI assistant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Won’t (MVP)</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 (third agent)</w:t>
            </w:r>
          </w:p>
        </w:tc>
      </w:tr>
    </w:tbl>
    <w:p>
      <w:pPr>
        <w:pStyle w:val="Heading2"/>
        <w:spacing w:after="140" w:before="280"/>
      </w:pPr>
      <w:r>
        <w:t xml:space="preserve">6.3 Agentforce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Capability</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MoSCoW</w:t>
            </w:r>
          </w:p>
        </w:tc>
        <w:tc>
          <w:tcPr>
            <w:tcW w:type="dxa" w:w="34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Qualification Agent — classify and score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Budget, unit type, location signals</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Lead Qualification Agent — route to RM queue</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Invokes assignment logic</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Qualification Agent — enrich with project match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Suggests up to 3 matching units</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Sales RM Copilot — next-best-action</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Inline on record page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Sales RM Copilot — draft follow-up message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SMS/email draft text (no send)</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Sales RM Copilot — inventory query</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Must</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Natural-language inventory search</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Sales RM Copilot — project Q&amp;A (grounding)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Should</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Grounded on Project + PDFs</w:t>
            </w:r>
          </w:p>
        </w:tc>
      </w:tr>
      <w:tr>
        <w:tc>
          <w:tcPr>
            <w:tcW w:type="dxa" w:w="4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CP Portal Assistant</w:t>
            </w:r>
          </w:p>
        </w:tc>
        <w:tc>
          <w:tcPr>
            <w:tcW w:type="dxa" w:w="1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Won’t (MVP)</w:t>
            </w:r>
          </w:p>
        </w:tc>
        <w:tc>
          <w:tcPr>
            <w:tcW w:type="dxa" w:w="34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w:t>
            </w:r>
          </w:p>
        </w:tc>
      </w:tr>
    </w:tbl>
    <w:p>
      <w:pPr>
        <w:pStyle w:val="Heading1"/>
        <w:spacing w:after="180" w:before="360"/>
      </w:pPr>
      <w:r>
        <w:t xml:space="preserve">7. Conceptual Data Model</w:t>
      </w:r>
    </w:p>
    <w:p>
      <w:pPr>
        <w:spacing w:after="120" w:line="300"/>
        <w:jc w:val="both"/>
      </w:pPr>
      <w:r>
        <w:rPr>
          <w:sz w:val="22"/>
          <w:szCs w:val="22"/>
        </w:rPr>
        <w:t xml:space="preserve">The model below is conceptual — the goal here is to fix the core object set, the key relationships, and the rationale for custom objects. Field-level design, record types, and sharing architecture are deliverables of Phase 1.</w:t>
      </w:r>
    </w:p>
    <w:p>
      <w:pPr>
        <w:pStyle w:val="Heading2"/>
        <w:spacing w:after="140" w:before="280"/>
      </w:pPr>
      <w:r>
        <w:t xml:space="preserve">7.1 Core objects and relationships</w:t>
      </w:r>
    </w:p>
    <w:p>
      <w:pPr>
        <w:pStyle w:val="Heading3"/>
        <w:spacing w:after="100" w:before="200"/>
      </w:pPr>
      <w:r>
        <w:t xml:space="preserve">Inventory cluster</w:t>
      </w:r>
    </w:p>
    <w:p>
      <w:pPr>
        <w:pStyle w:val="ListParagraph"/>
        <w:numPr>
          <w:ilvl w:val="0"/>
          <w:numId w:val="2"/>
        </w:numPr>
        <w:spacing w:after="80" w:line="280"/>
      </w:pPr>
      <w:r>
        <w:rPr>
          <w:b/>
          <w:bCs/>
          <w:sz w:val="22"/>
          <w:szCs w:val="22"/>
        </w:rPr>
        <w:t xml:space="preserve">Project__c  </w:t>
      </w:r>
      <w:r>
        <w:rPr>
          <w:sz w:val="22"/>
          <w:szCs w:val="22"/>
        </w:rPr>
        <w:t xml:space="preserve">— the top-level development (e.g., Lodha Park, DLF Camellias). Holds name, RERA number, location, launch status, delivery date, project type (residential, mixed-use), and key milestone dates.</w:t>
      </w:r>
    </w:p>
    <w:p>
      <w:pPr>
        <w:pStyle w:val="ListParagraph"/>
        <w:numPr>
          <w:ilvl w:val="0"/>
          <w:numId w:val="2"/>
        </w:numPr>
        <w:spacing w:after="80" w:line="280"/>
      </w:pPr>
      <w:r>
        <w:rPr>
          <w:b/>
          <w:bCs/>
          <w:sz w:val="22"/>
          <w:szCs w:val="22"/>
        </w:rPr>
        <w:t xml:space="preserve">Tower__c  </w:t>
      </w:r>
      <w:r>
        <w:rPr>
          <w:sz w:val="22"/>
          <w:szCs w:val="22"/>
        </w:rPr>
        <w:t xml:space="preserve">— child of Project. Represents a building or wing within the project. Holds tower code, number of floors, configuration mix, construction status.</w:t>
      </w:r>
    </w:p>
    <w:p>
      <w:pPr>
        <w:pStyle w:val="ListParagraph"/>
        <w:numPr>
          <w:ilvl w:val="0"/>
          <w:numId w:val="2"/>
        </w:numPr>
        <w:spacing w:after="80" w:line="280"/>
      </w:pPr>
      <w:r>
        <w:rPr>
          <w:b/>
          <w:bCs/>
          <w:sz w:val="22"/>
          <w:szCs w:val="22"/>
        </w:rPr>
        <w:t xml:space="preserve">Unit__c  </w:t>
      </w:r>
      <w:r>
        <w:rPr>
          <w:sz w:val="22"/>
          <w:szCs w:val="22"/>
        </w:rPr>
        <w:t xml:space="preserve">— child of Tower. The atomic inventory item. Holds unit number, floor, configuration (2BHK, 3BHK, etc.), carpet area, built-up area, super built-up area, facing, view, corner flag, unit status (Available, Blocked, Booked, Cancelled), current base price, and a lookup to the active Booking if any.</w:t>
      </w:r>
    </w:p>
    <w:p>
      <w:pPr>
        <w:pStyle w:val="ListParagraph"/>
        <w:numPr>
          <w:ilvl w:val="0"/>
          <w:numId w:val="2"/>
        </w:numPr>
        <w:spacing w:after="80" w:line="280"/>
      </w:pPr>
      <w:r>
        <w:rPr>
          <w:b/>
          <w:bCs/>
          <w:sz w:val="22"/>
          <w:szCs w:val="22"/>
        </w:rPr>
        <w:t xml:space="preserve">Pricing_Component__c  </w:t>
      </w:r>
      <w:r>
        <w:rPr>
          <w:sz w:val="22"/>
          <w:szCs w:val="22"/>
        </w:rPr>
        <w:t xml:space="preserve">— child of Unit (or Tower for tower-wide components). Breaks pricing into BSP, PLC, EDC, IDC, IFMS, club membership, car parking, power backup, etc. Each component has value, unit of measurement (per sq ft, fixed, percentage of BSP), and effective dates.</w:t>
      </w:r>
    </w:p>
    <w:p>
      <w:pPr>
        <w:pStyle w:val="Heading3"/>
        <w:spacing w:after="100" w:before="200"/>
      </w:pPr>
      <w:r>
        <w:t xml:space="preserve">Customer and lead cluster</w:t>
      </w:r>
    </w:p>
    <w:p>
      <w:pPr>
        <w:pStyle w:val="ListParagraph"/>
        <w:numPr>
          <w:ilvl w:val="0"/>
          <w:numId w:val="2"/>
        </w:numPr>
        <w:spacing w:after="80" w:line="280"/>
      </w:pPr>
      <w:r>
        <w:rPr>
          <w:b/>
          <w:bCs/>
          <w:sz w:val="22"/>
          <w:szCs w:val="22"/>
        </w:rPr>
        <w:t xml:space="preserve">Lead  </w:t>
      </w:r>
      <w:r>
        <w:rPr>
          <w:sz w:val="22"/>
          <w:szCs w:val="22"/>
        </w:rPr>
        <w:t xml:space="preserve">— standard object with custom fields for source channel (digital, CP, walk-in, aggregator), aggregator name, CP lookup (populated if source=CP), budget range, unit type preference, location preference, urgency, NRI flag, and preferred communication channel.</w:t>
      </w:r>
    </w:p>
    <w:p>
      <w:pPr>
        <w:pStyle w:val="ListParagraph"/>
        <w:numPr>
          <w:ilvl w:val="0"/>
          <w:numId w:val="2"/>
        </w:numPr>
        <w:spacing w:after="80" w:line="280"/>
      </w:pPr>
      <w:r>
        <w:rPr>
          <w:b/>
          <w:bCs/>
          <w:sz w:val="22"/>
          <w:szCs w:val="22"/>
        </w:rPr>
        <w:t xml:space="preserve">Account  </w:t>
      </w:r>
      <w:r>
        <w:rPr>
          <w:sz w:val="22"/>
          <w:szCs w:val="22"/>
        </w:rPr>
        <w:t xml:space="preserve">— standard object with record types: Buyer, Channel_Partner, Corporate_Buyer. Buyer and Corporate_Buyer differ in KYC document set and GST treatment.</w:t>
      </w:r>
    </w:p>
    <w:p>
      <w:pPr>
        <w:pStyle w:val="ListParagraph"/>
        <w:numPr>
          <w:ilvl w:val="0"/>
          <w:numId w:val="2"/>
        </w:numPr>
        <w:spacing w:after="80" w:line="280"/>
      </w:pPr>
      <w:r>
        <w:rPr>
          <w:b/>
          <w:bCs/>
          <w:sz w:val="22"/>
          <w:szCs w:val="22"/>
        </w:rPr>
        <w:t xml:space="preserve">Contact  </w:t>
      </w:r>
      <w:r>
        <w:rPr>
          <w:sz w:val="22"/>
          <w:szCs w:val="22"/>
        </w:rPr>
        <w:t xml:space="preserve">— standard object. A buyer Account typically has one primary Contact but may have multiple for joint bookings.</w:t>
      </w:r>
    </w:p>
    <w:p>
      <w:pPr>
        <w:pStyle w:val="ListParagraph"/>
        <w:numPr>
          <w:ilvl w:val="0"/>
          <w:numId w:val="2"/>
        </w:numPr>
        <w:spacing w:after="80" w:line="280"/>
      </w:pPr>
      <w:r>
        <w:rPr>
          <w:b/>
          <w:bCs/>
          <w:sz w:val="22"/>
          <w:szCs w:val="22"/>
        </w:rPr>
        <w:t xml:space="preserve">Site_Visit__c  </w:t>
      </w:r>
      <w:r>
        <w:rPr>
          <w:sz w:val="22"/>
          <w:szCs w:val="22"/>
        </w:rPr>
        <w:t xml:space="preserve">— custom object. Captures scheduled visits, attendance, RM who conducted, project, buyer feedback, concessions discussed, outcome. Related to Lead or Opportunity.</w:t>
      </w:r>
    </w:p>
    <w:p>
      <w:pPr>
        <w:pStyle w:val="Heading3"/>
        <w:spacing w:after="100" w:before="200"/>
      </w:pPr>
      <w:r>
        <w:t xml:space="preserve">Transactional cluster</w:t>
      </w:r>
    </w:p>
    <w:p>
      <w:pPr>
        <w:pStyle w:val="ListParagraph"/>
        <w:numPr>
          <w:ilvl w:val="0"/>
          <w:numId w:val="2"/>
        </w:numPr>
        <w:spacing w:after="80" w:line="280"/>
      </w:pPr>
      <w:r>
        <w:rPr>
          <w:b/>
          <w:bCs/>
          <w:sz w:val="22"/>
          <w:szCs w:val="22"/>
        </w:rPr>
        <w:t xml:space="preserve">Opportunity  </w:t>
      </w:r>
      <w:r>
        <w:rPr>
          <w:sz w:val="22"/>
          <w:szCs w:val="22"/>
        </w:rPr>
        <w:t xml:space="preserve">— standard object representing the pre-sales funnel. Stages: New → Qualified → Site Visit Scheduled → Site Visit Done → Negotiation → EOI → Token Paid → Closed Won (Booked) / Closed Lost. Lookup to Unit when a specific unit is under consideration.</w:t>
      </w:r>
    </w:p>
    <w:p>
      <w:pPr>
        <w:pStyle w:val="ListParagraph"/>
        <w:numPr>
          <w:ilvl w:val="0"/>
          <w:numId w:val="2"/>
        </w:numPr>
        <w:spacing w:after="80" w:line="280"/>
      </w:pPr>
      <w:r>
        <w:rPr>
          <w:b/>
          <w:bCs/>
          <w:sz w:val="22"/>
          <w:szCs w:val="22"/>
        </w:rPr>
        <w:t xml:space="preserve">Booking__c  </w:t>
      </w:r>
      <w:r>
        <w:rPr>
          <w:sz w:val="22"/>
          <w:szCs w:val="22"/>
        </w:rPr>
        <w:t xml:space="preserve">— custom object created when Opportunity is won. Holds the full booking record: buyer(s), unit, pricing breakup at booking, selected payment plan, agreement status, registration status, possession status. Owner typically shifts from RM to post-sales team at creation.</w:t>
      </w:r>
    </w:p>
    <w:p>
      <w:pPr>
        <w:pStyle w:val="ListParagraph"/>
        <w:numPr>
          <w:ilvl w:val="0"/>
          <w:numId w:val="2"/>
        </w:numPr>
        <w:spacing w:after="80" w:line="280"/>
      </w:pPr>
      <w:r>
        <w:rPr>
          <w:b/>
          <w:bCs/>
          <w:sz w:val="22"/>
          <w:szCs w:val="22"/>
        </w:rPr>
        <w:t xml:space="preserve">Booking_Customer__c  </w:t>
      </w:r>
      <w:r>
        <w:rPr>
          <w:sz w:val="22"/>
          <w:szCs w:val="22"/>
        </w:rPr>
        <w:t xml:space="preserve">— junction between Booking and Contact. Supports joint bookings with ownership percentage and payment share.</w:t>
      </w:r>
    </w:p>
    <w:p>
      <w:pPr>
        <w:pStyle w:val="ListParagraph"/>
        <w:numPr>
          <w:ilvl w:val="0"/>
          <w:numId w:val="2"/>
        </w:numPr>
        <w:spacing w:after="80" w:line="280"/>
      </w:pPr>
      <w:r>
        <w:rPr>
          <w:b/>
          <w:bCs/>
          <w:sz w:val="22"/>
          <w:szCs w:val="22"/>
        </w:rPr>
        <w:t xml:space="preserve">Payment_Plan__c  </w:t>
      </w:r>
      <w:r>
        <w:rPr>
          <w:sz w:val="22"/>
          <w:szCs w:val="22"/>
        </w:rPr>
        <w:t xml:space="preserve">— master table of plan templates (CLP, DLP, PLP, subvention) with milestones and percentage splits.</w:t>
      </w:r>
    </w:p>
    <w:p>
      <w:pPr>
        <w:pStyle w:val="ListParagraph"/>
        <w:numPr>
          <w:ilvl w:val="0"/>
          <w:numId w:val="2"/>
        </w:numPr>
        <w:spacing w:after="80" w:line="280"/>
      </w:pPr>
      <w:r>
        <w:rPr>
          <w:b/>
          <w:bCs/>
          <w:sz w:val="22"/>
          <w:szCs w:val="22"/>
        </w:rPr>
        <w:t xml:space="preserve">Booking_Payment_Schedule__c  </w:t>
      </w:r>
      <w:r>
        <w:rPr>
          <w:sz w:val="22"/>
          <w:szCs w:val="22"/>
        </w:rPr>
        <w:t xml:space="preserve">— child of Booking, instantiated from a Payment Plan template, with actual dates and amounts.</w:t>
      </w:r>
    </w:p>
    <w:p>
      <w:pPr>
        <w:pStyle w:val="ListParagraph"/>
        <w:numPr>
          <w:ilvl w:val="0"/>
          <w:numId w:val="2"/>
        </w:numPr>
        <w:spacing w:after="80" w:line="280"/>
      </w:pPr>
      <w:r>
        <w:rPr>
          <w:b/>
          <w:bCs/>
          <w:sz w:val="22"/>
          <w:szCs w:val="22"/>
        </w:rPr>
        <w:t xml:space="preserve">Demand__c  </w:t>
      </w:r>
      <w:r>
        <w:rPr>
          <w:sz w:val="22"/>
          <w:szCs w:val="22"/>
        </w:rPr>
        <w:t xml:space="preserve">— a raised demand letter. Child of Booking. Holds demand number, due date, components (principal + GST + interest), status (Raised, Partial, Paid, Overdue), and linked receipts.</w:t>
      </w:r>
    </w:p>
    <w:p>
      <w:pPr>
        <w:pStyle w:val="ListParagraph"/>
        <w:numPr>
          <w:ilvl w:val="0"/>
          <w:numId w:val="2"/>
        </w:numPr>
        <w:spacing w:after="80" w:line="280"/>
      </w:pPr>
      <w:r>
        <w:rPr>
          <w:b/>
          <w:bCs/>
          <w:sz w:val="22"/>
          <w:szCs w:val="22"/>
        </w:rPr>
        <w:t xml:space="preserve">Receipt__c  </w:t>
      </w:r>
      <w:r>
        <w:rPr>
          <w:sz w:val="22"/>
          <w:szCs w:val="22"/>
        </w:rPr>
        <w:t xml:space="preserve">— a received payment. Linked to one or more Demands. Holds amount, mode, instrument reference, TDS captured.</w:t>
      </w:r>
    </w:p>
    <w:p>
      <w:pPr>
        <w:pStyle w:val="ListParagraph"/>
        <w:numPr>
          <w:ilvl w:val="0"/>
          <w:numId w:val="2"/>
        </w:numPr>
        <w:spacing w:after="80" w:line="280"/>
      </w:pPr>
      <w:r>
        <w:rPr>
          <w:b/>
          <w:bCs/>
          <w:sz w:val="22"/>
          <w:szCs w:val="22"/>
        </w:rPr>
        <w:t xml:space="preserve">Agreement__c  </w:t>
      </w:r>
      <w:r>
        <w:rPr>
          <w:sz w:val="22"/>
          <w:szCs w:val="22"/>
        </w:rPr>
        <w:t xml:space="preserve">— child of Booking. Tracks agreement generation, e-sign status (stubbed in MVP), signed date, executed copy reference.</w:t>
      </w:r>
    </w:p>
    <w:p>
      <w:pPr>
        <w:pStyle w:val="ListParagraph"/>
        <w:numPr>
          <w:ilvl w:val="0"/>
          <w:numId w:val="2"/>
        </w:numPr>
        <w:spacing w:after="80" w:line="280"/>
      </w:pPr>
      <w:r>
        <w:rPr>
          <w:b/>
          <w:bCs/>
          <w:sz w:val="22"/>
          <w:szCs w:val="22"/>
        </w:rPr>
        <w:t xml:space="preserve">Possession__c  </w:t>
      </w:r>
      <w:r>
        <w:rPr>
          <w:sz w:val="22"/>
          <w:szCs w:val="22"/>
        </w:rPr>
        <w:t xml:space="preserve">— child of Booking. Tracks NOC issuance, snag list, handover date, keys-handed flag.</w:t>
      </w:r>
    </w:p>
    <w:p>
      <w:pPr>
        <w:pStyle w:val="Heading3"/>
        <w:spacing w:after="100" w:before="200"/>
      </w:pPr>
      <w:r>
        <w:t xml:space="preserve">Channel partner cluster</w:t>
      </w:r>
    </w:p>
    <w:p>
      <w:pPr>
        <w:pStyle w:val="ListParagraph"/>
        <w:numPr>
          <w:ilvl w:val="0"/>
          <w:numId w:val="2"/>
        </w:numPr>
        <w:spacing w:after="80" w:line="280"/>
      </w:pPr>
      <w:r>
        <w:rPr>
          <w:b/>
          <w:bCs/>
          <w:sz w:val="22"/>
          <w:szCs w:val="22"/>
        </w:rPr>
        <w:t xml:space="preserve">Account  </w:t>
      </w:r>
      <w:r>
        <w:rPr>
          <w:sz w:val="22"/>
          <w:szCs w:val="22"/>
        </w:rPr>
        <w:t xml:space="preserve">with record type </w:t>
      </w:r>
      <w:r>
        <w:rPr>
          <w:b/>
          <w:bCs/>
          <w:sz w:val="22"/>
          <w:szCs w:val="22"/>
        </w:rPr>
        <w:t xml:space="preserve">Channel_Partner</w:t>
      </w:r>
      <w:r>
        <w:rPr>
          <w:sz w:val="22"/>
          <w:szCs w:val="22"/>
        </w:rPr>
        <w:t xml:space="preserve"> — holds RERA number, RERA state, PAN, GSTIN, empanelment date, tier, status.</w:t>
      </w:r>
    </w:p>
    <w:p>
      <w:pPr>
        <w:pStyle w:val="ListParagraph"/>
        <w:numPr>
          <w:ilvl w:val="0"/>
          <w:numId w:val="2"/>
        </w:numPr>
        <w:spacing w:after="80" w:line="280"/>
      </w:pPr>
      <w:r>
        <w:rPr>
          <w:b/>
          <w:bCs/>
          <w:sz w:val="22"/>
          <w:szCs w:val="22"/>
        </w:rPr>
        <w:t xml:space="preserve">Commission_Rate_Card__c  </w:t>
      </w:r>
      <w:r>
        <w:rPr>
          <w:sz w:val="22"/>
          <w:szCs w:val="22"/>
        </w:rPr>
        <w:t xml:space="preserve">— holds rate slabs by Project, CP tier, and milestone (booking, agreement, registration).</w:t>
      </w:r>
    </w:p>
    <w:p>
      <w:pPr>
        <w:pStyle w:val="ListParagraph"/>
        <w:numPr>
          <w:ilvl w:val="0"/>
          <w:numId w:val="2"/>
        </w:numPr>
        <w:spacing w:after="80" w:line="280"/>
      </w:pPr>
      <w:r>
        <w:rPr>
          <w:b/>
          <w:bCs/>
          <w:sz w:val="22"/>
          <w:szCs w:val="22"/>
        </w:rPr>
        <w:t xml:space="preserve">Commission_Ledger__c  </w:t>
      </w:r>
      <w:r>
        <w:rPr>
          <w:sz w:val="22"/>
          <w:szCs w:val="22"/>
        </w:rPr>
        <w:t xml:space="preserve">— individual accrual entries linked to Booking and CP, with status (Accrued, Approved, Paid, Clawed Back).</w:t>
      </w:r>
    </w:p>
    <w:p>
      <w:pPr>
        <w:pStyle w:val="ListParagraph"/>
        <w:numPr>
          <w:ilvl w:val="0"/>
          <w:numId w:val="2"/>
        </w:numPr>
        <w:spacing w:after="80" w:line="280"/>
      </w:pPr>
      <w:r>
        <w:rPr>
          <w:b/>
          <w:bCs/>
          <w:sz w:val="22"/>
          <w:szCs w:val="22"/>
        </w:rPr>
        <w:t xml:space="preserve">Commission_Payout__c  </w:t>
      </w:r>
      <w:r>
        <w:rPr>
          <w:sz w:val="22"/>
          <w:szCs w:val="22"/>
        </w:rPr>
        <w:t xml:space="preserve">— batch object grouping ledger entries for a payout cycle, with TDS and GST handling.</w:t>
      </w:r>
    </w:p>
    <w:p>
      <w:pPr>
        <w:pStyle w:val="Heading3"/>
        <w:spacing w:after="100" w:before="200"/>
      </w:pPr>
      <w:r>
        <w:t xml:space="preserve">Supporting objects</w:t>
      </w:r>
    </w:p>
    <w:p>
      <w:pPr>
        <w:pStyle w:val="ListParagraph"/>
        <w:numPr>
          <w:ilvl w:val="0"/>
          <w:numId w:val="2"/>
        </w:numPr>
        <w:spacing w:after="80" w:line="280"/>
      </w:pPr>
      <w:r>
        <w:rPr>
          <w:b/>
          <w:bCs/>
          <w:sz w:val="22"/>
          <w:szCs w:val="22"/>
        </w:rPr>
        <w:t xml:space="preserve">Notification_Preference__c  </w:t>
      </w:r>
      <w:r>
        <w:rPr>
          <w:sz w:val="22"/>
          <w:szCs w:val="22"/>
        </w:rPr>
        <w:t xml:space="preserve">— per Account/Contact preferences for future comms (email, SMS, WhatsApp, do-not-disturb windows). Data only; no send logic in MVP.</w:t>
      </w:r>
    </w:p>
    <w:p>
      <w:pPr>
        <w:pStyle w:val="ListParagraph"/>
        <w:numPr>
          <w:ilvl w:val="0"/>
          <w:numId w:val="2"/>
        </w:numPr>
        <w:spacing w:after="80" w:line="280"/>
      </w:pPr>
      <w:r>
        <w:rPr>
          <w:b/>
          <w:bCs/>
          <w:sz w:val="22"/>
          <w:szCs w:val="22"/>
        </w:rPr>
        <w:t xml:space="preserve">Concession_Request__c  </w:t>
      </w:r>
      <w:r>
        <w:rPr>
          <w:sz w:val="22"/>
          <w:szCs w:val="22"/>
        </w:rPr>
        <w:t xml:space="preserve">— tracks discount/concession requests with approval chain.</w:t>
      </w:r>
    </w:p>
    <w:p>
      <w:pPr>
        <w:pStyle w:val="ListParagraph"/>
        <w:numPr>
          <w:ilvl w:val="0"/>
          <w:numId w:val="2"/>
        </w:numPr>
        <w:spacing w:after="80" w:line="280"/>
      </w:pPr>
      <w:r>
        <w:rPr>
          <w:b/>
          <w:bCs/>
          <w:sz w:val="22"/>
          <w:szCs w:val="22"/>
        </w:rPr>
        <w:t xml:space="preserve">Document_Checklist__c  </w:t>
      </w:r>
      <w:r>
        <w:rPr>
          <w:sz w:val="22"/>
          <w:szCs w:val="22"/>
        </w:rPr>
        <w:t xml:space="preserve">— booking-level checklist of KYC and statutory documents with upload status.</w:t>
      </w:r>
    </w:p>
    <w:p>
      <w:pPr>
        <w:pStyle w:val="Heading2"/>
        <w:spacing w:after="140" w:before="280"/>
      </w:pPr>
      <w:r>
        <w:t xml:space="preserve">7.2 Key relationship decisions</w:t>
      </w:r>
    </w:p>
    <w:p>
      <w:pPr>
        <w:spacing w:after="120" w:line="300"/>
        <w:jc w:val="both"/>
      </w:pPr>
      <w:r>
        <w:rPr>
          <w:sz w:val="22"/>
          <w:szCs w:val="22"/>
        </w:rPr>
        <w:t xml:space="preserve">Three relationship calls shape the model and are worth flagging explicitly.</w:t>
      </w:r>
    </w:p>
    <w:p>
      <w:pPr>
        <w:pStyle w:val="ListParagraph"/>
        <w:numPr>
          <w:ilvl w:val="0"/>
          <w:numId w:val="2"/>
        </w:numPr>
        <w:spacing w:after="80" w:line="280"/>
      </w:pPr>
      <w:r>
        <w:rPr>
          <w:b/>
          <w:bCs/>
          <w:sz w:val="22"/>
          <w:szCs w:val="22"/>
        </w:rPr>
        <w:t xml:space="preserve">Unit to Booking is 1:1 at any time, 1:many across history.</w:t>
      </w:r>
      <w:r>
        <w:rPr>
          <w:sz w:val="22"/>
          <w:szCs w:val="22"/>
        </w:rPr>
        <w:t xml:space="preserve"> A Unit has at most one active Booking (enforced through unit status and a current_booking lookup), but cancelled or transferred bookings leave historical records. This supports cancellation and resale without losing audit.</w:t>
      </w:r>
    </w:p>
    <w:p>
      <w:pPr>
        <w:pStyle w:val="ListParagraph"/>
        <w:numPr>
          <w:ilvl w:val="0"/>
          <w:numId w:val="2"/>
        </w:numPr>
        <w:spacing w:after="80" w:line="280"/>
      </w:pPr>
      <w:r>
        <w:rPr>
          <w:b/>
          <w:bCs/>
          <w:sz w:val="22"/>
          <w:szCs w:val="22"/>
        </w:rPr>
        <w:t xml:space="preserve">Booking is owned by the Post-Sales team; Opportunity is owned by the RM.</w:t>
      </w:r>
      <w:r>
        <w:rPr>
          <w:sz w:val="22"/>
          <w:szCs w:val="22"/>
        </w:rPr>
        <w:t xml:space="preserve"> When Booking is created (on Opp Closed Won), ownership of the Booking record defaults to the Post-Sales queue. This clean handoff is structural, not procedural.</w:t>
      </w:r>
    </w:p>
    <w:p>
      <w:pPr>
        <w:pStyle w:val="ListParagraph"/>
        <w:numPr>
          <w:ilvl w:val="0"/>
          <w:numId w:val="2"/>
        </w:numPr>
        <w:spacing w:after="80" w:line="280"/>
      </w:pPr>
      <w:r>
        <w:rPr>
          <w:b/>
          <w:bCs/>
          <w:sz w:val="22"/>
          <w:szCs w:val="22"/>
        </w:rPr>
        <w:t xml:space="preserve">CP lead attribution is captured on Lead creation and locked at Opportunity close.</w:t>
      </w:r>
      <w:r>
        <w:rPr>
          <w:sz w:val="22"/>
          <w:szCs w:val="22"/>
        </w:rPr>
        <w:t xml:space="preserve"> A Lead can change CP (transfer) up to a defined point; once the Opportunity is closed won, the CP on the Booking is locked for commission purposes. This prevents gaming and disputes.</w:t>
      </w:r>
    </w:p>
    <w:p>
      <w:pPr>
        <w:pStyle w:val="Heading1"/>
        <w:spacing w:after="180" w:before="360"/>
      </w:pPr>
      <w:r>
        <w:t xml:space="preserve">8. Architectural Decision: Booking vs. Opportunity</w:t>
      </w:r>
    </w:p>
    <w:p>
      <w:pPr>
        <w:spacing w:after="120" w:line="300"/>
        <w:jc w:val="both"/>
      </w:pPr>
      <w:r>
        <w:rPr>
          <w:sz w:val="22"/>
          <w:szCs w:val="22"/>
        </w:rPr>
        <w:t xml:space="preserve">This is the most consequential modelling decision in the build. Three approaches are viable. Each is assessed against five criteria: separation of concerns (pre-sales vs post-sales), joint-buyer modelling, reporting hygiene, lifecycle length handling, and cancellation/resale cleanliness.</w:t>
      </w:r>
    </w:p>
    <w:p>
      <w:pPr>
        <w:pStyle w:val="Heading2"/>
        <w:spacing w:after="140" w:before="280"/>
      </w:pPr>
      <w:r>
        <w:t xml:space="preserve">8.1 Option A — Opportunity = Booking, with a Booking_Detail__c child</w:t>
      </w:r>
    </w:p>
    <w:p>
      <w:pPr>
        <w:spacing w:after="120" w:line="300"/>
        <w:jc w:val="both"/>
      </w:pPr>
      <w:r>
        <w:rPr>
          <w:sz w:val="22"/>
          <w:szCs w:val="22"/>
        </w:rPr>
        <w:t xml:space="preserve">A single Opportunity record follows the customer from lead conversion through possession. Stages expand to cover the full lifecycle: Prospecting → Site Visit Done → Negotiation → EOI → Token Paid → Booked → Agreement Signed → Registered → Possessed. A Booking_Detail__c child object holds post-booking specifics (payment schedule, agreement status). Opportunity Amount and Opportunity Products are used for pricing components.</w:t>
      </w:r>
    </w:p>
    <w:p>
      <w:pPr>
        <w:spacing w:after="120" w:line="300"/>
        <w:jc w:val="both"/>
      </w:pPr>
      <w:r>
        <w:rPr>
          <w:b/>
          <w:bCs/>
          <w:sz w:val="22"/>
          <w:szCs w:val="22"/>
        </w:rPr>
        <w:t xml:space="preserve">Strengths: </w:t>
      </w:r>
      <w:r>
        <w:rPr>
          <w:sz w:val="22"/>
          <w:szCs w:val="22"/>
        </w:rPr>
        <w:t xml:space="preserve">maximum reuse of standard Opportunity capabilities — forecasting, pipeline reports, quote/line-item modelling via Products, conversion from Lead out of the box. Lowest custom development effort.</w:t>
      </w:r>
    </w:p>
    <w:p>
      <w:pPr>
        <w:spacing w:after="120" w:line="300"/>
        <w:jc w:val="both"/>
      </w:pPr>
      <w:r>
        <w:rPr>
          <w:b/>
          <w:bCs/>
          <w:sz w:val="22"/>
          <w:szCs w:val="22"/>
        </w:rPr>
        <w:t xml:space="preserve">Weaknesses: </w:t>
      </w:r>
      <w:r>
        <w:rPr>
          <w:sz w:val="22"/>
          <w:szCs w:val="22"/>
        </w:rPr>
        <w:t xml:space="preserve">stage picklist bloat (10+ stages) confuses forecasting and breaks the conventional ‘Closed Won means deal done’ semantics; the 24–36 month tail creates a single long-lived record with heavy activity history, degrading page load and reporting performance; owner handoff from RM to post-sales team is messy (reassigning Opportunity ownership is a reporting problem); joint buyer modelling via OpportunityContactRole is awkward for 2–4 co-buyers with percentage ownership; cancellation/resale requires ‘reopening’ a Closed Won opportunity, which is a forecasting anti-pattern.</w:t>
      </w:r>
    </w:p>
    <w:p>
      <w:pPr>
        <w:pStyle w:val="Heading2"/>
        <w:spacing w:after="140" w:before="280"/>
      </w:pPr>
      <w:r>
        <w:t xml:space="preserve">8.2 Option B — Opportunity (pre-sales) + Booking__c (post-sales)</w:t>
      </w:r>
    </w:p>
    <w:p>
      <w:pPr>
        <w:spacing w:after="120" w:line="300"/>
        <w:jc w:val="both"/>
      </w:pPr>
      <w:r>
        <w:rPr>
          <w:sz w:val="22"/>
          <w:szCs w:val="22"/>
        </w:rPr>
        <w:t xml:space="preserve">The Opportunity captures the sales funnel only and closes won at Booking Confirmed. A Flow (or Apex trigger) creates a Booking__c record on Opp close, with ownership transferred to the Post-Sales queue. Booking__c owns all post-booking lifecycle: payment plan, demands, receipts, agreement, registration, possession. Cancellation cancels the Booking__c while the Opportunity remains Closed Won with a cancellation flag.</w:t>
      </w:r>
    </w:p>
    <w:p>
      <w:pPr>
        <w:spacing w:after="120" w:line="300"/>
        <w:jc w:val="both"/>
      </w:pPr>
      <w:r>
        <w:rPr>
          <w:b/>
          <w:bCs/>
          <w:sz w:val="22"/>
          <w:szCs w:val="22"/>
        </w:rPr>
        <w:t xml:space="preserve">Strengths: </w:t>
      </w:r>
      <w:r>
        <w:rPr>
          <w:sz w:val="22"/>
          <w:szCs w:val="22"/>
        </w:rPr>
        <w:t xml:space="preserve">clean separation of concerns between pre-sales (RM-owned, high velocity) and post-sales (CRM-team-owned, low velocity); Opportunity stages stay compact and forecasting stays clean; joint buyers are modelled naturally on Booking_Customer__c junction with percentage ownership and payment share; cancellation and resale do not disturb Opportunity reporting; owner handoff is structural and enforced by the automation; different sharing models can be applied to Opp and Booking without conflict.</w:t>
      </w:r>
    </w:p>
    <w:p>
      <w:pPr>
        <w:spacing w:after="120" w:line="300"/>
        <w:jc w:val="both"/>
      </w:pPr>
      <w:r>
        <w:rPr>
          <w:b/>
          <w:bCs/>
          <w:sz w:val="22"/>
          <w:szCs w:val="22"/>
        </w:rPr>
        <w:t xml:space="preserve">Weaknesses: </w:t>
      </w:r>
      <w:r>
        <w:rPr>
          <w:sz w:val="22"/>
          <w:szCs w:val="22"/>
        </w:rPr>
        <w:t xml:space="preserve">one extra custom object (Booking__c), additional sharing rules, Lightning pages require custom layouts; post-booking revenue does not appear in standard Opportunity forecasting, so collections/revenue reporting is driven off Booking__c with its own forecast surface if needed.</w:t>
      </w:r>
    </w:p>
    <w:p>
      <w:pPr>
        <w:pStyle w:val="Heading2"/>
        <w:spacing w:after="140" w:before="280"/>
      </w:pPr>
      <w:r>
        <w:t xml:space="preserve">8.3 Option C — Hybrid: Opportunity as lifecycle spine with delegated children</w:t>
      </w:r>
    </w:p>
    <w:p>
      <w:pPr>
        <w:spacing w:after="120" w:line="300"/>
        <w:jc w:val="both"/>
      </w:pPr>
      <w:r>
        <w:rPr>
          <w:sz w:val="22"/>
          <w:szCs w:val="22"/>
        </w:rPr>
        <w:t xml:space="preserve">Opportunity stays open through possession but delegates payment plan, demands, agreement, and possession to dedicated children. Stages remain compact; the Opportunity becomes a header record; the children do the heavy lifting. Ownership may or may not shift across the lifecycle.</w:t>
      </w:r>
    </w:p>
    <w:p>
      <w:pPr>
        <w:spacing w:after="120" w:line="300"/>
        <w:jc w:val="both"/>
      </w:pPr>
      <w:r>
        <w:rPr>
          <w:b/>
          <w:bCs/>
          <w:sz w:val="22"/>
          <w:szCs w:val="22"/>
        </w:rPr>
        <w:t xml:space="preserve">Strengths: </w:t>
      </w:r>
      <w:r>
        <w:rPr>
          <w:sz w:val="22"/>
          <w:szCs w:val="22"/>
        </w:rPr>
        <w:t xml:space="preserve">fewer top-level objects than Option B; some Opportunity infrastructure (activity timeline, reports) naturally spans the lifecycle.</w:t>
      </w:r>
    </w:p>
    <w:p>
      <w:pPr>
        <w:spacing w:after="120" w:line="300"/>
        <w:jc w:val="both"/>
      </w:pPr>
      <w:r>
        <w:rPr>
          <w:b/>
          <w:bCs/>
          <w:sz w:val="22"/>
          <w:szCs w:val="22"/>
        </w:rPr>
        <w:t xml:space="preserve">Weaknesses: </w:t>
      </w:r>
      <w:r>
        <w:rPr>
          <w:sz w:val="22"/>
          <w:szCs w:val="22"/>
        </w:rPr>
        <w:t xml:space="preserve">combines the worst of both worlds — the Opportunity remains open for 24–36 months (breaking forecasting semantics), ownership handoff is still messy, and the Booking concept is split across Opportunity plus children with no clean boundary. This option optimises for ‘fewer objects’ rather than for any real architectural property.</w:t>
      </w:r>
    </w:p>
    <w:p>
      <w:pPr>
        <w:pStyle w:val="Heading2"/>
        <w:spacing w:after="140" w:before="280"/>
      </w:pPr>
      <w:r>
        <w:t xml:space="preserve">8.4 Recommendation</w:t>
      </w:r>
    </w:p>
    <w:p>
      <w:pPr>
        <w:spacing w:after="120" w:line="300"/>
        <w:jc w:val="both"/>
      </w:pPr>
      <w:r>
        <w:rPr>
          <w:sz w:val="22"/>
          <w:szCs w:val="22"/>
        </w:rPr>
        <w:t xml:space="preserve">Option B is recommended. The five criteria come out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Criterion</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Option A</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Option B</w:t>
            </w:r>
          </w:p>
        </w:tc>
        <w:tc>
          <w:tcPr>
            <w:tcW w:type="dxa" w:w="22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Option C</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Separation of pre/post sales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Poor — one object, one owner</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Strong — structural boundary</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Mixed — unclear boundary</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Joint-buyer modelling</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Awkward (OCR-based)</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Natural (junction with %)</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Same as B if delegated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Reporting hygiene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Poor — bloated stages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Strong — clean funnel + ops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Poor — mixed concerns</w:t>
            </w:r>
          </w:p>
        </w:tc>
      </w:tr>
      <w:tr>
        <w:tc>
          <w:tcPr>
            <w:tcW w:type="dxa" w:w="2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Lifecycle tail handling</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Weak — activity bloat</w:t>
            </w:r>
          </w:p>
        </w:tc>
        <w:tc>
          <w:tcPr>
            <w:tcW w:type="dxa" w:w="2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Strong — decoupled records</w:t>
            </w:r>
          </w:p>
        </w:tc>
        <w:tc>
          <w:tcPr>
            <w:tcW w:type="dxa" w:w="22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Weak — Opp still long-lived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Cancellation / resale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Weak — reopens Closed Won</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Strong — cancel Booking</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Weak — same as A</w:t>
            </w:r>
          </w:p>
        </w:tc>
      </w:tr>
    </w:tbl>
    <w:p>
      <w:r>
        <w:t xml:space="preserve"/>
      </w:r>
    </w:p>
    <w:p>
      <w:pPr>
        <w:spacing w:after="120" w:line="300"/>
        <w:jc w:val="both"/>
      </w:pPr>
      <w:r>
        <w:rPr>
          <w:sz w:val="22"/>
          <w:szCs w:val="22"/>
        </w:rPr>
        <w:t xml:space="preserve">The recommendation aligns with the principle that pre-sales and post-sales are distinct systems of work. It costs one extra custom object and a small amount of layout work; it buys a substantially cleaner model that will not need to be refactored in v1.5 or beyond.</w:t>
      </w:r>
    </w:p>
    <w:p>
      <w:pPr>
        <w:spacing w:after="120" w:line="300"/>
        <w:jc w:val="both"/>
      </w:pPr>
      <w:r>
        <w:rPr>
          <w:sz w:val="22"/>
          <w:szCs w:val="22"/>
        </w:rPr>
        <w:t xml:space="preserve">Final approval of Option B is requested before Phase 1 architecture detailing begins.</w:t>
      </w:r>
    </w:p>
    <w:p>
      <w:pPr>
        <w:pStyle w:val="Heading1"/>
        <w:spacing w:after="180" w:before="360"/>
      </w:pPr>
      <w:r>
        <w:t xml:space="preserve">9. India-specific Design Considerations</w:t>
      </w:r>
    </w:p>
    <w:p>
      <w:pPr>
        <w:spacing w:after="120" w:line="300"/>
        <w:jc w:val="both"/>
      </w:pPr>
      <w:r>
        <w:rPr>
          <w:sz w:val="22"/>
          <w:szCs w:val="22"/>
        </w:rPr>
        <w:t xml:space="preserve">Several Indian-market realities must be designed in from day one rather than layered on later. These are not cosmetic localisations; they drive the object model, pricing engine, and approval flows.</w:t>
      </w:r>
    </w:p>
    <w:p>
      <w:pPr>
        <w:pStyle w:val="Heading2"/>
        <w:spacing w:after="140" w:before="280"/>
      </w:pPr>
      <w:r>
        <w:t xml:space="preserve">9.1 Booking lifecycle semantics</w:t>
      </w:r>
    </w:p>
    <w:p>
      <w:pPr>
        <w:spacing w:after="120" w:line="300"/>
        <w:jc w:val="both"/>
      </w:pPr>
      <w:r>
        <w:rPr>
          <w:sz w:val="22"/>
          <w:szCs w:val="22"/>
        </w:rPr>
        <w:t xml:space="preserve">The booking lifecycle in Indian residential has well-established milestones that the system must recognise explicitly: Expression of Interest (EOI, often accompanied by a refundable amount), Token (2–5% of unit value, typically non-refundable beyond a short window), Booking Amount (10% of unit value with full documentation), Allotment Letter issuance by the developer, Agreement for Sale (AFS) execution within 30–45 days of booking (mandated under RERA in most states), Registration of AFS (stamp duty + registration fees), and Possession Handover (triggered by NOC from the developer and receipt of all dues).</w:t>
      </w:r>
    </w:p>
    <w:p>
      <w:pPr>
        <w:spacing w:after="120" w:line="300"/>
        <w:jc w:val="both"/>
      </w:pPr>
      <w:r>
        <w:rPr>
          <w:sz w:val="22"/>
          <w:szCs w:val="22"/>
        </w:rPr>
        <w:t xml:space="preserve">Each milestone has distinct document requirements, approval gates, and potential commission accrual implications for the sourcing CP. The data model treats these as discrete statuses on the Booking record, not a single status field.</w:t>
      </w:r>
    </w:p>
    <w:p>
      <w:pPr>
        <w:pStyle w:val="Heading2"/>
        <w:spacing w:after="140" w:before="280"/>
      </w:pPr>
      <w:r>
        <w:t xml:space="preserve">9.2 Pricing components and GST</w:t>
      </w:r>
    </w:p>
    <w:p>
      <w:pPr>
        <w:spacing w:after="120" w:line="300"/>
        <w:jc w:val="both"/>
      </w:pPr>
      <w:r>
        <w:rPr>
          <w:sz w:val="22"/>
          <w:szCs w:val="22"/>
        </w:rPr>
        <w:t xml:space="preserve">Indian residential pricing is decomposed into multiple components that must be visible in the quote and invoice: Basic Sale Price (BSP, per sq ft on super built-up or carpet depending on state and RERA registration), Preferential Location Charges (PLC — floor rise, corner, view, park-facing, etc.), External Development Charges (EDC) and Internal Development Charges (IDC), Interest-Free Maintenance Security (IFMS), Club Membership, Covered/Open Car Parking, Power Backup, and any project-specific charges.</w:t>
      </w:r>
    </w:p>
    <w:p>
      <w:pPr>
        <w:spacing w:after="120" w:line="300"/>
        <w:jc w:val="both"/>
      </w:pPr>
      <w:r>
        <w:rPr>
          <w:sz w:val="22"/>
          <w:szCs w:val="22"/>
        </w:rPr>
        <w:t xml:space="preserve">GST is applied at 5% on under-construction inventory (1% on affordable housing) with no input tax credit under the current regime; it is not applicable on ready-to-move inventory where the completion certificate has been received. Stamp duty and registration are buyer-borne and vary by state (5–7% in most states, with concessions for women buyers in some). The system must compute gross booking value with correct GST treatment by project status and show the breakup on the demand letter.</w:t>
      </w:r>
    </w:p>
    <w:p>
      <w:pPr>
        <w:pStyle w:val="Heading2"/>
        <w:spacing w:after="140" w:before="280"/>
      </w:pPr>
      <w:r>
        <w:t xml:space="preserve">9.3 Payment plans</w:t>
      </w:r>
    </w:p>
    <w:p>
      <w:pPr>
        <w:spacing w:after="120" w:line="300"/>
        <w:jc w:val="both"/>
      </w:pPr>
      <w:r>
        <w:rPr>
          <w:sz w:val="22"/>
          <w:szCs w:val="22"/>
        </w:rPr>
        <w:t xml:space="preserve">Three plan families dominate: Construction Linked Plan (CLP) — percentage-of-value demands triggered by construction milestones (excavation, each slab, roof, finishing, possession); Down Payment Plan (DLP) — upfront-heavy, typically 20-40-40 or 30-60-10; Possession Linked Plan (PLP) — buyer-favourable, small percentage upfront, bulk at possession. Subvention schemes where the bank pays EMI interest during construction exist but are regulatory-sensitive; designed for in MVP as a plan variant but not heavily modelled.</w:t>
      </w:r>
    </w:p>
    <w:p>
      <w:pPr>
        <w:pStyle w:val="Heading2"/>
        <w:spacing w:after="140" w:before="280"/>
      </w:pPr>
      <w:r>
        <w:t xml:space="preserve">9.4 Joint buyers and NRI flows</w:t>
      </w:r>
    </w:p>
    <w:p>
      <w:pPr>
        <w:spacing w:after="120" w:line="300"/>
        <w:jc w:val="both"/>
      </w:pPr>
      <w:r>
        <w:rPr>
          <w:sz w:val="22"/>
          <w:szCs w:val="22"/>
        </w:rPr>
        <w:t xml:space="preserve">Most bookings in tier-1 developer inventory are joint — spouse+spouse, parent+child, or co-investor structures. Ownership percentage, payment share, and TDS liability can differ across co-buyers. The Booking_Customer__c junction supports this natively.</w:t>
      </w:r>
    </w:p>
    <w:p>
      <w:pPr>
        <w:spacing w:after="120" w:line="300"/>
        <w:jc w:val="both"/>
      </w:pPr>
      <w:r>
        <w:rPr>
          <w:sz w:val="22"/>
          <w:szCs w:val="22"/>
        </w:rPr>
        <w:t xml:space="preserve">NRI buyers trigger FEMA compliance: payment only from NRE/NRO accounts, repatriation restrictions, Form 15CA/CB documentation on capital repatriation, and potentially different TDS rates. In MVP, NRI flag and source-of-funds fields are captured; the compliance workflow is not automated.</w:t>
      </w:r>
    </w:p>
    <w:p>
      <w:pPr>
        <w:pStyle w:val="Heading2"/>
        <w:spacing w:after="140" w:before="280"/>
      </w:pPr>
      <w:r>
        <w:t xml:space="preserve">9.5 RERA references</w:t>
      </w:r>
    </w:p>
    <w:p>
      <w:pPr>
        <w:spacing w:after="120" w:line="300"/>
        <w:jc w:val="both"/>
      </w:pPr>
      <w:r>
        <w:rPr>
          <w:sz w:val="22"/>
          <w:szCs w:val="22"/>
        </w:rPr>
        <w:t xml:space="preserve">Every project under construction in an Indian state (post-2017) must have a RERA registration number. Every marketing asset, quote, demand letter, and agreement must reference this number. The Project__c object holds RERA number and RERA state; the document generation layer (Phase 1 design decision) pulls it automatically into every customer-facing artefact. Quarterly progress updates to the RERA authority are a statutory obligation, but their submission flow is out of MVP scope.</w:t>
      </w:r>
    </w:p>
    <w:p>
      <w:pPr>
        <w:pStyle w:val="Heading2"/>
        <w:spacing w:after="140" w:before="280"/>
      </w:pPr>
      <w:r>
        <w:t xml:space="preserve">9.6 KYC and PAN/TDS</w:t>
      </w:r>
    </w:p>
    <w:p>
      <w:pPr>
        <w:spacing w:after="120" w:line="300"/>
        <w:jc w:val="both"/>
      </w:pPr>
      <w:r>
        <w:rPr>
          <w:sz w:val="22"/>
          <w:szCs w:val="22"/>
        </w:rPr>
        <w:t xml:space="preserve">Buyer onboarding requires PAN (mandatory for any transaction above ₹50,000), Aadhaar (linked to PAN by regulation), and address proof. TDS at 1% applies to transactions above ₹50 lakh, deducted by the buyer and deposited with Form 26QB. The system captures PAN, generates the applicable TDS breakup on the demand, and flags when TDS certificates are pending.</w:t>
      </w:r>
    </w:p>
    <w:p>
      <w:pPr>
        <w:pStyle w:val="Heading1"/>
        <w:spacing w:after="180" w:before="360"/>
      </w:pPr>
      <w:r>
        <w:t xml:space="preserve">10. Agentforce Positioning</w:t>
      </w:r>
    </w:p>
    <w:p>
      <w:pPr>
        <w:spacing w:after="120" w:line="300"/>
        <w:jc w:val="both"/>
      </w:pPr>
      <w:r>
        <w:rPr>
          <w:sz w:val="22"/>
          <w:szCs w:val="22"/>
        </w:rPr>
        <w:t xml:space="preserve">Two agents are in scope for MVP. Both are designed to produce visible, measurable value in a demo and to survive into production with minimal change. A third agent (CP Portal Assistant) is deliberately deferred.</w:t>
      </w:r>
    </w:p>
    <w:p>
      <w:pPr>
        <w:pStyle w:val="Heading2"/>
        <w:spacing w:after="140" w:before="280"/>
      </w:pPr>
      <w:r>
        <w:t xml:space="preserve">10.1 Lead Qualification Agent</w:t>
      </w:r>
    </w:p>
    <w:p>
      <w:pPr>
        <w:spacing w:after="120" w:line="300"/>
        <w:jc w:val="both"/>
      </w:pPr>
      <w:r>
        <w:rPr>
          <w:b/>
          <w:bCs/>
          <w:sz w:val="22"/>
          <w:szCs w:val="22"/>
        </w:rPr>
        <w:t xml:space="preserve">Objective: </w:t>
      </w:r>
      <w:r>
        <w:rPr>
          <w:sz w:val="22"/>
          <w:szCs w:val="22"/>
        </w:rPr>
        <w:t xml:space="preserve">compress first-response time on inbound digital and aggregator leads from the industry-average 30–60 minutes to under 2 minutes, while improving the quality of routing to the right RM queue.</w:t>
      </w:r>
    </w:p>
    <w:p>
      <w:pPr>
        <w:spacing w:after="120" w:line="300"/>
        <w:jc w:val="both"/>
      </w:pPr>
      <w:r>
        <w:rPr>
          <w:b/>
          <w:bCs/>
          <w:sz w:val="22"/>
          <w:szCs w:val="22"/>
        </w:rPr>
        <w:t xml:space="preserve">Trigger: </w:t>
      </w:r>
      <w:r>
        <w:rPr>
          <w:sz w:val="22"/>
          <w:szCs w:val="22"/>
        </w:rPr>
        <w:t xml:space="preserve">Lead record creation via web-to-lead, API, or bulk import where Lead Source is in a configured set (Digital, Aggregator, Website).</w:t>
      </w:r>
    </w:p>
    <w:p>
      <w:pPr>
        <w:spacing w:after="120" w:line="300"/>
        <w:jc w:val="both"/>
      </w:pPr>
      <w:r>
        <w:rPr>
          <w:b/>
          <w:bCs/>
          <w:sz w:val="22"/>
          <w:szCs w:val="22"/>
        </w:rPr>
        <w:t xml:space="preserve">Topics and Actions:</w:t>
      </w:r>
    </w:p>
    <w:p>
      <w:pPr>
        <w:pStyle w:val="ListParagraph"/>
        <w:numPr>
          <w:ilvl w:val="1"/>
          <w:numId w:val="2"/>
        </w:numPr>
        <w:spacing w:after="80" w:line="280"/>
      </w:pPr>
      <w:r>
        <w:rPr>
          <w:b/>
          <w:bCs/>
          <w:sz w:val="22"/>
          <w:szCs w:val="22"/>
        </w:rPr>
        <w:t xml:space="preserve">Classify. </w:t>
      </w:r>
      <w:r>
        <w:rPr>
          <w:sz w:val="22"/>
          <w:szCs w:val="22"/>
        </w:rPr>
        <w:t xml:space="preserve">Determine buyer segment (end-user vs investor, budget band, unit configuration preference, preferred location) from lead fields and any captured notes.</w:t>
      </w:r>
    </w:p>
    <w:p>
      <w:pPr>
        <w:pStyle w:val="ListParagraph"/>
        <w:numPr>
          <w:ilvl w:val="1"/>
          <w:numId w:val="2"/>
        </w:numPr>
        <w:spacing w:after="80" w:line="280"/>
      </w:pPr>
      <w:r>
        <w:rPr>
          <w:b/>
          <w:bCs/>
          <w:sz w:val="22"/>
          <w:szCs w:val="22"/>
        </w:rPr>
        <w:t xml:space="preserve">Enrich. </w:t>
      </w:r>
      <w:r>
        <w:rPr>
          <w:sz w:val="22"/>
          <w:szCs w:val="22"/>
        </w:rPr>
        <w:t xml:space="preserve">Match the lead against available Project/Tower/Unit inventory; identify up to three best-fit units with rationale.</w:t>
      </w:r>
    </w:p>
    <w:p>
      <w:pPr>
        <w:pStyle w:val="ListParagraph"/>
        <w:numPr>
          <w:ilvl w:val="1"/>
          <w:numId w:val="2"/>
        </w:numPr>
        <w:spacing w:after="80" w:line="280"/>
      </w:pPr>
      <w:r>
        <w:rPr>
          <w:b/>
          <w:bCs/>
          <w:sz w:val="22"/>
          <w:szCs w:val="22"/>
        </w:rPr>
        <w:t xml:space="preserve">Score. </w:t>
      </w:r>
      <w:r>
        <w:rPr>
          <w:sz w:val="22"/>
          <w:szCs w:val="22"/>
        </w:rPr>
        <w:t xml:space="preserve">Assign a qualification score (Hot/Warm/Cold) based on budget match, inventory availability, and urgency signals.</w:t>
      </w:r>
    </w:p>
    <w:p>
      <w:pPr>
        <w:pStyle w:val="ListParagraph"/>
        <w:numPr>
          <w:ilvl w:val="1"/>
          <w:numId w:val="2"/>
        </w:numPr>
        <w:spacing w:after="80" w:line="280"/>
      </w:pPr>
      <w:r>
        <w:rPr>
          <w:b/>
          <w:bCs/>
          <w:sz w:val="22"/>
          <w:szCs w:val="22"/>
        </w:rPr>
        <w:t xml:space="preserve">Route. </w:t>
      </w:r>
      <w:r>
        <w:rPr>
          <w:sz w:val="22"/>
          <w:szCs w:val="22"/>
        </w:rPr>
        <w:t xml:space="preserve">Assign to the appropriate RM queue using project and score as the routing key.</w:t>
      </w:r>
    </w:p>
    <w:p>
      <w:pPr>
        <w:pStyle w:val="ListParagraph"/>
        <w:numPr>
          <w:ilvl w:val="1"/>
          <w:numId w:val="2"/>
        </w:numPr>
        <w:spacing w:after="80" w:line="280"/>
      </w:pPr>
      <w:r>
        <w:rPr>
          <w:b/>
          <w:bCs/>
          <w:sz w:val="22"/>
          <w:szCs w:val="22"/>
        </w:rPr>
        <w:t xml:space="preserve">Notify. </w:t>
      </w:r>
      <w:r>
        <w:rPr>
          <w:sz w:val="22"/>
          <w:szCs w:val="22"/>
        </w:rPr>
        <w:t xml:space="preserve">Produce a summary card on the Lead record for the assigned RM — who, what, score, suggested units, suggested opening pitch.</w:t>
      </w:r>
    </w:p>
    <w:p>
      <w:pPr>
        <w:spacing w:after="120" w:line="300"/>
        <w:jc w:val="both"/>
      </w:pPr>
      <w:r>
        <w:rPr>
          <w:b/>
          <w:bCs/>
          <w:sz w:val="22"/>
          <w:szCs w:val="22"/>
        </w:rPr>
        <w:t xml:space="preserve">Grounding data: </w:t>
      </w:r>
      <w:r>
        <w:rPr>
          <w:sz w:val="22"/>
          <w:szCs w:val="22"/>
        </w:rPr>
        <w:t xml:space="preserve">Project, Tower, Unit, Pricing_Component, historical Booking patterns. No external knowledge base required in MVP.</w:t>
      </w:r>
    </w:p>
    <w:p>
      <w:pPr>
        <w:spacing w:after="120" w:line="300"/>
        <w:jc w:val="both"/>
      </w:pPr>
      <w:r>
        <w:rPr>
          <w:b/>
          <w:bCs/>
          <w:sz w:val="22"/>
          <w:szCs w:val="22"/>
        </w:rPr>
        <w:t xml:space="preserve">Demo narrative: </w:t>
      </w:r>
      <w:r>
        <w:rPr>
          <w:sz w:val="22"/>
          <w:szCs w:val="22"/>
        </w:rPr>
        <w:t xml:space="preserve">a lead arrives from the demo 99acres-style form; within seconds the agent triages, matches inventory, scores, routes, and the assigned RM sees a ready-to-action card on the record. This is the single highest-impact demo moment in the MVP.</w:t>
      </w:r>
    </w:p>
    <w:p>
      <w:pPr>
        <w:pStyle w:val="Heading2"/>
        <w:spacing w:after="140" w:before="280"/>
      </w:pPr>
      <w:r>
        <w:t xml:space="preserve">10.2 Sales RM Copilot</w:t>
      </w:r>
    </w:p>
    <w:p>
      <w:pPr>
        <w:spacing w:after="120" w:line="300"/>
        <w:jc w:val="both"/>
      </w:pPr>
      <w:r>
        <w:rPr>
          <w:b/>
          <w:bCs/>
          <w:sz w:val="22"/>
          <w:szCs w:val="22"/>
        </w:rPr>
        <w:t xml:space="preserve">Objective: </w:t>
      </w:r>
      <w:r>
        <w:rPr>
          <w:sz w:val="22"/>
          <w:szCs w:val="22"/>
        </w:rPr>
        <w:t xml:space="preserve">reduce the cognitive load and swivel-chair work for the RM on Lead and Opportunity records — making project and inventory information, next-best-action, and follow-up drafting one-click rather than many.</w:t>
      </w:r>
    </w:p>
    <w:p>
      <w:pPr>
        <w:spacing w:after="120" w:line="300"/>
        <w:jc w:val="both"/>
      </w:pPr>
      <w:r>
        <w:rPr>
          <w:b/>
          <w:bCs/>
          <w:sz w:val="22"/>
          <w:szCs w:val="22"/>
        </w:rPr>
        <w:t xml:space="preserve">Surface: </w:t>
      </w:r>
      <w:r>
        <w:rPr>
          <w:sz w:val="22"/>
          <w:szCs w:val="22"/>
        </w:rPr>
        <w:t xml:space="preserve">embedded on the Lead and Opportunity Lightning pages as an Einstein/Agentforce copilot panel.</w:t>
      </w:r>
    </w:p>
    <w:p>
      <w:pPr>
        <w:spacing w:after="120" w:line="300"/>
        <w:jc w:val="both"/>
      </w:pPr>
      <w:r>
        <w:rPr>
          <w:b/>
          <w:bCs/>
          <w:sz w:val="22"/>
          <w:szCs w:val="22"/>
        </w:rPr>
        <w:t xml:space="preserve">Topics and Actions:</w:t>
      </w:r>
    </w:p>
    <w:p>
      <w:pPr>
        <w:pStyle w:val="ListParagraph"/>
        <w:numPr>
          <w:ilvl w:val="1"/>
          <w:numId w:val="2"/>
        </w:numPr>
        <w:spacing w:after="80" w:line="280"/>
      </w:pPr>
      <w:r>
        <w:rPr>
          <w:b/>
          <w:bCs/>
          <w:sz w:val="22"/>
          <w:szCs w:val="22"/>
        </w:rPr>
        <w:t xml:space="preserve">Next-best-action. </w:t>
      </w:r>
      <w:r>
        <w:rPr>
          <w:sz w:val="22"/>
          <w:szCs w:val="22"/>
        </w:rPr>
        <w:t xml:space="preserve">Based on the Lead or Opportunity state, time since last activity, and historical conversion patterns, suggest what the RM should do next (schedule a visit, follow up on a quote, escalate to the PSM for concession approval).</w:t>
      </w:r>
    </w:p>
    <w:p>
      <w:pPr>
        <w:pStyle w:val="ListParagraph"/>
        <w:numPr>
          <w:ilvl w:val="1"/>
          <w:numId w:val="2"/>
        </w:numPr>
        <w:spacing w:after="80" w:line="280"/>
      </w:pPr>
      <w:r>
        <w:rPr>
          <w:b/>
          <w:bCs/>
          <w:sz w:val="22"/>
          <w:szCs w:val="22"/>
        </w:rPr>
        <w:t xml:space="preserve">Draft follow-up. </w:t>
      </w:r>
      <w:r>
        <w:rPr>
          <w:sz w:val="22"/>
          <w:szCs w:val="22"/>
        </w:rPr>
        <w:t xml:space="preserve">Generate an SMS or email draft tailored to the lead’s preferences and the current stage. The RM reviews, edits, and sends through the existing Salesforce send path. No auto-send in MVP.</w:t>
      </w:r>
    </w:p>
    <w:p>
      <w:pPr>
        <w:pStyle w:val="ListParagraph"/>
        <w:numPr>
          <w:ilvl w:val="1"/>
          <w:numId w:val="2"/>
        </w:numPr>
        <w:spacing w:after="80" w:line="280"/>
      </w:pPr>
      <w:r>
        <w:rPr>
          <w:b/>
          <w:bCs/>
          <w:sz w:val="22"/>
          <w:szCs w:val="22"/>
        </w:rPr>
        <w:t xml:space="preserve">Inventory query. </w:t>
      </w:r>
      <w:r>
        <w:rPr>
          <w:sz w:val="22"/>
          <w:szCs w:val="22"/>
        </w:rPr>
        <w:t xml:space="preserve">Natural-language queries on inventory: ‘What 3BHKs are available in Tower A under ₹2.5 crore?’ or ‘Show me corner units facing the park.’</w:t>
      </w:r>
    </w:p>
    <w:p>
      <w:pPr>
        <w:pStyle w:val="ListParagraph"/>
        <w:numPr>
          <w:ilvl w:val="1"/>
          <w:numId w:val="2"/>
        </w:numPr>
        <w:spacing w:after="80" w:line="280"/>
      </w:pPr>
      <w:r>
        <w:rPr>
          <w:b/>
          <w:bCs/>
          <w:sz w:val="22"/>
          <w:szCs w:val="22"/>
        </w:rPr>
        <w:t xml:space="preserve">Project Q&amp;A. </w:t>
      </w:r>
      <w:r>
        <w:rPr>
          <w:sz w:val="22"/>
          <w:szCs w:val="22"/>
        </w:rPr>
        <w:t xml:space="preserve">Grounded Q&amp;A on project details: floor plans, amenities, RERA status, delivery date, pricing. Grounding source: Project records plus uploaded project brochure PDFs in a Knowledge-equivalent data source.</w:t>
      </w:r>
    </w:p>
    <w:p>
      <w:pPr>
        <w:spacing w:after="120" w:line="300"/>
        <w:jc w:val="both"/>
      </w:pPr>
      <w:r>
        <w:rPr>
          <w:b/>
          <w:bCs/>
          <w:sz w:val="22"/>
          <w:szCs w:val="22"/>
        </w:rPr>
        <w:t xml:space="preserve">Grounding data: </w:t>
      </w:r>
      <w:r>
        <w:rPr>
          <w:sz w:val="22"/>
          <w:szCs w:val="22"/>
        </w:rPr>
        <w:t xml:space="preserve">Project, Tower, Unit, Pricing_Component; uploaded project collateral for Project Q&amp;A.</w:t>
      </w:r>
    </w:p>
    <w:p>
      <w:pPr>
        <w:spacing w:after="120" w:line="300"/>
        <w:jc w:val="both"/>
      </w:pPr>
      <w:r>
        <w:rPr>
          <w:b/>
          <w:bCs/>
          <w:sz w:val="22"/>
          <w:szCs w:val="22"/>
        </w:rPr>
        <w:t xml:space="preserve">Demo narrative: </w:t>
      </w:r>
      <w:r>
        <w:rPr>
          <w:sz w:val="22"/>
          <w:szCs w:val="22"/>
        </w:rPr>
        <w:t xml:space="preserve">during a live RM record walk-through, the copilot surfaces next-best-action and drafts a follow-up message on demand. Shows AI as leverage on the RM’s existing workflow, not a replacement.</w:t>
      </w:r>
    </w:p>
    <w:p>
      <w:pPr>
        <w:pStyle w:val="Heading2"/>
        <w:spacing w:after="140" w:before="280"/>
      </w:pPr>
      <w:r>
        <w:t xml:space="preserve">10.3 Why not a third agent now</w:t>
      </w:r>
    </w:p>
    <w:p>
      <w:pPr>
        <w:spacing w:after="120" w:line="300"/>
        <w:jc w:val="both"/>
      </w:pPr>
      <w:r>
        <w:rPr>
          <w:sz w:val="22"/>
          <w:szCs w:val="22"/>
        </w:rPr>
        <w:t xml:space="preserve">A Channel Partner Portal Assistant is attractive — CPs asking natural-language questions about their lead status, commissions, or project collateral. But it depends on a stable portal, a well-defined commission ledger, and a grounding corpus that does not yet exist. Building this agent before the portal stabilises creates rework. It is deferred to v1.5, by which point the portal has been used by real CPs and the grounding data is concrete.</w:t>
      </w:r>
    </w:p>
    <w:p>
      <w:pPr>
        <w:pStyle w:val="Heading1"/>
        <w:spacing w:after="180" w:before="360"/>
      </w:pPr>
      <w:r>
        <w:t xml:space="preserve">11. Integration Landscape</w:t>
      </w:r>
    </w:p>
    <w:p>
      <w:pPr>
        <w:spacing w:after="120" w:line="300"/>
        <w:jc w:val="both"/>
      </w:pPr>
      <w:r>
        <w:rPr>
          <w:sz w:val="22"/>
          <w:szCs w:val="22"/>
        </w:rPr>
        <w:t xml:space="preserve">Because the MVP is SDO-grade, no external integrations are built live. However, integration points are stubbed with proper interface boundaries so that Phase 2 live integration is cheap.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Integration</w:t>
            </w:r>
          </w:p>
        </w:tc>
        <w:tc>
          <w:tcPr>
            <w:tcW w:type="dxa" w:w="3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MVP Approach</w:t>
            </w:r>
          </w:p>
        </w:tc>
        <w:tc>
          <w:tcPr>
            <w:tcW w:type="dxa" w:w="29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Phase 2 Target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aggregators (99acres, MagicBricks, Housing.com)</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REST endpoint (Apex web service) accepting a normalised Lead payload. Demo uses Postman / sample form posting to it.</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Live API onboarding with each aggregator.</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Meta Lead Ads, Google Lead Gen</w:t>
            </w:r>
          </w:p>
        </w:tc>
        <w:tc>
          <w:tcPr>
            <w:tcW w:type="dxa" w:w="3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Same REST endpoint with source discrimination.</w:t>
            </w:r>
          </w:p>
        </w:tc>
        <w:tc>
          <w:tcPr>
            <w:tcW w:type="dxa" w:w="2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Zapier/Workato or native connector.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E-sign (Leegality / Signdesk / DocuSign India)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Stub Apex class with method signature; status mocked via admin toggle on Agreement.</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Live vendor integration; Leegality recommended for Aadhaar e-sign + INR pricing.</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KYC (PAN verification, Aadhaar via DigiLocker)</w:t>
            </w:r>
          </w:p>
        </w:tc>
        <w:tc>
          <w:tcPr>
            <w:tcW w:type="dxa" w:w="3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Fields captured, manual verification flag. Stub verification service.</w:t>
            </w:r>
          </w:p>
        </w:tc>
        <w:tc>
          <w:tcPr>
            <w:tcW w:type="dxa" w:w="2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Live API with a KYC aggregator.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Payment gateway (Razorpay, PayU)</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Manual receipt entry. No gateway integration.</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Gateway-initiated receipts with auto-reconciliation.</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Bank home loan APIs (HDFC, SBI, ICICI, LIC HFL)</w:t>
            </w:r>
          </w:p>
        </w:tc>
        <w:tc>
          <w:tcPr>
            <w:tcW w:type="dxa" w:w="3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Not designed. Free-text loan status field.</w:t>
            </w:r>
          </w:p>
        </w:tc>
        <w:tc>
          <w:tcPr>
            <w:tcW w:type="dxa" w:w="2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3 or beyond.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DLT-compliant SMS (MSG91, Gupshup, Kaleyra)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Not present. Hooks in data model only.</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Required when customer comms are added.</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WhatsApp Business API (Gupshup, WATI, Twilio)</w:t>
            </w:r>
          </w:p>
        </w:tc>
        <w:tc>
          <w:tcPr>
            <w:tcW w:type="dxa" w:w="3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Not present. Hooks in data model only.</w:t>
            </w:r>
          </w:p>
        </w:tc>
        <w:tc>
          <w:tcPr>
            <w:tcW w:type="dxa" w:w="2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2 alongside MC Next.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Accounting (Tally / SAP)</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Not designed. Commission_Payout batch is intended integration boundary.</w:t>
            </w:r>
          </w:p>
        </w:tc>
        <w:tc>
          <w:tcPr>
            <w:tcW w:type="dxa" w:w="2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Phase 3.</w:t>
            </w:r>
          </w:p>
        </w:tc>
      </w:tr>
      <w:tr>
        <w:tc>
          <w:tcPr>
            <w:tcW w:type="dxa" w:w="2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RERA state portal</w:t>
            </w:r>
          </w:p>
        </w:tc>
        <w:tc>
          <w:tcPr>
            <w:tcW w:type="dxa" w:w="33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Manual; not designed in MVP.</w:t>
            </w:r>
          </w:p>
        </w:tc>
        <w:tc>
          <w:tcPr>
            <w:tcW w:type="dxa" w:w="29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Phase 3 if volume justifies.</w:t>
            </w:r>
          </w:p>
        </w:tc>
      </w:tr>
    </w:tbl>
    <w:p>
      <w:pPr>
        <w:pStyle w:val="Heading1"/>
        <w:spacing w:after="180" w:before="360"/>
      </w:pPr>
      <w:r>
        <w:t xml:space="preserve">12. MVP Epic List</w:t>
      </w:r>
    </w:p>
    <w:p>
      <w:pPr>
        <w:spacing w:after="120" w:line="300"/>
        <w:jc w:val="both"/>
      </w:pPr>
      <w:r>
        <w:rPr>
          <w:sz w:val="22"/>
          <w:szCs w:val="22"/>
        </w:rPr>
        <w:t xml:space="preserve">Sizes are in working days assuming solo delivery by Sahil with Claude Code. The leverage on pure metadata and Apex is ~2.5–3x versus unassisted; leverage on declarative Flow and UI work is ~1.5x. These estimates already incorporate that.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800"/>
        <w:gridCol w:w="1826"/>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ID</w:t>
            </w:r>
          </w:p>
        </w:tc>
        <w:tc>
          <w:tcPr>
            <w:tcW w:type="dxa" w:w="4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Epic</w:t>
            </w:r>
          </w:p>
        </w:tc>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Days</w:t>
            </w:r>
          </w:p>
        </w:tc>
        <w:tc>
          <w:tcPr>
            <w:tcW w:type="dxa" w:w="18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Week</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Project setup, SFDX, scratch org from SDO, CLAUDE.md, PROJECT_CONTEXT.md</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E2</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Data model foundation — custom objects, fields, record types, relationships</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8</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E3</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Sharing model — role hierarchy, OWD, sharing rules, perm sets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2</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E4</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Lead capture, routing, dedup, sample aggregator webhook endpoint</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E5</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Site Visit management — object, scheduling, outcome capture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E6</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Opportunity lifecycle + stages + validations + concession approval</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E7</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Inventory management — Unit status lifecycle, pricing engine, blocking logic</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6</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4–5</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E8</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 creation flow from Opp; joint-buyer support; document checklist</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E9</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Payment plan templates and instantiation; Booking_Payment_Schedule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6</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E10</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Demand letter generation with GST breakup (PDF)</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Receipt capture and reconciliation; ageing logic</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7</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E12</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Agreement workflow with e-sign stub; Registration tracking</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E13</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Possession handover with snag checklist and NOC</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7–8</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E14</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CP onboarding — record types, approval, master data, KYC fields</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8</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E15</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CP Experience Cloud site setup, theme, navigation, permissions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8</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E16</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CP portal — lead submission, lead status, site visit, dashboard</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5</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9</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E17</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Commission engine — rate cards, accrual triggers, Ledger, payout batch</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6</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9–10</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E18</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Agentforce — Lead Qualification Agent (topics, actions, grounding)</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E19</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Agentforce — Sales RM Copilot (topics, actions, inline panel)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10–11</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E20</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Dashboards — Sales Head, PSM, CP Manager, Post-Sales</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E21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Comms hooks — Notification_Preference, trigger markers on Booking/Demand</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2</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11</w:t>
            </w:r>
          </w:p>
        </w:tc>
      </w:tr>
      <w:tr>
        <w:tc>
          <w:tcPr>
            <w:tcW w:type="dxa" w:w="6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E22</w:t>
            </w:r>
          </w:p>
        </w:tc>
        <w:tc>
          <w:tcPr>
            <w:tcW w:type="dxa" w:w="4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Demo data seed — realistic project, inventory, CPs, leads, bookings at every lifecycle stage</w:t>
            </w:r>
          </w:p>
        </w:tc>
        <w:tc>
          <w:tcPr>
            <w:tcW w:type="dxa" w:w="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18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11–12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E23</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End-to-end demo script, narrative, polish, bug fixes, buffer</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18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12</w:t>
            </w:r>
          </w:p>
        </w:tc>
      </w:tr>
    </w:tbl>
    <w:p>
      <w:pPr>
        <w:pStyle w:val="Heading1"/>
        <w:spacing w:after="180" w:before="360"/>
      </w:pPr>
      <w:r>
        <w:t xml:space="preserve">13. 12-Week Phased Delivery Plan</w:t>
      </w:r>
    </w:p>
    <w:p>
      <w:pPr>
        <w:spacing w:after="120" w:line="300"/>
        <w:jc w:val="both"/>
      </w:pPr>
      <w:r>
        <w:rPr>
          <w:sz w:val="22"/>
          <w:szCs w:val="22"/>
        </w:rPr>
        <w:t xml:space="preserve">The plan below is the week-by-week ground truth. It assumes a 5-day working week and a single full-time resource (Sahil) working with Claude Code. Each week ends with a demoable increment.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Week</w:t>
            </w:r>
          </w:p>
        </w:tc>
        <w:tc>
          <w:tcPr>
            <w:tcW w:type="dxa" w:w="3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Focus</w:t>
            </w:r>
          </w:p>
        </w:tc>
        <w:tc>
          <w:tcPr>
            <w:tcW w:type="dxa" w:w="4526"/>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40"/>
              <w:jc w:val="left"/>
            </w:pPr>
            <w:r>
              <w:rPr>
                <w:b/>
                <w:bCs/>
                <w:color w:val="FFFFFF"/>
                <w:sz w:val="22"/>
                <w:szCs w:val="22"/>
              </w:rPr>
              <w:t xml:space="preserve">Demoable increment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Foundation — scratch org, SFDX repo, CLAUDE.md, data model Part 1 (inventory)</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Inventory objects deployed with sample data; permission sets wired</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2</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Data model Part 2 (customer, transactional, CP clusters); sharing model</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Full object set visible; role hierarchy enforcing expected record access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capture and routing; Site Visit management</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Lead created via form → routed → Site Visit scheduled → outcome captured</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4</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Opportunity lifecycle; inventory pricing engine start</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Lead → Opportunity → priced quote generated from inventory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Inventory lifecycle completion; Booking creation flow</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Opportunity Won → Unit Booked → Booking record created with joint buyers</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6</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Payment Plan instantiation; Demand letter generation</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 → CLP plan selected → first Demand raised with GST breakup PDF</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7</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Receipts; Agreement stub; Registration tracking</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Demand → Receipt reconciled; Agreement status progresses; Registration captured</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8</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Possession handover; CP onboarding and master data</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 possession flow complete; CP registered, approved, visible in system</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9</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CP Experience Cloud portal — setup and core features</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CP logs in, submits a lead, sees own lead status in portal</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10</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Commission engine; Lead Qualification Agent</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Booking triggers commission accrual visible on CP dashboard; inbound lead auto-triaged by agent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11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Sales RM Copilot; dashboards; comms hooks</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jc w:val="left"/>
            </w:pPr>
            <w:r>
              <w:rPr>
                <w:color w:val="000000"/>
                <w:sz w:val="20"/>
                <w:szCs w:val="20"/>
              </w:rPr>
              <w:t xml:space="preserve">RM panel live on Lead/Opp; four role-based dashboards available; notification prefs captured</w:t>
            </w:r>
          </w:p>
        </w:tc>
      </w:tr>
      <w:tr>
        <w:tc>
          <w:tcPr>
            <w:tcW w:type="dxa" w:w="7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12</w:t>
            </w:r>
          </w:p>
        </w:tc>
        <w:tc>
          <w:tcPr>
            <w:tcW w:type="dxa" w:w="38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Demo data polish; end-to-end rehearsal; buffer</w:t>
            </w:r>
          </w:p>
        </w:tc>
        <w:tc>
          <w:tcPr>
            <w:tcW w:type="dxa" w:w="4526"/>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center"/>
          </w:tcPr>
          <w:p>
            <w:pPr>
              <w:spacing w:after="40"/>
              <w:jc w:val="left"/>
            </w:pPr>
            <w:r>
              <w:rPr>
                <w:color w:val="000000"/>
                <w:sz w:val="20"/>
                <w:szCs w:val="20"/>
              </w:rPr>
              <w:t xml:space="preserve">Complete end-to-end demo flow reliable and narrated</w:t>
            </w:r>
          </w:p>
        </w:tc>
      </w:tr>
    </w:tbl>
    <w:p>
      <w:pPr>
        <w:pStyle w:val="Heading1"/>
        <w:spacing w:after="180" w:before="360"/>
      </w:pPr>
      <w:r>
        <w:t xml:space="preserve">14. Risks &amp; Open Questions</w:t>
      </w:r>
    </w:p>
    <w:p>
      <w:pPr>
        <w:pStyle w:val="Heading2"/>
        <w:spacing w:after="140" w:before="280"/>
      </w:pPr>
      <w:r>
        <w:t xml:space="preserve">14.1 Top risks</w:t>
      </w:r>
    </w:p>
    <w:p>
      <w:pPr>
        <w:pStyle w:val="ListParagraph"/>
        <w:numPr>
          <w:ilvl w:val="0"/>
          <w:numId w:val="2"/>
        </w:numPr>
        <w:spacing w:after="80" w:line="280"/>
      </w:pPr>
      <w:r>
        <w:rPr>
          <w:b/>
          <w:bCs/>
          <w:sz w:val="22"/>
          <w:szCs w:val="22"/>
        </w:rPr>
        <w:t xml:space="preserve">Solo delivery risk. </w:t>
      </w:r>
      <w:r>
        <w:rPr>
          <w:sz w:val="22"/>
          <w:szCs w:val="22"/>
        </w:rPr>
        <w:t xml:space="preserve">12 weeks solo has no redundancy — illness, unplanned client work (Appleton, Maymont, Guardant all have live obligations), or family commitments compress the buffer to zero. Mitigation: every week closes with a demoable increment so at any point, there is something to show even if the end state shifts.</w:t>
      </w:r>
    </w:p>
    <w:p>
      <w:pPr>
        <w:pStyle w:val="ListParagraph"/>
        <w:numPr>
          <w:ilvl w:val="0"/>
          <w:numId w:val="2"/>
        </w:numPr>
        <w:spacing w:after="80" w:line="280"/>
      </w:pPr>
      <w:r>
        <w:rPr>
          <w:b/>
          <w:bCs/>
          <w:sz w:val="22"/>
          <w:szCs w:val="22"/>
        </w:rPr>
        <w:t xml:space="preserve">SDO org volatility. </w:t>
      </w:r>
      <w:r>
        <w:rPr>
          <w:sz w:val="22"/>
          <w:szCs w:val="22"/>
        </w:rPr>
        <w:t xml:space="preserve">Salesforce SDOs have finite terms and can be refreshed with demo data that disrupts custom metadata. Mitigation: develop against a scratch org forked off the SDO, not directly in the SDO. Deploy to the SDO only for demo runs.</w:t>
      </w:r>
    </w:p>
    <w:p>
      <w:pPr>
        <w:pStyle w:val="ListParagraph"/>
        <w:numPr>
          <w:ilvl w:val="0"/>
          <w:numId w:val="2"/>
        </w:numPr>
        <w:spacing w:after="80" w:line="280"/>
      </w:pPr>
      <w:r>
        <w:rPr>
          <w:b/>
          <w:bCs/>
          <w:sz w:val="22"/>
          <w:szCs w:val="22"/>
        </w:rPr>
        <w:t xml:space="preserve">Agentforce configuration depth. </w:t>
      </w:r>
      <w:r>
        <w:rPr>
          <w:sz w:val="22"/>
          <w:szCs w:val="22"/>
        </w:rPr>
        <w:t xml:space="preserve">Agentforce configuration (topics, actions, grounding) is UI-heavy and Claude Code’s leverage is limited. Two agents may prove to be one week of setup each, not three days each. Mitigation: weeks 10–11 have compression tolerance; the Sales Copilot can ship with narrower grounding if the Lead Qualification Agent runs long.</w:t>
      </w:r>
    </w:p>
    <w:p>
      <w:pPr>
        <w:pStyle w:val="ListParagraph"/>
        <w:numPr>
          <w:ilvl w:val="0"/>
          <w:numId w:val="2"/>
        </w:numPr>
        <w:spacing w:after="80" w:line="280"/>
      </w:pPr>
      <w:r>
        <w:rPr>
          <w:b/>
          <w:bCs/>
          <w:sz w:val="22"/>
          <w:szCs w:val="22"/>
        </w:rPr>
        <w:t xml:space="preserve">Experience Cloud styling time. </w:t>
      </w:r>
      <w:r>
        <w:rPr>
          <w:sz w:val="22"/>
          <w:szCs w:val="22"/>
        </w:rPr>
        <w:t xml:space="preserve">Making the CP portal look credible (not ‘default Experience Cloud template’) takes longer than the functional build. Mitigation: budget a half-day for theme, use a lightweight built-in template, resist custom CSS beyond brand colours.</w:t>
      </w:r>
    </w:p>
    <w:p>
      <w:pPr>
        <w:pStyle w:val="ListParagraph"/>
        <w:numPr>
          <w:ilvl w:val="0"/>
          <w:numId w:val="2"/>
        </w:numPr>
        <w:spacing w:after="80" w:line="280"/>
      </w:pPr>
      <w:r>
        <w:rPr>
          <w:b/>
          <w:bCs/>
          <w:sz w:val="22"/>
          <w:szCs w:val="22"/>
        </w:rPr>
        <w:t xml:space="preserve">PDF generation for demand letters. </w:t>
      </w:r>
      <w:r>
        <w:rPr>
          <w:sz w:val="22"/>
          <w:szCs w:val="22"/>
        </w:rPr>
        <w:t xml:space="preserve">Doc-gen options (VisualForce, Apex + PDF library, Einstein Docs, Conga) have different fidelity and setup costs. Mitigation: Phase 1 architecture decision — default to VisualForce PDF for MVP; upgrade path to Docs is preserved.</w:t>
      </w:r>
    </w:p>
    <w:p>
      <w:pPr>
        <w:pStyle w:val="ListParagraph"/>
        <w:numPr>
          <w:ilvl w:val="0"/>
          <w:numId w:val="2"/>
        </w:numPr>
        <w:spacing w:after="80" w:line="280"/>
      </w:pPr>
      <w:r>
        <w:rPr>
          <w:b/>
          <w:bCs/>
          <w:sz w:val="22"/>
          <w:szCs w:val="22"/>
        </w:rPr>
        <w:t xml:space="preserve">Commission engine complexity. </w:t>
      </w:r>
      <w:r>
        <w:rPr>
          <w:sz w:val="22"/>
          <w:szCs w:val="22"/>
        </w:rPr>
        <w:t xml:space="preserve">Rate-card variations (slab-based, tier-based, milestone-weighted) can explode scope. Mitigation: MVP supports one rate structure — flat percentage by project and CP tier, with three milestone triggers. All other variations are Phase 2.</w:t>
      </w:r>
    </w:p>
    <w:p>
      <w:pPr>
        <w:pStyle w:val="Heading2"/>
        <w:spacing w:after="140" w:before="280"/>
      </w:pPr>
      <w:r>
        <w:t xml:space="preserve">14.2 Open questions</w:t>
      </w:r>
    </w:p>
    <w:p>
      <w:pPr>
        <w:pStyle w:val="ListParagraph"/>
        <w:numPr>
          <w:ilvl w:val="0"/>
          <w:numId w:val="2"/>
        </w:numPr>
        <w:spacing w:after="80" w:line="280"/>
      </w:pPr>
      <w:r>
        <w:rPr>
          <w:b/>
          <w:bCs/>
          <w:sz w:val="22"/>
          <w:szCs w:val="22"/>
        </w:rPr>
        <w:t xml:space="preserve">Agreement execution copy.</w:t>
      </w:r>
      <w:r>
        <w:rPr>
          <w:sz w:val="22"/>
          <w:szCs w:val="22"/>
        </w:rPr>
        <w:t xml:space="preserve"> Does MVP need a generated agreement template (even if dummy) or is capturing status sufficient? Affects E12 scope.</w:t>
      </w:r>
    </w:p>
    <w:p>
      <w:pPr>
        <w:pStyle w:val="ListParagraph"/>
        <w:numPr>
          <w:ilvl w:val="0"/>
          <w:numId w:val="2"/>
        </w:numPr>
        <w:spacing w:after="80" w:line="280"/>
      </w:pPr>
      <w:r>
        <w:rPr>
          <w:b/>
          <w:bCs/>
          <w:sz w:val="22"/>
          <w:szCs w:val="22"/>
        </w:rPr>
        <w:t xml:space="preserve">Lead source hierarchy.</w:t>
      </w:r>
      <w:r>
        <w:rPr>
          <w:sz w:val="22"/>
          <w:szCs w:val="22"/>
        </w:rPr>
        <w:t xml:space="preserve"> Confirm the exact source taxonomy (Digital, Aggregator-99acres, Aggregator-MB, CP, Walk-in, Referral, Other) for routing and reporting.</w:t>
      </w:r>
    </w:p>
    <w:p>
      <w:pPr>
        <w:pStyle w:val="ListParagraph"/>
        <w:numPr>
          <w:ilvl w:val="0"/>
          <w:numId w:val="2"/>
        </w:numPr>
        <w:spacing w:after="80" w:line="280"/>
      </w:pPr>
      <w:r>
        <w:rPr>
          <w:b/>
          <w:bCs/>
          <w:sz w:val="22"/>
          <w:szCs w:val="22"/>
        </w:rPr>
        <w:t xml:space="preserve">CP tiering scheme.</w:t>
      </w:r>
      <w:r>
        <w:rPr>
          <w:sz w:val="22"/>
          <w:szCs w:val="22"/>
        </w:rPr>
        <w:t xml:space="preserve"> Confirm two-tier (Standard, Preferred) or three-tier (Standard, Preferred, Platinum) for MVP. Affects rate card cardinality.</w:t>
      </w:r>
    </w:p>
    <w:p>
      <w:pPr>
        <w:pStyle w:val="ListParagraph"/>
        <w:numPr>
          <w:ilvl w:val="0"/>
          <w:numId w:val="2"/>
        </w:numPr>
        <w:spacing w:after="80" w:line="280"/>
      </w:pPr>
      <w:r>
        <w:rPr>
          <w:b/>
          <w:bCs/>
          <w:sz w:val="22"/>
          <w:szCs w:val="22"/>
        </w:rPr>
        <w:t xml:space="preserve">Concession approval bands.</w:t>
      </w:r>
      <w:r>
        <w:rPr>
          <w:sz w:val="22"/>
          <w:szCs w:val="22"/>
        </w:rPr>
        <w:t xml:space="preserve"> Confirm RM discount authority (e.g., up to 2%) versus PSM (2–5%) versus Sales Head (&gt;5%). Affects approval process design.</w:t>
      </w:r>
    </w:p>
    <w:p>
      <w:pPr>
        <w:pStyle w:val="ListParagraph"/>
        <w:numPr>
          <w:ilvl w:val="0"/>
          <w:numId w:val="2"/>
        </w:numPr>
        <w:spacing w:after="80" w:line="280"/>
      </w:pPr>
      <w:r>
        <w:rPr>
          <w:b/>
          <w:bCs/>
          <w:sz w:val="22"/>
          <w:szCs w:val="22"/>
        </w:rPr>
        <w:t xml:space="preserve">Demo project scenario.</w:t>
      </w:r>
      <w:r>
        <w:rPr>
          <w:sz w:val="22"/>
          <w:szCs w:val="22"/>
        </w:rPr>
        <w:t xml:space="preserve"> Which fictional project (or realistic scenario) anchors the demo? A credible single project with 2 towers and ~100 units works best for narrative.</w:t>
      </w:r>
    </w:p>
    <w:p>
      <w:pPr>
        <w:pStyle w:val="Heading1"/>
        <w:spacing w:after="180" w:before="360"/>
      </w:pPr>
      <w:r>
        <w:t xml:space="preserve">15. Immediate Next Steps</w:t>
      </w:r>
    </w:p>
    <w:p>
      <w:pPr>
        <w:spacing w:after="120" w:line="300"/>
        <w:jc w:val="both"/>
      </w:pPr>
      <w:r>
        <w:rPr>
          <w:sz w:val="22"/>
          <w:szCs w:val="22"/>
        </w:rPr>
        <w:t xml:space="preserve">Approval of this brief unlocks Phase 1. The next deliverables are sequenced below and should take 3–4 weeks in total — a compressed pre-build architecture phase that de-risks the 12-week build.</w:t>
      </w:r>
    </w:p>
    <w:p>
      <w:pPr>
        <w:pStyle w:val="ListParagraph"/>
        <w:numPr>
          <w:ilvl w:val="0"/>
          <w:numId w:val="2"/>
        </w:numPr>
        <w:spacing w:after="80" w:line="280"/>
      </w:pPr>
      <w:r>
        <w:rPr>
          <w:b/>
          <w:bCs/>
          <w:sz w:val="22"/>
          <w:szCs w:val="22"/>
        </w:rPr>
        <w:t xml:space="preserve">Week A — Architecture detailing. </w:t>
      </w:r>
      <w:r>
        <w:rPr>
          <w:sz w:val="22"/>
          <w:szCs w:val="22"/>
        </w:rPr>
        <w:t xml:space="preserve">Object-by-object field design; record types; page layouts outline; Flow and Apex boundary decisions; PDF generation approach; doc-gen for demand letter; e-sign stub interface; commission calculation algorithm.</w:t>
      </w:r>
    </w:p>
    <w:p>
      <w:pPr>
        <w:pStyle w:val="ListParagraph"/>
        <w:numPr>
          <w:ilvl w:val="0"/>
          <w:numId w:val="2"/>
        </w:numPr>
        <w:spacing w:after="80" w:line="280"/>
      </w:pPr>
      <w:r>
        <w:rPr>
          <w:b/>
          <w:bCs/>
          <w:sz w:val="22"/>
          <w:szCs w:val="22"/>
        </w:rPr>
        <w:t xml:space="preserve">Week A — Repository scaffolding. </w:t>
      </w:r>
      <w:r>
        <w:rPr>
          <w:sz w:val="22"/>
          <w:szCs w:val="22"/>
        </w:rPr>
        <w:t xml:space="preserve">SFDX project, CLAUDE.md (system context), PROJECT_CONTEXT.md (data model, naming, patterns), per-epic context files, pre-commit validation rules.</w:t>
      </w:r>
    </w:p>
    <w:p>
      <w:pPr>
        <w:pStyle w:val="ListParagraph"/>
        <w:numPr>
          <w:ilvl w:val="0"/>
          <w:numId w:val="2"/>
        </w:numPr>
        <w:spacing w:after="80" w:line="280"/>
      </w:pPr>
      <w:r>
        <w:rPr>
          <w:b/>
          <w:bCs/>
          <w:sz w:val="22"/>
          <w:szCs w:val="22"/>
        </w:rPr>
        <w:t xml:space="preserve">Week A–B — Sharing and security model. </w:t>
      </w:r>
      <w:r>
        <w:rPr>
          <w:sz w:val="22"/>
          <w:szCs w:val="22"/>
        </w:rPr>
        <w:t xml:space="preserve">OWD by object, role hierarchy for Sales + Post-Sales + CP Manager; sharing sets for CP portal; apex sharing for commission edge cases.</w:t>
      </w:r>
    </w:p>
    <w:p>
      <w:pPr>
        <w:pStyle w:val="ListParagraph"/>
        <w:numPr>
          <w:ilvl w:val="0"/>
          <w:numId w:val="2"/>
        </w:numPr>
        <w:spacing w:after="80" w:line="280"/>
      </w:pPr>
      <w:r>
        <w:rPr>
          <w:b/>
          <w:bCs/>
          <w:sz w:val="22"/>
          <w:szCs w:val="22"/>
        </w:rPr>
        <w:t xml:space="preserve">Week B — Backlog refinement. </w:t>
      </w:r>
      <w:r>
        <w:rPr>
          <w:sz w:val="22"/>
          <w:szCs w:val="22"/>
        </w:rPr>
        <w:t xml:space="preserve">Epic decomposition into stories with acceptance criteria, in the business-language format used at Guardant. Consolidated artefact, not fragmented.</w:t>
      </w:r>
    </w:p>
    <w:p>
      <w:pPr>
        <w:pStyle w:val="ListParagraph"/>
        <w:numPr>
          <w:ilvl w:val="0"/>
          <w:numId w:val="2"/>
        </w:numPr>
        <w:spacing w:after="80" w:line="280"/>
      </w:pPr>
      <w:r>
        <w:rPr>
          <w:b/>
          <w:bCs/>
          <w:sz w:val="22"/>
          <w:szCs w:val="22"/>
        </w:rPr>
        <w:t xml:space="preserve">Week B — Demo scenario design. </w:t>
      </w:r>
      <w:r>
        <w:rPr>
          <w:sz w:val="22"/>
          <w:szCs w:val="22"/>
        </w:rPr>
        <w:t xml:space="preserve">Fictional project, inventory shape, CP persona sample, lead sample. Drives demo data seeding in E22.</w:t>
      </w:r>
    </w:p>
    <w:p>
      <w:pPr>
        <w:pStyle w:val="ListParagraph"/>
        <w:numPr>
          <w:ilvl w:val="0"/>
          <w:numId w:val="2"/>
        </w:numPr>
        <w:spacing w:after="80" w:line="280"/>
      </w:pPr>
      <w:r>
        <w:rPr>
          <w:b/>
          <w:bCs/>
          <w:sz w:val="22"/>
          <w:szCs w:val="22"/>
        </w:rPr>
        <w:t xml:space="preserve">Week C — Phase 2 build kick-off. </w:t>
      </w:r>
      <w:r>
        <w:rPr>
          <w:sz w:val="22"/>
          <w:szCs w:val="22"/>
        </w:rPr>
        <w:t xml:space="preserve">E1–E3 (foundation).</w:t>
      </w:r>
    </w:p>
    <w:p>
      <w:r>
        <w:t xml:space="preserve"/>
      </w:r>
    </w:p>
    <w:p>
      <w:pPr>
        <w:spacing w:after="120" w:line="300"/>
        <w:jc w:val="both"/>
      </w:pPr>
      <w:r>
        <w:rPr>
          <w:sz w:val="22"/>
          <w:szCs w:val="22"/>
        </w:rPr>
        <w:t xml:space="preserve">Once approved, I will produce the Phase 1 deliverables in the same format — a consolidated architecture document, the repository scaffolding, and the refined backlog — all aligned to this brief.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t xml:space="preserve">Page </w:t>
    </w:r>
    <w:r>
      <w:rPr>
        <w:color w:val="606060"/>
        <w:sz w:val="18"/>
        <w:szCs w:val="18"/>
      </w:rPr>
      <w:fldChar w:fldCharType="begin"/>
      <w:instrText xml:space="preserve">PAGE</w:instrText>
      <w:fldChar w:fldCharType="separate"/>
      <w:fldChar w:fldCharType="end"/>
    </w:r>
    <w:r>
      <w:rPr>
        <w:color w:val="606060"/>
        <w:sz w:val="18"/>
        <w:szCs w:val="18"/>
      </w:rPr>
      <w:t xml:space="preserve"> of </w:t>
    </w:r>
    <w:r>
      <w:rPr>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06060"/>
        <w:sz w:val="18"/>
        <w:szCs w:val="18"/>
      </w:rPr>
      <w:t xml:space="preserve">RE Developer CRM · Phase 0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Developer CRM — Phase 0 Brief</dc:title>
  <dc:creator>Kasa Innovations</dc:creator>
  <dc:description>Product Vision &amp; Architecture Brief — Indian Residential Developers</dc:description>
  <cp:lastModifiedBy>Un-named</cp:lastModifiedBy>
  <cp:revision>1</cp:revision>
  <dcterms:created xsi:type="dcterms:W3CDTF">2026-04-19T16:51:14.578Z</dcterms:created>
  <dcterms:modified xsi:type="dcterms:W3CDTF">2026-04-19T16:51:14.578Z</dcterms:modified>
</cp:coreProperties>
</file>

<file path=docProps/custom.xml><?xml version="1.0" encoding="utf-8"?>
<Properties xmlns="http://schemas.openxmlformats.org/officeDocument/2006/custom-properties" xmlns:vt="http://schemas.openxmlformats.org/officeDocument/2006/docPropsVTypes"/>
</file>