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F5DC9" w14:textId="77777777" w:rsidR="009362E3" w:rsidRDefault="009362E3" w:rsidP="0017621E">
      <w:pPr>
        <w:jc w:val="center"/>
        <w:rPr>
          <w:rFonts w:cs="Times New Roman"/>
          <w:b/>
          <w:color w:val="2E74B5" w:themeColor="accent1" w:themeShade="BF"/>
          <w:sz w:val="32"/>
          <w:szCs w:val="32"/>
        </w:rPr>
      </w:pPr>
      <w:r>
        <w:rPr>
          <w:rFonts w:cs="Times New Roman"/>
          <w:b/>
          <w:color w:val="2E74B5" w:themeColor="accent1" w:themeShade="BF"/>
          <w:sz w:val="32"/>
          <w:szCs w:val="32"/>
        </w:rPr>
        <w:t>[Supplementary Information]</w:t>
      </w:r>
    </w:p>
    <w:p w14:paraId="54BF5DCA" w14:textId="77777777" w:rsidR="00AD104A" w:rsidRDefault="00AD104A" w:rsidP="00AD104A">
      <w:pPr>
        <w:jc w:val="center"/>
        <w:rPr>
          <w:rFonts w:cs="Times New Roman"/>
          <w:b/>
          <w:color w:val="2E74B5" w:themeColor="accent1" w:themeShade="BF"/>
          <w:sz w:val="32"/>
          <w:szCs w:val="32"/>
        </w:rPr>
      </w:pPr>
      <w:r>
        <w:rPr>
          <w:rFonts w:cs="Times New Roman"/>
          <w:b/>
          <w:color w:val="2E74B5" w:themeColor="accent1" w:themeShade="BF"/>
          <w:sz w:val="32"/>
          <w:szCs w:val="32"/>
        </w:rPr>
        <w:t>Molecular Modeling of the Microstructure Evolution during Carbon Fiber Processing</w:t>
      </w:r>
    </w:p>
    <w:p w14:paraId="54BF5DCB" w14:textId="77777777" w:rsidR="00AB2604" w:rsidRDefault="00AB2604" w:rsidP="00AB2604">
      <w:pPr>
        <w:jc w:val="center"/>
        <w:rPr>
          <w:rFonts w:cs="Times New Roman"/>
          <w:b/>
          <w:color w:val="000000" w:themeColor="text1"/>
          <w:szCs w:val="32"/>
        </w:rPr>
      </w:pPr>
      <w:r>
        <w:rPr>
          <w:rFonts w:cs="Times New Roman"/>
          <w:b/>
          <w:color w:val="000000" w:themeColor="text1"/>
          <w:szCs w:val="32"/>
        </w:rPr>
        <w:t xml:space="preserve">Saaketh Desai, </w:t>
      </w:r>
      <w:proofErr w:type="spellStart"/>
      <w:r>
        <w:rPr>
          <w:rFonts w:cs="Times New Roman"/>
          <w:b/>
          <w:color w:val="000000" w:themeColor="text1"/>
          <w:szCs w:val="32"/>
        </w:rPr>
        <w:t>Chunyu</w:t>
      </w:r>
      <w:proofErr w:type="spellEnd"/>
      <w:r>
        <w:rPr>
          <w:rFonts w:cs="Times New Roman"/>
          <w:b/>
          <w:color w:val="000000" w:themeColor="text1"/>
          <w:szCs w:val="32"/>
        </w:rPr>
        <w:t xml:space="preserve"> Li, </w:t>
      </w:r>
      <w:proofErr w:type="spellStart"/>
      <w:r>
        <w:rPr>
          <w:rFonts w:cs="Times New Roman"/>
          <w:b/>
          <w:color w:val="000000" w:themeColor="text1"/>
          <w:szCs w:val="32"/>
        </w:rPr>
        <w:t>Tongtong</w:t>
      </w:r>
      <w:proofErr w:type="spellEnd"/>
      <w:r>
        <w:rPr>
          <w:rFonts w:cs="Times New Roman"/>
          <w:b/>
          <w:color w:val="000000" w:themeColor="text1"/>
          <w:szCs w:val="32"/>
        </w:rPr>
        <w:t xml:space="preserve"> Shen, Alejandro Strachan</w:t>
      </w:r>
      <w:r w:rsidR="00D167ED">
        <w:rPr>
          <w:rStyle w:val="FootnoteReference"/>
          <w:rFonts w:cs="Times New Roman"/>
          <w:b/>
          <w:color w:val="000000" w:themeColor="text1"/>
          <w:szCs w:val="32"/>
        </w:rPr>
        <w:footnoteReference w:id="1"/>
      </w:r>
      <w:r w:rsidR="00E16964">
        <w:rPr>
          <w:rFonts w:cs="Times New Roman"/>
          <w:b/>
          <w:color w:val="000000" w:themeColor="text1"/>
          <w:szCs w:val="32"/>
        </w:rPr>
        <w:tab/>
      </w:r>
    </w:p>
    <w:p w14:paraId="54BF5DCC" w14:textId="77777777" w:rsidR="001A543A" w:rsidRPr="001A543A" w:rsidRDefault="0017621E" w:rsidP="001A543A">
      <w:pPr>
        <w:jc w:val="center"/>
        <w:rPr>
          <w:rFonts w:cs="Times New Roman"/>
          <w:b/>
          <w:color w:val="000000" w:themeColor="text1"/>
          <w:szCs w:val="32"/>
        </w:rPr>
      </w:pPr>
      <w:r>
        <w:rPr>
          <w:rFonts w:cs="Times New Roman"/>
          <w:b/>
          <w:color w:val="000000" w:themeColor="text1"/>
          <w:szCs w:val="32"/>
        </w:rPr>
        <w:t>Purdue University, West Lafayette, IN, USA 47906</w:t>
      </w:r>
    </w:p>
    <w:p w14:paraId="54BF5DCD" w14:textId="77777777" w:rsidR="001A543A" w:rsidRPr="007E4B27" w:rsidRDefault="004B4CC2" w:rsidP="001A543A">
      <w:pPr>
        <w:pStyle w:val="Heading2"/>
        <w:rPr>
          <w:rFonts w:ascii="Times New Roman" w:hAnsi="Times New Roman" w:cs="Times New Roman"/>
          <w:sz w:val="32"/>
          <w:szCs w:val="28"/>
        </w:rPr>
      </w:pPr>
      <w:r>
        <w:rPr>
          <w:rFonts w:ascii="Times New Roman" w:hAnsi="Times New Roman" w:cs="Times New Roman"/>
          <w:sz w:val="32"/>
          <w:szCs w:val="28"/>
        </w:rPr>
        <w:t>Using the MD-CF code</w:t>
      </w:r>
    </w:p>
    <w:p w14:paraId="54BF5DCE" w14:textId="5D926F0C" w:rsidR="007E4B27" w:rsidRDefault="001A543A" w:rsidP="001A543A">
      <w:pPr>
        <w:jc w:val="left"/>
        <w:rPr>
          <w:rFonts w:cs="Times New Roman"/>
          <w:b/>
          <w:color w:val="000000" w:themeColor="text1"/>
          <w:szCs w:val="32"/>
        </w:rPr>
      </w:pPr>
      <w:r>
        <w:rPr>
          <w:rFonts w:cs="Times New Roman"/>
          <w:szCs w:val="28"/>
        </w:rPr>
        <w:t xml:space="preserve">The code to </w:t>
      </w:r>
      <w:r w:rsidR="005847E2">
        <w:rPr>
          <w:rFonts w:cs="Times New Roman"/>
          <w:szCs w:val="28"/>
        </w:rPr>
        <w:t xml:space="preserve">simulate the crosslinking procedure is available at </w:t>
      </w:r>
      <w:hyperlink r:id="rId7" w:history="1">
        <w:r w:rsidR="008D6C0B" w:rsidRPr="008D6C0B">
          <w:rPr>
            <w:rStyle w:val="Hyperlink"/>
            <w:rFonts w:cs="Times New Roman"/>
            <w:szCs w:val="28"/>
          </w:rPr>
          <w:t>https://github.rcac.purdue.edu/StrachanGroup</w:t>
        </w:r>
      </w:hyperlink>
      <w:r w:rsidR="005847E2">
        <w:rPr>
          <w:rFonts w:cs="Times New Roman"/>
          <w:szCs w:val="28"/>
        </w:rPr>
        <w:t xml:space="preserve">. The README file associated with the GitHub repository provides instructions to download and use </w:t>
      </w:r>
      <w:r w:rsidR="006B1A7F">
        <w:rPr>
          <w:rFonts w:cs="Times New Roman"/>
          <w:szCs w:val="28"/>
        </w:rPr>
        <w:t>MD-CF</w:t>
      </w:r>
      <w:r w:rsidR="005847E2">
        <w:rPr>
          <w:rFonts w:cs="Times New Roman"/>
          <w:szCs w:val="28"/>
        </w:rPr>
        <w:t>.</w:t>
      </w:r>
    </w:p>
    <w:p w14:paraId="54BF5DCF" w14:textId="77777777" w:rsidR="0017621E" w:rsidRPr="007E4B27" w:rsidRDefault="0017621E" w:rsidP="0017621E">
      <w:pPr>
        <w:pStyle w:val="Heading2"/>
        <w:rPr>
          <w:rFonts w:ascii="Times New Roman" w:hAnsi="Times New Roman" w:cs="Times New Roman"/>
          <w:sz w:val="32"/>
          <w:szCs w:val="28"/>
        </w:rPr>
      </w:pPr>
      <w:r w:rsidRPr="007E4B27">
        <w:rPr>
          <w:rFonts w:ascii="Times New Roman" w:hAnsi="Times New Roman" w:cs="Times New Roman"/>
          <w:sz w:val="32"/>
          <w:szCs w:val="28"/>
        </w:rPr>
        <w:t xml:space="preserve">Simulating a Powder X-Ray Diffraction </w:t>
      </w:r>
      <w:r w:rsidR="005C445B">
        <w:rPr>
          <w:rFonts w:ascii="Times New Roman" w:hAnsi="Times New Roman" w:cs="Times New Roman"/>
          <w:sz w:val="32"/>
          <w:szCs w:val="28"/>
        </w:rPr>
        <w:t xml:space="preserve">(XRD) </w:t>
      </w:r>
      <w:r w:rsidRPr="007E4B27">
        <w:rPr>
          <w:rFonts w:ascii="Times New Roman" w:hAnsi="Times New Roman" w:cs="Times New Roman"/>
          <w:sz w:val="32"/>
          <w:szCs w:val="28"/>
        </w:rPr>
        <w:t>Pattern</w:t>
      </w:r>
    </w:p>
    <w:p w14:paraId="54BF5DD0" w14:textId="7CA83EFD" w:rsidR="0017621E" w:rsidRDefault="001252E2" w:rsidP="0017621E">
      <w:pPr>
        <w:rPr>
          <w:rFonts w:cs="Times New Roman"/>
          <w:szCs w:val="28"/>
        </w:rPr>
      </w:pPr>
      <w:r>
        <w:rPr>
          <w:rFonts w:cs="Times New Roman"/>
          <w:szCs w:val="28"/>
        </w:rPr>
        <w:t xml:space="preserve">We use </w:t>
      </w:r>
      <w:r w:rsidR="00EE4CA0">
        <w:rPr>
          <w:rFonts w:cs="Times New Roman"/>
          <w:szCs w:val="28"/>
        </w:rPr>
        <w:t>the LAMMPS software package to simulate</w:t>
      </w:r>
      <w:r>
        <w:rPr>
          <w:rFonts w:cs="Times New Roman"/>
          <w:szCs w:val="28"/>
        </w:rPr>
        <w:t xml:space="preserve"> the XRD pattern. Th</w:t>
      </w:r>
      <w:r w:rsidR="005073D7">
        <w:rPr>
          <w:rFonts w:cs="Times New Roman"/>
          <w:szCs w:val="28"/>
        </w:rPr>
        <w:t>e procedure used is</w:t>
      </w:r>
      <w:r>
        <w:rPr>
          <w:rFonts w:cs="Times New Roman"/>
          <w:szCs w:val="28"/>
        </w:rPr>
        <w:t xml:space="preserve"> detailed in</w:t>
      </w:r>
      <w:r w:rsidR="003401E3">
        <w:rPr>
          <w:rFonts w:cs="Times New Roman"/>
          <w:szCs w:val="28"/>
        </w:rPr>
        <w:t xml:space="preserve"> Coleman et al.</w:t>
      </w:r>
      <w:r>
        <w:rPr>
          <w:rFonts w:cs="Times New Roman"/>
          <w:szCs w:val="28"/>
        </w:rPr>
        <w:t xml:space="preserve"> </w:t>
      </w:r>
      <w:r w:rsidR="00C55302">
        <w:rPr>
          <w:rFonts w:cs="Times New Roman"/>
          <w:szCs w:val="28"/>
        </w:rPr>
        <w:fldChar w:fldCharType="begin" w:fldLock="1"/>
      </w:r>
      <w:r w:rsidR="00C55302">
        <w:rPr>
          <w:rFonts w:cs="Times New Roman"/>
          <w:szCs w:val="28"/>
        </w:rPr>
        <w:instrText>ADDIN CSL_CITATION { "citationItems" : [ { "id" : "ITEM-1", "itemData" : { "DOI" : "10.1088/0965-0393/21/5/055020", "author" : [ { "dropping-particle" : "", "family" : "Coleman", "given" : "S P", "non-dropping-particle" : "", "parse-names" : false, "suffix" : "" }, { "dropping-particle" : "", "family" : "Spearot", "given" : "D E", "non-dropping-particle" : "", "parse-names" : false, "suffix" : "" }, { "dropping-particle" : "", "family" : "Capolungo", "given" : "L", "non-dropping-particle" : "", "parse-names" : false, "suffix" : "" } ], "container-title" : "Modelling and Simulation in Materials Science and Engineering", "id" : "ITEM-1", "issue" : "5", "issued" : { "date-parts" : [ [ "2013" ] ] }, "page" : "1-16", "title" : "Virtual diffraction analysis of Ni [ 0 1 0 ] symmetric tilt grain boundaries", "type" : "article-journal", "volume" : "21" }, "uris" : [ "http://www.mendeley.com/documents/?uuid=77e1226b-3fe3-486f-88e9-50242934aab5" ] } ], "mendeley" : { "formattedCitation" : "[1]", "plainTextFormattedCitation" : "[1]", "previouslyFormattedCitation" : "[1]" }, "properties" : { "noteIndex" : 0 }, "schema" : "https://github.com/citation-style-language/schema/raw/master/csl-citation.json" }</w:instrText>
      </w:r>
      <w:r w:rsidR="00C55302">
        <w:rPr>
          <w:rFonts w:cs="Times New Roman"/>
          <w:szCs w:val="28"/>
        </w:rPr>
        <w:fldChar w:fldCharType="separate"/>
      </w:r>
      <w:r w:rsidR="00C55302" w:rsidRPr="00C55302">
        <w:rPr>
          <w:rFonts w:cs="Times New Roman"/>
          <w:noProof/>
          <w:szCs w:val="28"/>
        </w:rPr>
        <w:t>[1]</w:t>
      </w:r>
      <w:r w:rsidR="00C55302">
        <w:rPr>
          <w:rFonts w:cs="Times New Roman"/>
          <w:szCs w:val="28"/>
        </w:rPr>
        <w:fldChar w:fldCharType="end"/>
      </w:r>
      <w:r>
        <w:rPr>
          <w:rFonts w:cs="Times New Roman"/>
          <w:szCs w:val="28"/>
        </w:rPr>
        <w:t xml:space="preserve">, where the simulation cell is divided into a grid in reciprocal space, the grid spacing determined either manually or using the cell lengths. </w:t>
      </w:r>
      <w:r w:rsidR="00EE4CA0">
        <w:rPr>
          <w:rFonts w:cs="Times New Roman"/>
          <w:szCs w:val="28"/>
        </w:rPr>
        <w:t>At</w:t>
      </w:r>
      <w:r>
        <w:rPr>
          <w:rFonts w:cs="Times New Roman"/>
          <w:szCs w:val="28"/>
        </w:rPr>
        <w:t xml:space="preserve"> each point of this grid, the structure factor is evaluated, using the following equation</w:t>
      </w:r>
    </w:p>
    <w:p w14:paraId="54BF5DD1" w14:textId="77777777" w:rsidR="0082429B" w:rsidRPr="00FE5174" w:rsidRDefault="00EC3156" w:rsidP="006D4874">
      <w:pPr>
        <w:rPr>
          <w:rFonts w:cs="Times New Roman"/>
          <w:szCs w:val="28"/>
        </w:rPr>
      </w:pPr>
      <m:oMathPara>
        <m:oMath>
          <m:r>
            <w:rPr>
              <w:rFonts w:ascii="Cambria Math" w:hAnsi="Cambria Math" w:cs="Times New Roman"/>
              <w:szCs w:val="28"/>
            </w:rPr>
            <m:t>F</m:t>
          </m:r>
          <m:d>
            <m:dPr>
              <m:ctrlPr>
                <w:rPr>
                  <w:rFonts w:ascii="Cambria Math" w:hAnsi="Cambria Math" w:cs="Times New Roman"/>
                  <w:szCs w:val="28"/>
                </w:rPr>
              </m:ctrlPr>
            </m:dPr>
            <m:e>
              <m:r>
                <m:rPr>
                  <m:sty m:val="bi"/>
                </m:rPr>
                <w:rPr>
                  <w:rFonts w:ascii="Cambria Math" w:hAnsi="Cambria Math" w:cs="Times New Roman"/>
                  <w:szCs w:val="28"/>
                </w:rPr>
                <m:t>k</m:t>
              </m:r>
            </m:e>
          </m:d>
          <m:r>
            <w:rPr>
              <w:rFonts w:ascii="Cambria Math" w:hAnsi="Cambria Math" w:cs="Times New Roman"/>
              <w:szCs w:val="28"/>
            </w:rPr>
            <m:t>=</m:t>
          </m:r>
          <m:nary>
            <m:naryPr>
              <m:chr m:val="∑"/>
              <m:grow m:val="1"/>
              <m:ctrlPr>
                <w:rPr>
                  <w:rFonts w:ascii="Cambria Math" w:hAnsi="Cambria Math" w:cs="Times New Roman"/>
                  <w:szCs w:val="28"/>
                </w:rPr>
              </m:ctrlPr>
            </m:naryPr>
            <m:sub>
              <m:r>
                <w:rPr>
                  <w:rFonts w:ascii="Cambria Math" w:hAnsi="Cambria Math" w:cs="Times New Roman"/>
                  <w:szCs w:val="28"/>
                </w:rPr>
                <m:t>j=1</m:t>
              </m:r>
            </m:sub>
            <m:sup>
              <m:r>
                <w:rPr>
                  <w:rFonts w:ascii="Cambria Math" w:hAnsi="Cambria Math" w:cs="Times New Roman"/>
                  <w:szCs w:val="28"/>
                </w:rPr>
                <m:t>N</m:t>
              </m:r>
            </m:sup>
            <m:e>
              <m:r>
                <w:rPr>
                  <w:rFonts w:ascii="Cambria Math" w:hAnsi="Cambria Math" w:cs="Times New Roman"/>
                  <w:szCs w:val="28"/>
                </w:rPr>
                <m:t xml:space="preserve">  </m:t>
              </m:r>
              <m:d>
                <m:dPr>
                  <m:ctrlPr>
                    <w:rPr>
                      <w:rFonts w:ascii="Cambria Math" w:hAnsi="Cambria Math" w:cs="Times New Roman"/>
                      <w:szCs w:val="28"/>
                    </w:rPr>
                  </m:ctrlPr>
                </m:dPr>
                <m:e>
                  <m:sSub>
                    <m:sSubPr>
                      <m:ctrlPr>
                        <w:rPr>
                          <w:rFonts w:ascii="Cambria Math" w:hAnsi="Cambria Math" w:cs="Times New Roman"/>
                          <w:szCs w:val="28"/>
                        </w:rPr>
                      </m:ctrlPr>
                    </m:sSubPr>
                    <m:e>
                      <m:r>
                        <w:rPr>
                          <w:rFonts w:ascii="Cambria Math" w:eastAsia="Cambria Math" w:hAnsi="Cambria Math" w:cs="Cambria Math"/>
                          <w:szCs w:val="28"/>
                        </w:rPr>
                        <m:t>f</m:t>
                      </m:r>
                    </m:e>
                    <m:sub>
                      <m:r>
                        <w:rPr>
                          <w:rFonts w:ascii="Cambria Math" w:eastAsia="Cambria Math" w:hAnsi="Cambria Math" w:cs="Cambria Math"/>
                          <w:szCs w:val="28"/>
                        </w:rPr>
                        <m:t>j</m:t>
                      </m:r>
                    </m:sub>
                  </m:sSub>
                  <m:d>
                    <m:dPr>
                      <m:ctrlPr>
                        <w:rPr>
                          <w:rFonts w:ascii="Cambria Math" w:hAnsi="Cambria Math" w:cs="Times New Roman"/>
                          <w:i/>
                          <w:szCs w:val="28"/>
                        </w:rPr>
                      </m:ctrlPr>
                    </m:dPr>
                    <m:e>
                      <m:r>
                        <w:rPr>
                          <w:rFonts w:ascii="Cambria Math" w:hAnsi="Cambria Math" w:cs="Times New Roman"/>
                          <w:szCs w:val="28"/>
                        </w:rPr>
                        <m:t>θ</m:t>
                      </m:r>
                    </m:e>
                  </m:d>
                  <m:r>
                    <w:rPr>
                      <w:rFonts w:ascii="Cambria Math" w:hAnsi="Cambria Math" w:cs="Times New Roman"/>
                      <w:szCs w:val="28"/>
                    </w:rPr>
                    <m:t xml:space="preserve"> </m:t>
                  </m:r>
                  <m:func>
                    <m:funcPr>
                      <m:ctrlPr>
                        <w:rPr>
                          <w:rFonts w:ascii="Cambria Math" w:hAnsi="Cambria Math" w:cs="Times New Roman"/>
                          <w:szCs w:val="28"/>
                        </w:rPr>
                      </m:ctrlPr>
                    </m:funcPr>
                    <m:fName>
                      <m:r>
                        <m:rPr>
                          <m:sty m:val="p"/>
                        </m:rPr>
                        <w:rPr>
                          <w:rFonts w:ascii="Cambria Math" w:eastAsia="Cambria Math" w:hAnsi="Cambria Math" w:cs="Cambria Math"/>
                          <w:szCs w:val="28"/>
                        </w:rPr>
                        <m:t>exp</m:t>
                      </m:r>
                    </m:fName>
                    <m:e>
                      <m:r>
                        <w:rPr>
                          <w:rFonts w:ascii="Cambria Math" w:hAnsi="Cambria Math" w:cs="Times New Roman"/>
                          <w:szCs w:val="28"/>
                        </w:rPr>
                        <m:t>(</m:t>
                      </m:r>
                      <m:r>
                        <m:rPr>
                          <m:sty m:val="p"/>
                        </m:rPr>
                        <w:rPr>
                          <w:rFonts w:ascii="Cambria Math" w:hAnsi="Cambria Math" w:cs="Times New Roman"/>
                          <w:szCs w:val="28"/>
                        </w:rPr>
                        <m:t xml:space="preserve">2πi </m:t>
                      </m:r>
                      <m:r>
                        <m:rPr>
                          <m:sty m:val="b"/>
                        </m:rPr>
                        <w:rPr>
                          <w:rFonts w:ascii="Cambria Math" w:hAnsi="Cambria Math" w:cs="Times New Roman"/>
                          <w:szCs w:val="28"/>
                        </w:rPr>
                        <m:t>k</m:t>
                      </m:r>
                      <m:r>
                        <w:rPr>
                          <w:rFonts w:ascii="Cambria Math" w:hAnsi="Cambria Math" w:cs="Times New Roman"/>
                          <w:szCs w:val="28"/>
                        </w:rPr>
                        <m:t xml:space="preserve">• </m:t>
                      </m:r>
                    </m:e>
                  </m:func>
                  <m:sSub>
                    <m:sSubPr>
                      <m:ctrlPr>
                        <w:rPr>
                          <w:rFonts w:ascii="Cambria Math" w:hAnsi="Cambria Math" w:cs="Times New Roman"/>
                          <w:b/>
                          <w:szCs w:val="28"/>
                        </w:rPr>
                      </m:ctrlPr>
                    </m:sSubPr>
                    <m:e>
                      <m:r>
                        <m:rPr>
                          <m:sty m:val="bi"/>
                        </m:rPr>
                        <w:rPr>
                          <w:rFonts w:ascii="Cambria Math" w:eastAsia="Cambria Math" w:hAnsi="Cambria Math" w:cs="Cambria Math"/>
                          <w:szCs w:val="28"/>
                        </w:rPr>
                        <m:t>r</m:t>
                      </m:r>
                    </m:e>
                    <m:sub>
                      <m:r>
                        <m:rPr>
                          <m:sty m:val="bi"/>
                        </m:rPr>
                        <w:rPr>
                          <w:rFonts w:ascii="Cambria Math" w:eastAsia="Cambria Math" w:hAnsi="Cambria Math" w:cs="Cambria Math"/>
                          <w:szCs w:val="28"/>
                        </w:rPr>
                        <m:t>j</m:t>
                      </m:r>
                    </m:sub>
                  </m:sSub>
                  <m:r>
                    <m:rPr>
                      <m:sty m:val="bi"/>
                    </m:rPr>
                    <w:rPr>
                      <w:rFonts w:ascii="Cambria Math" w:hAnsi="Cambria Math" w:cs="Times New Roman"/>
                      <w:szCs w:val="28"/>
                    </w:rPr>
                    <m:t>)</m:t>
                  </m:r>
                </m:e>
              </m:d>
            </m:e>
          </m:nary>
        </m:oMath>
      </m:oMathPara>
    </w:p>
    <w:p w14:paraId="54BF5DD2" w14:textId="77777777" w:rsidR="00FE5174" w:rsidRDefault="00074E96" w:rsidP="0082429B">
      <w:r>
        <w:t>w</w:t>
      </w:r>
      <w:r w:rsidR="0082429B">
        <w:t>here f</w:t>
      </w:r>
      <w:r w:rsidR="0082429B">
        <w:rPr>
          <w:vertAlign w:val="subscript"/>
        </w:rPr>
        <w:t>j</w:t>
      </w:r>
      <w:r w:rsidR="000C7C7D">
        <w:t>(θ)</w:t>
      </w:r>
      <w:r w:rsidR="0082429B">
        <w:t xml:space="preserve"> denotes the atomic form factors and </w:t>
      </w:r>
      <w:proofErr w:type="spellStart"/>
      <w:r w:rsidR="0082429B" w:rsidRPr="000C7C7D">
        <w:rPr>
          <w:b/>
        </w:rPr>
        <w:t>r</w:t>
      </w:r>
      <w:r w:rsidR="0082429B" w:rsidRPr="000C7C7D">
        <w:rPr>
          <w:b/>
          <w:vertAlign w:val="subscript"/>
        </w:rPr>
        <w:t>j</w:t>
      </w:r>
      <w:r w:rsidR="0082429B">
        <w:rPr>
          <w:vertAlign w:val="subscript"/>
        </w:rPr>
        <w:softHyphen/>
      </w:r>
      <w:proofErr w:type="spellEnd"/>
      <w:r w:rsidR="0082429B">
        <w:t xml:space="preserve"> denotes the atomic coordinates. </w:t>
      </w:r>
      <w:r w:rsidR="00C37BAD">
        <w:t xml:space="preserve">The structure factor, which </w:t>
      </w:r>
      <w:r w:rsidR="009B600F">
        <w:t xml:space="preserve">gives the scattering due to the atom positions in </w:t>
      </w:r>
      <w:r w:rsidR="000C7C7D">
        <w:t>all the</w:t>
      </w:r>
      <w:r w:rsidR="009B600F">
        <w:t xml:space="preserve"> unit cell</w:t>
      </w:r>
      <w:r w:rsidR="000C7C7D">
        <w:t>s</w:t>
      </w:r>
      <w:r w:rsidR="009B600F">
        <w:t xml:space="preserve">, </w:t>
      </w:r>
      <w:r w:rsidR="00C37BAD">
        <w:t>c</w:t>
      </w:r>
      <w:r w:rsidR="009B600F">
        <w:t xml:space="preserve">an </w:t>
      </w:r>
      <w:r w:rsidR="00C37BAD">
        <w:t xml:space="preserve">then </w:t>
      </w:r>
      <w:r w:rsidR="009B600F">
        <w:t>be used to calculate peak intensity,</w:t>
      </w:r>
      <w:r w:rsidR="0082429B">
        <w:t xml:space="preserve"> </w:t>
      </w:r>
      <w:r w:rsidR="00C37BAD">
        <w:t>using</w:t>
      </w:r>
      <w:r w:rsidR="0082429B">
        <w:t xml:space="preserve"> the following equation</w:t>
      </w:r>
      <w:r w:rsidR="001A543A">
        <w:t xml:space="preserve">, </w:t>
      </w:r>
    </w:p>
    <w:p w14:paraId="54BF5DD3" w14:textId="77777777" w:rsidR="00FE5174" w:rsidRDefault="00FE5174" w:rsidP="0082429B">
      <m:oMathPara>
        <m:oMath>
          <m:r>
            <w:rPr>
              <w:rFonts w:ascii="Cambria Math" w:hAnsi="Cambria Math"/>
            </w:rPr>
            <m:t>I=LP(θ)</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m:t>
                  </m:r>
                </m:sup>
              </m:sSup>
            </m:num>
            <m:den>
              <m:r>
                <w:rPr>
                  <w:rFonts w:ascii="Cambria Math" w:hAnsi="Cambria Math"/>
                </w:rPr>
                <m:t>N</m:t>
              </m:r>
            </m:den>
          </m:f>
        </m:oMath>
      </m:oMathPara>
    </w:p>
    <w:p w14:paraId="54BF5DD4" w14:textId="77777777" w:rsidR="0082429B" w:rsidRDefault="00FE5174" w:rsidP="0082429B">
      <w:r>
        <w:t>w</w:t>
      </w:r>
      <w:r w:rsidR="001A543A">
        <w:t>here L</w:t>
      </w:r>
      <w:r w:rsidR="003231B7">
        <w:t>P</w:t>
      </w:r>
      <w:r w:rsidR="001A543A">
        <w:t xml:space="preserve"> (θ) denotes the polarization factor, used to account for unpolarized beams as well as finite crystal sizes. </w:t>
      </w:r>
    </w:p>
    <w:p w14:paraId="54BF5DD5" w14:textId="77777777" w:rsidR="004368A8" w:rsidRPr="007E4B27" w:rsidRDefault="004368A8" w:rsidP="004368A8">
      <w:pPr>
        <w:pStyle w:val="Heading2"/>
        <w:rPr>
          <w:rFonts w:ascii="Times New Roman" w:hAnsi="Times New Roman" w:cs="Times New Roman"/>
          <w:sz w:val="32"/>
          <w:szCs w:val="28"/>
        </w:rPr>
      </w:pPr>
      <w:r>
        <w:rPr>
          <w:rFonts w:ascii="Times New Roman" w:hAnsi="Times New Roman" w:cs="Times New Roman"/>
          <w:sz w:val="32"/>
          <w:szCs w:val="28"/>
        </w:rPr>
        <w:lastRenderedPageBreak/>
        <w:t>Evaluating the transverse stiffness of MD-CF microstructures</w:t>
      </w:r>
    </w:p>
    <w:p w14:paraId="54BF5DD6" w14:textId="77777777" w:rsidR="004368A8" w:rsidRDefault="004368A8" w:rsidP="004368A8">
      <w:pPr>
        <w:rPr>
          <w:rFonts w:cs="Times New Roman"/>
          <w:szCs w:val="28"/>
        </w:rPr>
      </w:pPr>
      <w:r>
        <w:rPr>
          <w:rFonts w:cs="Times New Roman"/>
          <w:szCs w:val="28"/>
        </w:rPr>
        <w:t xml:space="preserve">Typical stress strain curves for MD-CF microstructures are shown in Fig S1 and the Young’s modulus for each of these curves is estimated by performing a linear fit to the data. Given the complex nature of the microstructure and the system size, we see fluctuations in the stress built in the material as strain is applied. These fluctuations result in deviations from an </w:t>
      </w:r>
      <w:r w:rsidR="003565B2">
        <w:rPr>
          <w:rFonts w:cs="Times New Roman"/>
          <w:szCs w:val="28"/>
        </w:rPr>
        <w:t>ideal linear fit and these deviations are represented as error bars in the Young’s modulus.</w:t>
      </w:r>
    </w:p>
    <w:p w14:paraId="54BF5DD7" w14:textId="331889BD" w:rsidR="004368A8" w:rsidRDefault="00760C3F" w:rsidP="007C164A">
      <w:r>
        <w:rPr>
          <w:noProof/>
        </w:rPr>
        <w:drawing>
          <wp:inline distT="0" distB="0" distL="0" distR="0" wp14:anchorId="7BE36358" wp14:editId="7F0C84C4">
            <wp:extent cx="5877204" cy="4049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7204" cy="4049845"/>
                    </a:xfrm>
                    <a:prstGeom prst="rect">
                      <a:avLst/>
                    </a:prstGeom>
                    <a:noFill/>
                  </pic:spPr>
                </pic:pic>
              </a:graphicData>
            </a:graphic>
          </wp:inline>
        </w:drawing>
      </w:r>
    </w:p>
    <w:p w14:paraId="54BF5DD8" w14:textId="12F0BDD7" w:rsidR="00393837" w:rsidRDefault="00393837" w:rsidP="00393837">
      <w:pPr>
        <w:rPr>
          <w:i/>
        </w:rPr>
      </w:pPr>
      <w:r>
        <w:rPr>
          <w:i/>
          <w:szCs w:val="20"/>
        </w:rPr>
        <w:t xml:space="preserve">Figure S1: Stress strain curves </w:t>
      </w:r>
      <w:r w:rsidR="00CC23A4">
        <w:rPr>
          <w:i/>
          <w:szCs w:val="20"/>
        </w:rPr>
        <w:t xml:space="preserve">(in tension) </w:t>
      </w:r>
      <w:r>
        <w:rPr>
          <w:i/>
          <w:szCs w:val="20"/>
        </w:rPr>
        <w:t xml:space="preserve">for same representative MD-CF microstructures in the (a) X direction and (b) Y direction. </w:t>
      </w:r>
      <w:r w:rsidR="00CC23A4">
        <w:rPr>
          <w:i/>
          <w:szCs w:val="20"/>
        </w:rPr>
        <w:t xml:space="preserve">(c) and (d) Stress strain curves in compression. </w:t>
      </w:r>
      <w:r w:rsidR="00A2102D">
        <w:rPr>
          <w:i/>
          <w:szCs w:val="20"/>
        </w:rPr>
        <w:t>The parameters used for these set of microstructures were</w:t>
      </w:r>
      <w:r w:rsidR="00A2102D">
        <w:t xml:space="preserve">: </w:t>
      </w:r>
      <w:r w:rsidR="00A2102D">
        <w:rPr>
          <w:i/>
        </w:rPr>
        <w:t>R</w:t>
      </w:r>
      <w:r w:rsidR="00A2102D">
        <w:rPr>
          <w:i/>
          <w:vertAlign w:val="subscript"/>
        </w:rPr>
        <w:t>0</w:t>
      </w:r>
      <w:r w:rsidR="00A2102D">
        <w:rPr>
          <w:i/>
        </w:rPr>
        <w:t>=5Å, R</w:t>
      </w:r>
      <w:r w:rsidR="00A2102D">
        <w:rPr>
          <w:i/>
          <w:vertAlign w:val="subscript"/>
        </w:rPr>
        <w:t>1</w:t>
      </w:r>
      <w:r w:rsidR="00A2102D">
        <w:rPr>
          <w:i/>
        </w:rPr>
        <w:t xml:space="preserve">=2.85Å, </w:t>
      </w:r>
      <w:r w:rsidR="00A2102D">
        <w:rPr>
          <w:i/>
        </w:rPr>
        <w:sym w:font="Symbol" w:char="F071"/>
      </w:r>
      <w:r w:rsidR="00A2102D">
        <w:rPr>
          <w:i/>
          <w:vertAlign w:val="subscript"/>
        </w:rPr>
        <w:t>0</w:t>
      </w:r>
      <w:r w:rsidR="00A2102D">
        <w:rPr>
          <w:i/>
        </w:rPr>
        <w:t>=60</w:t>
      </w:r>
      <w:r w:rsidR="00A2102D">
        <w:rPr>
          <w:rFonts w:ascii="Arial" w:hAnsi="Arial" w:cs="Arial"/>
          <w:i/>
        </w:rPr>
        <w:t>°</w:t>
      </w:r>
      <w:r w:rsidR="00A2102D">
        <w:rPr>
          <w:i/>
        </w:rPr>
        <w:t xml:space="preserve"> and </w:t>
      </w:r>
      <w:r w:rsidR="00A2102D">
        <w:rPr>
          <w:rFonts w:ascii="Symbol" w:hAnsi="Symbol"/>
          <w:i/>
        </w:rPr>
        <w:t></w:t>
      </w:r>
      <w:r w:rsidR="00A2102D">
        <w:rPr>
          <w:i/>
        </w:rPr>
        <w:t>=0.1</w:t>
      </w:r>
    </w:p>
    <w:p w14:paraId="4584E4D4" w14:textId="77777777" w:rsidR="00FE2D8B" w:rsidRDefault="00FE2D8B" w:rsidP="00840FE1">
      <w:pPr>
        <w:pStyle w:val="Heading2"/>
        <w:rPr>
          <w:rFonts w:ascii="Times New Roman" w:hAnsi="Times New Roman" w:cs="Times New Roman"/>
          <w:sz w:val="32"/>
          <w:szCs w:val="28"/>
        </w:rPr>
      </w:pPr>
    </w:p>
    <w:p w14:paraId="54BF5DD9" w14:textId="377549A4" w:rsidR="00840FE1" w:rsidRDefault="00840FE1" w:rsidP="00840FE1">
      <w:pPr>
        <w:pStyle w:val="Heading2"/>
        <w:rPr>
          <w:rFonts w:ascii="Times New Roman" w:hAnsi="Times New Roman" w:cs="Times New Roman"/>
          <w:sz w:val="32"/>
          <w:szCs w:val="28"/>
        </w:rPr>
      </w:pPr>
      <w:r>
        <w:rPr>
          <w:rFonts w:ascii="Times New Roman" w:hAnsi="Times New Roman" w:cs="Times New Roman"/>
          <w:sz w:val="32"/>
          <w:szCs w:val="28"/>
        </w:rPr>
        <w:t xml:space="preserve">Importance of </w:t>
      </w:r>
      <w:r w:rsidR="00BC3B76">
        <w:rPr>
          <w:rFonts w:ascii="Times New Roman" w:hAnsi="Times New Roman" w:cs="Times New Roman"/>
          <w:sz w:val="32"/>
          <w:szCs w:val="28"/>
        </w:rPr>
        <w:t>the distance and</w:t>
      </w:r>
      <w:r>
        <w:rPr>
          <w:rFonts w:ascii="Times New Roman" w:hAnsi="Times New Roman" w:cs="Times New Roman"/>
          <w:sz w:val="32"/>
          <w:szCs w:val="28"/>
        </w:rPr>
        <w:t xml:space="preserve"> angle based cutoff</w:t>
      </w:r>
      <w:r w:rsidR="00BC3B76">
        <w:rPr>
          <w:rFonts w:ascii="Times New Roman" w:hAnsi="Times New Roman" w:cs="Times New Roman"/>
          <w:sz w:val="32"/>
          <w:szCs w:val="28"/>
        </w:rPr>
        <w:t>s</w:t>
      </w:r>
      <w:r>
        <w:rPr>
          <w:rFonts w:ascii="Times New Roman" w:hAnsi="Times New Roman" w:cs="Times New Roman"/>
          <w:sz w:val="32"/>
          <w:szCs w:val="28"/>
        </w:rPr>
        <w:t xml:space="preserve"> in the MD-CF scheme</w:t>
      </w:r>
    </w:p>
    <w:p w14:paraId="37A3C036" w14:textId="7ED00B86" w:rsidR="006A6105" w:rsidRPr="006A6105" w:rsidRDefault="006A6105" w:rsidP="006A6105">
      <w:r>
        <w:rPr>
          <w:rFonts w:cs="Times New Roman"/>
          <w:szCs w:val="28"/>
        </w:rPr>
        <w:t>Figure S2 shows the strain energy change as bonds are created between chains that are poorly oriented, in addition to change in energy required to form bonds according to the two-cutoff model.</w:t>
      </w:r>
      <w:r w:rsidR="0036243A">
        <w:rPr>
          <w:rFonts w:cs="Times New Roman"/>
          <w:szCs w:val="28"/>
        </w:rPr>
        <w:t xml:space="preserve"> </w:t>
      </w:r>
      <w:r w:rsidR="0036243A" w:rsidRPr="0036243A">
        <w:rPr>
          <w:rFonts w:cs="Times New Roman"/>
          <w:szCs w:val="28"/>
        </w:rPr>
        <w:lastRenderedPageBreak/>
        <w:t xml:space="preserve">The potential energy, the torsional energy (4-body term) and the angle energy (3-body term) are computed relative to the </w:t>
      </w:r>
      <w:r w:rsidR="0036243A">
        <w:rPr>
          <w:rFonts w:cs="Times New Roman"/>
          <w:szCs w:val="28"/>
        </w:rPr>
        <w:t xml:space="preserve">case where the chains are </w:t>
      </w:r>
      <w:r w:rsidR="0036243A" w:rsidRPr="0036243A">
        <w:rPr>
          <w:rFonts w:cs="Times New Roman"/>
          <w:szCs w:val="28"/>
        </w:rPr>
        <w:t>perfectly aligned (0°).</w:t>
      </w:r>
    </w:p>
    <w:p w14:paraId="54BF5DDB" w14:textId="26CE93D4" w:rsidR="000E7A9F" w:rsidRPr="00574446" w:rsidRDefault="004C3A03" w:rsidP="004C3A03">
      <w:pPr>
        <w:jc w:val="center"/>
        <w:rPr>
          <w:rFonts w:cs="Times New Roman"/>
          <w:color w:val="212121"/>
          <w:szCs w:val="24"/>
        </w:rPr>
      </w:pPr>
      <w:r>
        <w:rPr>
          <w:rFonts w:cs="Times New Roman"/>
          <w:noProof/>
          <w:color w:val="212121"/>
          <w:szCs w:val="24"/>
        </w:rPr>
        <w:drawing>
          <wp:inline distT="0" distB="0" distL="0" distR="0" wp14:anchorId="4901E2CF" wp14:editId="45709163">
            <wp:extent cx="3115844" cy="2316480"/>
            <wp:effectExtent l="0" t="0" r="889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3751" cy="2366965"/>
                    </a:xfrm>
                    <a:prstGeom prst="rect">
                      <a:avLst/>
                    </a:prstGeom>
                    <a:noFill/>
                  </pic:spPr>
                </pic:pic>
              </a:graphicData>
            </a:graphic>
          </wp:inline>
        </w:drawing>
      </w:r>
    </w:p>
    <w:p w14:paraId="54BF5DDC" w14:textId="0E570AD2" w:rsidR="003376C3" w:rsidRDefault="003376C3" w:rsidP="003376C3">
      <w:pPr>
        <w:rPr>
          <w:i/>
          <w:szCs w:val="20"/>
        </w:rPr>
      </w:pPr>
      <w:r>
        <w:rPr>
          <w:i/>
          <w:szCs w:val="20"/>
        </w:rPr>
        <w:t xml:space="preserve">Figure S2: Change in energy as a function of misalignment between two representative ladder structures. </w:t>
      </w:r>
      <w:r w:rsidR="00A03F40">
        <w:rPr>
          <w:i/>
          <w:szCs w:val="20"/>
        </w:rPr>
        <w:t>The increase in energy with misalignment shows the need to penalize bond formation between poorly oriented ladder structures.</w:t>
      </w:r>
    </w:p>
    <w:p w14:paraId="3C46C692" w14:textId="32DFE0C4" w:rsidR="0036243A" w:rsidRPr="0036243A" w:rsidRDefault="0036243A" w:rsidP="003376C3">
      <w:pPr>
        <w:rPr>
          <w:szCs w:val="20"/>
        </w:rPr>
      </w:pPr>
      <w:r>
        <w:rPr>
          <w:szCs w:val="20"/>
        </w:rPr>
        <w:t xml:space="preserve">Similarly, to evaluate the role of a two-cutoff model, we compute the strain energy change as bonds are created between two ladder structures. For this, we begin with a simulation cell that consists of a set of randomly packed ladder structures and replicate the structure along the out-of-plane direction such that the chains are seven monomers long. We choose two chains at random and a single bond is created at the center of the two chains (see Figure 3(c) in the manuscript). </w:t>
      </w:r>
      <w:r w:rsidR="00230BF4">
        <w:rPr>
          <w:szCs w:val="20"/>
        </w:rPr>
        <w:t>We perform an energy minimization on this structure (tolerance of 10</w:t>
      </w:r>
      <w:bookmarkStart w:id="0" w:name="_GoBack"/>
      <w:r w:rsidR="00230BF4" w:rsidRPr="000562E4">
        <w:rPr>
          <w:szCs w:val="20"/>
          <w:vertAlign w:val="superscript"/>
        </w:rPr>
        <w:t>-10</w:t>
      </w:r>
      <w:bookmarkEnd w:id="0"/>
      <w:r w:rsidR="00230BF4">
        <w:rPr>
          <w:szCs w:val="20"/>
        </w:rPr>
        <w:t xml:space="preserve">) and </w:t>
      </w:r>
      <w:r w:rsidR="00230BF4">
        <w:rPr>
          <w:szCs w:val="20"/>
        </w:rPr>
        <w:t>compare the energy relative to the energy of the initial (unbonded) state. We then create two bonds between the same set of chains, one above and one below the previous bond, perform another minimization and compare the energy to the previous structure (with a single bond). As we create further bonds, we compare the change in energy (per bond created) between the current and the previous structure.</w:t>
      </w:r>
      <w:r w:rsidR="009A19FF">
        <w:rPr>
          <w:szCs w:val="20"/>
        </w:rPr>
        <w:t xml:space="preserve"> This simulation describes the decrease in strain energy associated with each successive bond, justifying a two-cutoff model as described in the manuscript.</w:t>
      </w:r>
    </w:p>
    <w:p w14:paraId="54BF5DDD" w14:textId="77777777" w:rsidR="00991ECF" w:rsidRPr="007E4B27" w:rsidRDefault="00991ECF" w:rsidP="00991ECF">
      <w:pPr>
        <w:pStyle w:val="Heading2"/>
        <w:rPr>
          <w:rFonts w:ascii="Times New Roman" w:hAnsi="Times New Roman" w:cs="Times New Roman"/>
          <w:sz w:val="32"/>
          <w:szCs w:val="28"/>
        </w:rPr>
      </w:pPr>
      <w:r>
        <w:rPr>
          <w:rFonts w:ascii="Times New Roman" w:hAnsi="Times New Roman" w:cs="Times New Roman"/>
          <w:sz w:val="32"/>
          <w:szCs w:val="28"/>
        </w:rPr>
        <w:t>Effect of simulation cell dimension on evaluated transverse modulus</w:t>
      </w:r>
    </w:p>
    <w:p w14:paraId="54BF5DDE" w14:textId="7D70D594" w:rsidR="00991ECF" w:rsidRDefault="00991ECF" w:rsidP="00991ECF">
      <w:pPr>
        <w:rPr>
          <w:rFonts w:cs="Times New Roman"/>
          <w:color w:val="212121"/>
          <w:szCs w:val="24"/>
        </w:rPr>
      </w:pPr>
      <w:r>
        <w:rPr>
          <w:rFonts w:cs="Times New Roman"/>
          <w:color w:val="212121"/>
          <w:szCs w:val="24"/>
        </w:rPr>
        <w:t xml:space="preserve">We evaluate the transverse modulus for three different cell dimensions (2.5 nm, 5.15 nm and 7.20 nm) to ensure that there are no </w:t>
      </w:r>
      <w:proofErr w:type="spellStart"/>
      <w:r>
        <w:rPr>
          <w:rFonts w:cs="Times New Roman"/>
          <w:color w:val="212121"/>
          <w:szCs w:val="24"/>
        </w:rPr>
        <w:t>size</w:t>
      </w:r>
      <w:proofErr w:type="spellEnd"/>
      <w:r>
        <w:rPr>
          <w:rFonts w:cs="Times New Roman"/>
          <w:color w:val="212121"/>
          <w:szCs w:val="24"/>
        </w:rPr>
        <w:t xml:space="preserve"> effects in the reported moduli. We find no statistical difference </w:t>
      </w:r>
      <w:r>
        <w:rPr>
          <w:rFonts w:cs="Times New Roman"/>
          <w:color w:val="212121"/>
          <w:szCs w:val="24"/>
        </w:rPr>
        <w:lastRenderedPageBreak/>
        <w:t>between the moduli (in the X, Y directions as well as the average) for the evaluated cell dimensions (see Fig S3).</w:t>
      </w:r>
    </w:p>
    <w:p w14:paraId="6CBE975C" w14:textId="66C1835B" w:rsidR="00546AE1" w:rsidRDefault="00546AE1" w:rsidP="00991ECF">
      <w:pPr>
        <w:rPr>
          <w:rFonts w:cs="Times New Roman"/>
          <w:color w:val="212121"/>
          <w:szCs w:val="24"/>
        </w:rPr>
      </w:pPr>
    </w:p>
    <w:p w14:paraId="28D9194B" w14:textId="77777777" w:rsidR="00546AE1" w:rsidRDefault="00546AE1" w:rsidP="00991ECF">
      <w:pPr>
        <w:rPr>
          <w:rFonts w:cs="Times New Roman"/>
          <w:color w:val="212121"/>
          <w:szCs w:val="24"/>
        </w:rPr>
      </w:pPr>
    </w:p>
    <w:p w14:paraId="54BF5DDF" w14:textId="77777777" w:rsidR="001A6974" w:rsidRDefault="001A6974" w:rsidP="001A6974">
      <w:pPr>
        <w:jc w:val="center"/>
        <w:rPr>
          <w:rFonts w:cs="Times New Roman"/>
          <w:color w:val="212121"/>
          <w:szCs w:val="24"/>
        </w:rPr>
      </w:pPr>
      <w:r w:rsidRPr="001A6974">
        <w:rPr>
          <w:rFonts w:cs="Times New Roman"/>
          <w:noProof/>
          <w:color w:val="212121"/>
          <w:szCs w:val="24"/>
        </w:rPr>
        <w:drawing>
          <wp:inline distT="0" distB="0" distL="0" distR="0" wp14:anchorId="54BF5DE8" wp14:editId="54BF5DE9">
            <wp:extent cx="3063240" cy="2201057"/>
            <wp:effectExtent l="0" t="0" r="3810"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3072170" cy="2207473"/>
                    </a:xfrm>
                    <a:prstGeom prst="rect">
                      <a:avLst/>
                    </a:prstGeom>
                  </pic:spPr>
                </pic:pic>
              </a:graphicData>
            </a:graphic>
          </wp:inline>
        </w:drawing>
      </w:r>
    </w:p>
    <w:p w14:paraId="54BF5DE0" w14:textId="77777777" w:rsidR="001A6974" w:rsidRDefault="001A6974" w:rsidP="001A6974">
      <w:pPr>
        <w:rPr>
          <w:rFonts w:cs="Times New Roman"/>
          <w:color w:val="212121"/>
          <w:szCs w:val="24"/>
        </w:rPr>
      </w:pPr>
      <w:r>
        <w:rPr>
          <w:i/>
          <w:szCs w:val="20"/>
        </w:rPr>
        <w:t>Figure S3: Transverse moduli in the X and Y directions (and the average of the two) evaluated for different box lengths (in the Z direction)</w:t>
      </w:r>
    </w:p>
    <w:p w14:paraId="54BF5DE1" w14:textId="77777777" w:rsidR="003376C3" w:rsidRPr="00393837" w:rsidRDefault="003376C3" w:rsidP="00393837">
      <w:pPr>
        <w:rPr>
          <w:i/>
          <w:szCs w:val="20"/>
        </w:rPr>
      </w:pPr>
    </w:p>
    <w:p w14:paraId="54BF5DE2" w14:textId="77777777" w:rsidR="00A16EEA" w:rsidRPr="007E4B27" w:rsidRDefault="00A16EEA" w:rsidP="00A16EEA">
      <w:pPr>
        <w:pStyle w:val="Heading2"/>
        <w:rPr>
          <w:rFonts w:ascii="Times New Roman" w:hAnsi="Times New Roman" w:cs="Times New Roman"/>
          <w:sz w:val="32"/>
          <w:szCs w:val="28"/>
        </w:rPr>
      </w:pPr>
      <w:r>
        <w:rPr>
          <w:rFonts w:ascii="Times New Roman" w:hAnsi="Times New Roman" w:cs="Times New Roman"/>
          <w:sz w:val="32"/>
          <w:szCs w:val="28"/>
        </w:rPr>
        <w:t>References</w:t>
      </w:r>
    </w:p>
    <w:p w14:paraId="54BF5DE3" w14:textId="77777777" w:rsidR="00C55302" w:rsidRPr="0082429B" w:rsidRDefault="00566A9E" w:rsidP="00566A9E">
      <w:pPr>
        <w:widowControl w:val="0"/>
        <w:autoSpaceDE w:val="0"/>
        <w:autoSpaceDN w:val="0"/>
        <w:adjustRightInd w:val="0"/>
        <w:ind w:left="640" w:hanging="640"/>
      </w:pPr>
      <w:r w:rsidRPr="00566A9E">
        <w:rPr>
          <w:rFonts w:cs="Times New Roman"/>
          <w:noProof/>
          <w:szCs w:val="24"/>
          <w:vertAlign w:val="superscript"/>
        </w:rPr>
        <w:t>1</w:t>
      </w:r>
      <w:r>
        <w:rPr>
          <w:rFonts w:cs="Times New Roman"/>
          <w:noProof/>
          <w:szCs w:val="24"/>
        </w:rPr>
        <w:t xml:space="preserve">S.P </w:t>
      </w:r>
      <w:r w:rsidRPr="00112E59">
        <w:rPr>
          <w:rFonts w:cs="Times New Roman"/>
          <w:noProof/>
          <w:szCs w:val="24"/>
        </w:rPr>
        <w:t>Coleman</w:t>
      </w:r>
      <w:r>
        <w:rPr>
          <w:rFonts w:cs="Times New Roman"/>
          <w:noProof/>
          <w:szCs w:val="24"/>
        </w:rPr>
        <w:t xml:space="preserve">, D.E </w:t>
      </w:r>
      <w:r w:rsidRPr="00112E59">
        <w:rPr>
          <w:rFonts w:cs="Times New Roman"/>
          <w:noProof/>
          <w:szCs w:val="24"/>
        </w:rPr>
        <w:t>Spearot</w:t>
      </w:r>
      <w:r>
        <w:rPr>
          <w:rFonts w:cs="Times New Roman"/>
          <w:noProof/>
          <w:szCs w:val="24"/>
        </w:rPr>
        <w:t xml:space="preserve">, L. </w:t>
      </w:r>
      <w:r w:rsidRPr="00112E59">
        <w:rPr>
          <w:rFonts w:cs="Times New Roman"/>
          <w:noProof/>
          <w:szCs w:val="24"/>
        </w:rPr>
        <w:t>Capolungo</w:t>
      </w:r>
      <w:r>
        <w:rPr>
          <w:rFonts w:cs="Times New Roman"/>
          <w:noProof/>
          <w:szCs w:val="24"/>
        </w:rPr>
        <w:t xml:space="preserve">, </w:t>
      </w:r>
      <w:r w:rsidRPr="00143467">
        <w:rPr>
          <w:rFonts w:cs="Times New Roman"/>
          <w:iCs/>
          <w:noProof/>
          <w:szCs w:val="24"/>
        </w:rPr>
        <w:t>Model. Simul. Mater. Sci. Eng.</w:t>
      </w:r>
      <w:r>
        <w:rPr>
          <w:rFonts w:cs="Times New Roman"/>
          <w:noProof/>
          <w:szCs w:val="24"/>
        </w:rPr>
        <w:t xml:space="preserve"> </w:t>
      </w:r>
      <w:r w:rsidRPr="003F5A5D">
        <w:rPr>
          <w:rFonts w:cs="Times New Roman"/>
          <w:b/>
          <w:noProof/>
          <w:szCs w:val="24"/>
        </w:rPr>
        <w:t>21</w:t>
      </w:r>
      <w:r>
        <w:rPr>
          <w:rFonts w:cs="Times New Roman"/>
          <w:noProof/>
          <w:szCs w:val="24"/>
        </w:rPr>
        <w:t>, 1 (2013)</w:t>
      </w:r>
    </w:p>
    <w:sectPr w:rsidR="00C55302" w:rsidRPr="0082429B">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F5DEC" w14:textId="77777777" w:rsidR="00A74861" w:rsidRDefault="00A74861" w:rsidP="00AB2604">
      <w:pPr>
        <w:spacing w:after="0" w:line="240" w:lineRule="auto"/>
      </w:pPr>
      <w:r>
        <w:separator/>
      </w:r>
    </w:p>
  </w:endnote>
  <w:endnote w:type="continuationSeparator" w:id="0">
    <w:p w14:paraId="54BF5DED" w14:textId="77777777" w:rsidR="00A74861" w:rsidRDefault="00A74861" w:rsidP="00AB2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F5DEA" w14:textId="77777777" w:rsidR="00A74861" w:rsidRDefault="00A74861" w:rsidP="00AB2604">
      <w:pPr>
        <w:spacing w:after="0" w:line="240" w:lineRule="auto"/>
      </w:pPr>
      <w:r>
        <w:separator/>
      </w:r>
    </w:p>
  </w:footnote>
  <w:footnote w:type="continuationSeparator" w:id="0">
    <w:p w14:paraId="54BF5DEB" w14:textId="77777777" w:rsidR="00A74861" w:rsidRDefault="00A74861" w:rsidP="00AB2604">
      <w:pPr>
        <w:spacing w:after="0" w:line="240" w:lineRule="auto"/>
      </w:pPr>
      <w:r>
        <w:continuationSeparator/>
      </w:r>
    </w:p>
  </w:footnote>
  <w:footnote w:id="1">
    <w:p w14:paraId="54BF5DEE" w14:textId="77777777" w:rsidR="00D167ED" w:rsidRDefault="00D167ED" w:rsidP="00D167ED">
      <w:pPr>
        <w:pStyle w:val="FootnoteText"/>
        <w:jc w:val="left"/>
      </w:pPr>
      <w:r>
        <w:rPr>
          <w:rStyle w:val="FootnoteReference"/>
        </w:rPr>
        <w:footnoteRef/>
      </w:r>
      <w:r>
        <w:t xml:space="preserve"> Corresponding author: E-mail: </w:t>
      </w:r>
      <w:hyperlink r:id="rId1" w:history="1">
        <w:r>
          <w:rPr>
            <w:rStyle w:val="Hyperlink"/>
          </w:rPr>
          <w:t>strachan@purdue.edu</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21E"/>
    <w:rsid w:val="000330F2"/>
    <w:rsid w:val="00034447"/>
    <w:rsid w:val="00037B60"/>
    <w:rsid w:val="000562E4"/>
    <w:rsid w:val="0006570A"/>
    <w:rsid w:val="00074E96"/>
    <w:rsid w:val="00077283"/>
    <w:rsid w:val="000874D7"/>
    <w:rsid w:val="0008758B"/>
    <w:rsid w:val="000A56EF"/>
    <w:rsid w:val="000C43E4"/>
    <w:rsid w:val="000C7C7D"/>
    <w:rsid w:val="000E7A9F"/>
    <w:rsid w:val="001252E2"/>
    <w:rsid w:val="0017621E"/>
    <w:rsid w:val="001A543A"/>
    <w:rsid w:val="001A6974"/>
    <w:rsid w:val="002066D7"/>
    <w:rsid w:val="00214D20"/>
    <w:rsid w:val="00230BF4"/>
    <w:rsid w:val="00252350"/>
    <w:rsid w:val="003231B7"/>
    <w:rsid w:val="003355E6"/>
    <w:rsid w:val="003376C3"/>
    <w:rsid w:val="003401E3"/>
    <w:rsid w:val="003565B2"/>
    <w:rsid w:val="0036243A"/>
    <w:rsid w:val="00393837"/>
    <w:rsid w:val="003E06EC"/>
    <w:rsid w:val="004368A8"/>
    <w:rsid w:val="00473EA8"/>
    <w:rsid w:val="004B4CC2"/>
    <w:rsid w:val="004C3A03"/>
    <w:rsid w:val="005073D7"/>
    <w:rsid w:val="00546AE1"/>
    <w:rsid w:val="00553BDB"/>
    <w:rsid w:val="00566A9E"/>
    <w:rsid w:val="00574446"/>
    <w:rsid w:val="005847E2"/>
    <w:rsid w:val="00591238"/>
    <w:rsid w:val="005C445B"/>
    <w:rsid w:val="005D14CF"/>
    <w:rsid w:val="005F0CE0"/>
    <w:rsid w:val="005F6133"/>
    <w:rsid w:val="006233DA"/>
    <w:rsid w:val="00637C73"/>
    <w:rsid w:val="006567C8"/>
    <w:rsid w:val="00676193"/>
    <w:rsid w:val="00677ACE"/>
    <w:rsid w:val="006A207A"/>
    <w:rsid w:val="006A6105"/>
    <w:rsid w:val="006B1A7F"/>
    <w:rsid w:val="006D2EC5"/>
    <w:rsid w:val="006D4874"/>
    <w:rsid w:val="00760C3F"/>
    <w:rsid w:val="007C164A"/>
    <w:rsid w:val="007E4B27"/>
    <w:rsid w:val="008021F1"/>
    <w:rsid w:val="0082429B"/>
    <w:rsid w:val="00840FE1"/>
    <w:rsid w:val="008D6C0B"/>
    <w:rsid w:val="008E2C11"/>
    <w:rsid w:val="009362E3"/>
    <w:rsid w:val="00991ECF"/>
    <w:rsid w:val="009A19FF"/>
    <w:rsid w:val="009A7CED"/>
    <w:rsid w:val="009B600F"/>
    <w:rsid w:val="00A03F40"/>
    <w:rsid w:val="00A16EEA"/>
    <w:rsid w:val="00A2102D"/>
    <w:rsid w:val="00A74861"/>
    <w:rsid w:val="00AB2604"/>
    <w:rsid w:val="00AD104A"/>
    <w:rsid w:val="00B16FC3"/>
    <w:rsid w:val="00B342E8"/>
    <w:rsid w:val="00B53BC2"/>
    <w:rsid w:val="00BC3B76"/>
    <w:rsid w:val="00C37BAD"/>
    <w:rsid w:val="00C53B20"/>
    <w:rsid w:val="00C55302"/>
    <w:rsid w:val="00C6320A"/>
    <w:rsid w:val="00CC23A4"/>
    <w:rsid w:val="00CE21A9"/>
    <w:rsid w:val="00D07280"/>
    <w:rsid w:val="00D167ED"/>
    <w:rsid w:val="00D357A4"/>
    <w:rsid w:val="00D57376"/>
    <w:rsid w:val="00DE55AE"/>
    <w:rsid w:val="00E16964"/>
    <w:rsid w:val="00EC2406"/>
    <w:rsid w:val="00EC3156"/>
    <w:rsid w:val="00ED76D5"/>
    <w:rsid w:val="00EE4CA0"/>
    <w:rsid w:val="00FA7163"/>
    <w:rsid w:val="00FE2D8B"/>
    <w:rsid w:val="00F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5DC9"/>
  <w15:chartTrackingRefBased/>
  <w15:docId w15:val="{2DE6ED5F-F3F5-4CD6-8DD4-6D0EA330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21E"/>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1762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2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21E"/>
    <w:rPr>
      <w:rFonts w:ascii="Segoe UI" w:hAnsi="Segoe UI" w:cs="Segoe UI"/>
      <w:sz w:val="18"/>
      <w:szCs w:val="18"/>
    </w:rPr>
  </w:style>
  <w:style w:type="character" w:customStyle="1" w:styleId="Heading2Char">
    <w:name w:val="Heading 2 Char"/>
    <w:basedOn w:val="DefaultParagraphFont"/>
    <w:link w:val="Heading2"/>
    <w:uiPriority w:val="9"/>
    <w:rsid w:val="0017621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847E2"/>
    <w:rPr>
      <w:color w:val="0563C1" w:themeColor="hyperlink"/>
      <w:u w:val="single"/>
    </w:rPr>
  </w:style>
  <w:style w:type="paragraph" w:styleId="FootnoteText">
    <w:name w:val="footnote text"/>
    <w:basedOn w:val="Normal"/>
    <w:link w:val="FootnoteTextChar"/>
    <w:uiPriority w:val="99"/>
    <w:unhideWhenUsed/>
    <w:qFormat/>
    <w:rsid w:val="00AB2604"/>
    <w:pPr>
      <w:spacing w:after="0" w:line="240" w:lineRule="auto"/>
    </w:pPr>
    <w:rPr>
      <w:rFonts w:eastAsiaTheme="minorHAnsi"/>
      <w:szCs w:val="24"/>
    </w:rPr>
  </w:style>
  <w:style w:type="character" w:customStyle="1" w:styleId="FootnoteTextChar">
    <w:name w:val="Footnote Text Char"/>
    <w:basedOn w:val="DefaultParagraphFont"/>
    <w:link w:val="FootnoteText"/>
    <w:uiPriority w:val="99"/>
    <w:rsid w:val="00AB2604"/>
    <w:rPr>
      <w:rFonts w:ascii="Times New Roman" w:eastAsiaTheme="minorHAnsi" w:hAnsi="Times New Roman"/>
      <w:sz w:val="24"/>
      <w:szCs w:val="24"/>
    </w:rPr>
  </w:style>
  <w:style w:type="character" w:styleId="FootnoteReference">
    <w:name w:val="footnote reference"/>
    <w:basedOn w:val="DefaultParagraphFont"/>
    <w:uiPriority w:val="99"/>
    <w:unhideWhenUsed/>
    <w:qFormat/>
    <w:rsid w:val="00AB2604"/>
    <w:rPr>
      <w:vertAlign w:val="superscript"/>
    </w:rPr>
  </w:style>
  <w:style w:type="character" w:styleId="CommentReference">
    <w:name w:val="annotation reference"/>
    <w:basedOn w:val="DefaultParagraphFont"/>
    <w:uiPriority w:val="99"/>
    <w:semiHidden/>
    <w:unhideWhenUsed/>
    <w:rsid w:val="009A7CED"/>
    <w:rPr>
      <w:sz w:val="18"/>
      <w:szCs w:val="18"/>
    </w:rPr>
  </w:style>
  <w:style w:type="paragraph" w:styleId="CommentText">
    <w:name w:val="annotation text"/>
    <w:basedOn w:val="Normal"/>
    <w:link w:val="CommentTextChar"/>
    <w:uiPriority w:val="99"/>
    <w:semiHidden/>
    <w:unhideWhenUsed/>
    <w:rsid w:val="009A7CED"/>
    <w:pPr>
      <w:spacing w:line="240" w:lineRule="auto"/>
      <w:jc w:val="left"/>
    </w:pPr>
    <w:rPr>
      <w:rFonts w:asciiTheme="minorHAnsi" w:eastAsiaTheme="minorHAnsi" w:hAnsiTheme="minorHAnsi"/>
      <w:szCs w:val="24"/>
    </w:rPr>
  </w:style>
  <w:style w:type="character" w:customStyle="1" w:styleId="CommentTextChar">
    <w:name w:val="Comment Text Char"/>
    <w:basedOn w:val="DefaultParagraphFont"/>
    <w:link w:val="CommentText"/>
    <w:uiPriority w:val="99"/>
    <w:semiHidden/>
    <w:rsid w:val="009A7CED"/>
    <w:rPr>
      <w:rFonts w:eastAsiaTheme="minorHAnsi"/>
      <w:sz w:val="24"/>
      <w:szCs w:val="24"/>
    </w:rPr>
  </w:style>
  <w:style w:type="character" w:styleId="UnresolvedMention">
    <w:name w:val="Unresolved Mention"/>
    <w:basedOn w:val="DefaultParagraphFont"/>
    <w:uiPriority w:val="99"/>
    <w:semiHidden/>
    <w:unhideWhenUsed/>
    <w:rsid w:val="008D6C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rcac.purdue.edu/StrachanGro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strachan@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6BAB9D9-DC26-4134-B71A-60C84B577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Saaketh Desai</dc:creator>
  <cp:keywords/>
  <dc:description/>
  <cp:lastModifiedBy>Saaketh Desai</cp:lastModifiedBy>
  <cp:revision>92</cp:revision>
  <dcterms:created xsi:type="dcterms:W3CDTF">2017-03-10T23:27:00Z</dcterms:created>
  <dcterms:modified xsi:type="dcterms:W3CDTF">2017-11-13T06:26:00Z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0316cfe3-bb0a-3a4d-a084-7f5a1d17d59b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