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환율 여행사·수출기업 보드게임 교사용 지도안</w:t>
      </w:r>
    </w:p>
    <w:p>
      <w:pPr>
        <w:pStyle w:val="Subtitle"/>
      </w:pPr>
      <w:r>
        <w:t xml:space="preserve">중3 사회② | 우리나라 경제와 세계화 | 45분 수업안</w:t>
      </w:r>
    </w:p>
    <w:p>
      <w:pPr>
        <w:pStyle w:val="Heading1"/>
      </w:pPr>
      <w:r>
        <w:t xml:space="preserve">1. 수업 목표</w:t>
      </w:r>
    </w:p>
    <w:p>
      <w:pPr>
        <w:pStyle w:val="Normal"/>
      </w:pPr>
      <w:r>
        <w:t xml:space="preserve">• 국제 거래의 유형을 재화, 서비스, 자본, 노동 거래로 구분할 수 있다.</w:t>
      </w:r>
    </w:p>
    <w:p>
      <w:pPr>
        <w:pStyle w:val="Normal"/>
      </w:pPr>
      <w:r>
        <w:t xml:space="preserve">• 환율 상승과 환율 하락이 원화 가치와 외화 가치에 미치는 영향을 설명할 수 있다.</w:t>
      </w:r>
    </w:p>
    <w:p>
      <w:pPr>
        <w:pStyle w:val="Normal"/>
      </w:pPr>
      <w:r>
        <w:t xml:space="preserve">• 환율 변동이 경제 주체별로 다르게 작용함을 사례로 설명할 수 있다.</w:t>
      </w:r>
    </w:p>
    <w:p>
      <w:pPr>
        <w:pStyle w:val="Heading1"/>
      </w:pPr>
      <w:r>
        <w:t xml:space="preserve">2. 수업 흐름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시간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단계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교사 활동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학생 활동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자료/유의점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5분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도입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상승·하락의 생활 사례를 묻고 게임 목표를 안내한다.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해외여행, 직구, 수출 기업 사례를 떠올린다.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시작 화면, 학습지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7분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개념 확인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국제 거래와 환율, 원화 가치와 외화 가치를 설명한다.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상승과 하락의 의미를 정리한다.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수업 설명 화면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25분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게임 활동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라운드별 상황을 제시하고 타이머로 토의 시간을 운영한다.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역할 관점에서 선택지를 토의하고 선택 이유를 말한다.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라운드 화면, 역할 카드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6분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결과 해석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결과 이유와 경제 개념 해설을 연결해 질문한다.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역할별 유불리를 비교하고 학습지에 기록한다.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결과 화면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2분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정리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국제 거래 유형과 수업 정리 문장을 확인한다.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마무리 문장을 완성한다.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최종 결과 화면</w:t>
            </w:r>
          </w:p>
        </w:tc>
      </w:tr>
    </w:tbl>
    <w:p>
      <w:pPr>
        <w:pStyle w:val="Heading1"/>
      </w:pPr>
      <w:r>
        <w:t xml:space="preserve">3. 라운드별 운영 안내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라운드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교사용 안내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토의 질문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핵심 정리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1라운드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모둠별로 자기 역할이 환율 상승에서 유리한지 불리한지 먼저 판단하게 한 뒤 선택을 받으세요.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우리 역할은 달러 가격이 오른 상황에서 비용이 늘어날까요, 수입이 늘어날까요?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상승은 외화를 써야 하는 주체와 외화를 벌어들이는 주체에게 반대 방향으로 작용합니다.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2라운드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1라운드와 반대되는 영향을 찾아보게 하세요. 같은 역할이라도 환율 방향이 바뀌면 판단이 달라집니다.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원화 가치가 높아지면 우리 역할의 구매 비용이나 판매 수입은 어떻게 달라질까요?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하락은 외화를 사야 하는 사람에게 유리할 수 있지만, 수출기업에는 가격 경쟁력 부담이 될 수 있습니다.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3라운드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달러뿐 아니라 다른 나라 화폐 가치도 국제 거래에 영향을 준다는 점을 짚어 주세요.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엔화 가치가 낮아지면 일본 여행, 일본 상품 구매, 국내 관광에는 각각 어떤 변화가 생길까요?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특정 국가 화폐 가치의 변화는 그 나라 여행, 상품, 국내 경쟁 산업까지 연결됩니다.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4라운드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원자재를 수입하는 공장과 일반 수입기업이 왜 이중 부담을 느끼는지 계산하듯 설명하게 하세요.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원자재 가격도 오르고 환율도 오르면 수입 공장의 비용은 왜 더 크게 늘어날까요?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거래에서 수입 비용은 국제 가격과 환율의 영향을 함께 받을 수 있습니다.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5라운드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국제 거래가 물건만의 거래가 아니라 공연, 관광, 교육 같은 서비스 거래도 포함한다는 점으로 마무리하세요.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K-pop 공연과 영상 콘텐츠 판매는 왜 재화 거래가 아니라 서비스·문화 콘텐츠 거래로 볼 수 있을까요?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문화 콘텐츠 수출은 서비스 거래와 연결되며 관광, 상품 판매, 자본 거래로도 확장될 수 있습니다.</w:t>
            </w:r>
          </w:p>
        </w:tc>
      </w:tr>
    </w:tbl>
    <w:p>
      <w:pPr>
        <w:pStyle w:val="Heading1"/>
      </w:pPr>
      <w:r>
        <w:t xml:space="preserve">4. 평가 관찰 포인트</w:t>
      </w:r>
    </w:p>
    <w:p>
      <w:pPr>
        <w:pStyle w:val="Normal"/>
      </w:pPr>
      <w:r>
        <w:t xml:space="preserve">• 선택 이유에 환율 상승·하락, 원화 가치, 외화 가치 표현을 사용하는가?</w:t>
      </w:r>
    </w:p>
    <w:p>
      <w:pPr>
        <w:pStyle w:val="Normal"/>
      </w:pPr>
      <w:r>
        <w:t xml:space="preserve">• 자기 역할의 유리함과 불리함을 국제 거래 유형과 연결하는가?</w:t>
      </w:r>
    </w:p>
    <w:p>
      <w:pPr>
        <w:pStyle w:val="Normal"/>
      </w:pPr>
      <w:r>
        <w:t xml:space="preserve">• 결과 점수보다 경제적 이유를 중심으로 설명하는가?</w:t>
      </w:r>
    </w:p>
    <w:p>
      <w:pPr>
        <w:pStyle w:val="Heading1"/>
      </w:pPr>
      <w:r>
        <w:t xml:space="preserve">5. 마무리 발문</w:t>
      </w:r>
    </w:p>
    <w:p>
      <w:pPr>
        <w:pStyle w:val="Normal"/>
      </w:pPr>
      <w:r>
        <w:t xml:space="preserve">• 같은 환율 상승인데 왜 해외여행자와 수출기업의 결과가 달랐나요?</w:t>
      </w:r>
    </w:p>
    <w:p>
      <w:pPr>
        <w:pStyle w:val="Normal"/>
      </w:pPr>
      <w:r>
        <w:t xml:space="preserve">• K-pop 공연 기획사는 어떤 국제 거래 유형과 연결되나요?</w:t>
      </w:r>
    </w:p>
    <w:p>
      <w:pPr>
        <w:pStyle w:val="Normal"/>
      </w:pPr>
      <w:r>
        <w:t xml:space="preserve">• 환율 변동에 대비하려면 어떤 선택 전략이 안정적이었나요?</w:t>
      </w:r>
    </w:p>
    <w:sectPr>
      <w:pgSz w:w="11906" w:h="16838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  <w:color w:val="17324D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pPr>
      <w:spacing w:after="180"/>
    </w:pPr>
    <w:rPr>
      <w:b/>
      <w:sz w:val="38"/>
      <w:color w:val="0D2F4F"/>
    </w:rPr>
  </w:style>
  <w:style w:type="paragraph" w:styleId="Subtitle">
    <w:name w:val="Subtitle"/>
    <w:rPr>
      <w:b/>
      <w:sz w:val="24"/>
      <w:color w:val="14875A"/>
    </w:rPr>
  </w:style>
  <w:style w:type="paragraph" w:styleId="Heading1">
    <w:name w:val="heading 1"/>
    <w:pPr>
      <w:spacing w:before="220" w:after="100"/>
    </w:pPr>
    <w:rPr>
      <w:b/>
      <w:sz w:val="28"/>
      <w:color w:val="1465A8"/>
    </w:rPr>
  </w:style>
  <w:style w:type="paragraph" w:styleId="Heading2">
    <w:name w:val="heading 2"/>
    <w:rPr>
      <w:b/>
      <w:sz w:val="24"/>
      <w:color w:val="0C7780"/>
    </w:rPr>
  </w:style>
  <w:style w:type="paragraph" w:styleId="TableHeader">
    <w:name w:val="Table Header"/>
    <w:rPr>
      <w:b/>
      <w:sz w:val="21"/>
      <w:color w:val="0D2F4F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환율 보드게임 교사용 지도안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