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물가 상승 생존 게임: 한 달 예산 지키기</w:t>
      </w:r>
    </w:p>
    <w:p>
      <w:pPr>
        <w:pStyle w:val="Subtitle"/>
      </w:pPr>
      <w:r>
        <w:t xml:space="preserve">중학교 3학년 사회② | 우리나라 경제와 세계화 - 물가 변동과 실업</w:t>
      </w:r>
    </w:p>
    <w:p>
      <w:r>
        <w:t xml:space="preserve"> </w:t>
      </w:r>
    </w:p>
    <w:p>
      <w:pPr>
        <w:pStyle w:val="Heading1"/>
      </w:pPr>
      <w:r>
        <w:t xml:space="preserve">1. 오늘의 학습 목표</w:t>
      </w:r>
    </w:p>
    <w:p>
      <w:r>
        <w:t xml:space="preserve">물가 상승이 가계와 기업의 생활, 예산, 자산, 부채에 어떤 영향을 주는지 설명할 수 있다.</w:t>
      </w:r>
    </w:p>
    <w:p>
      <w:r>
        <w:t xml:space="preserve">경제 주체의 상황에 따라 인플레이션의 유리함과 불리함이 달라짐을 비교할 수 있다.</w:t>
      </w:r>
    </w:p>
    <w:p>
      <w:r>
        <w:t xml:space="preserve">제한된 예산 안에서 합리적인 선택을 토의하고 그 이유를 말할 수 있다.</w:t>
      </w:r>
    </w:p>
    <w:p>
      <w:r>
        <w:t xml:space="preserve"> </w:t>
      </w:r>
    </w:p>
    <w:p>
      <w:pPr>
        <w:pStyle w:val="Heading1"/>
      </w:pPr>
      <w:r>
        <w:t xml:space="preserve">2. 모둠 정보</w:t>
      </w:r>
    </w:p>
    <w:tbl>
      <w:tblPr>
        <w:tblStyle w:val="TableGrid"/>
        <w:tblW w:w="0" w:type="auto"/>
        <w:tblLook w:firstRow="1" w:lastRow="0" w:firstColumn="1" w:lastColumn="0" w:noHBand="0" w:noVBand="1"/>
      </w:tblPr>
      <w:tr>
        <w:tc>
          <w:tcPr>
            <w:shd w:fill="FCE4C8"/>
            <w:tcW w:w="2300" w:type="dxa"/>
          </w:tcPr>
          <w:p>
            <w:pPr>
              <w:pStyle w:val="TableText"/>
            </w:pPr>
            <w:r>
              <w:t xml:space="preserve">모둠 이름</w:t>
            </w:r>
          </w:p>
        </w:tc>
        <w:tc>
          <w:tcPr>
            <w:shd w:fill="FCE4C8"/>
            <w:tcW w:w="2300" w:type="dxa"/>
          </w:tcPr>
          <w:p>
            <w:pPr>
              <w:pStyle w:val="TableText"/>
            </w:pPr>
            <w:r>
              <w:t xml:space="preserve">우리 역할</w:t>
            </w:r>
          </w:p>
        </w:tc>
        <w:tc>
          <w:tcPr>
            <w:shd w:fill="FCE4C8"/>
            <w:tcW w:w="3600" w:type="dxa"/>
          </w:tcPr>
          <w:p>
            <w:pPr>
              <w:pStyle w:val="TableText"/>
            </w:pPr>
            <w:r>
              <w:t xml:space="preserve">역할의 특징</w:t>
            </w:r>
          </w:p>
        </w:tc>
        <w:tc>
          <w:tcPr>
            <w:shd w:fill="FCE4C8"/>
            <w:tcW w:w="2900" w:type="dxa"/>
          </w:tcPr>
          <w:p>
            <w:pPr>
              <w:pStyle w:val="TableText"/>
            </w:pPr>
            <w:r>
              <w:t xml:space="preserve">처음 예산/안정도/위험도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3. 핵심 개념 정리</w:t>
      </w:r>
    </w:p>
    <w:tbl>
      <w:tblPr>
        <w:tblStyle w:val="TableGrid"/>
        <w:tblW w:w="0" w:type="auto"/>
        <w:tblLook w:firstRow="1" w:lastRow="0" w:firstColumn="1" w:lastColumn="0" w:noHBand="0" w:noVBand="1"/>
      </w:tblPr>
      <w:tr>
        <w:tc>
          <w:tcPr>
            <w:shd w:fill="FCE4C8"/>
            <w:tcW w:w="1700" w:type="dxa"/>
          </w:tcPr>
          <w:p>
            <w:pPr>
              <w:pStyle w:val="TableText"/>
            </w:pPr>
            <w:r>
              <w:t xml:space="preserve">개념</w:t>
            </w:r>
          </w:p>
        </w:tc>
        <w:tc>
          <w:tcPr>
            <w:shd w:fill="FCE4C8"/>
            <w:tcW w:w="4700" w:type="dxa"/>
          </w:tcPr>
          <w:p>
            <w:pPr>
              <w:pStyle w:val="TableText"/>
            </w:pPr>
            <w:r>
              <w:t xml:space="preserve">뜻</w:t>
            </w:r>
          </w:p>
        </w:tc>
        <w:tc>
          <w:tcPr>
            <w:shd w:fill="FCE4C8"/>
            <w:tcW w:w="4700" w:type="dxa"/>
          </w:tcPr>
          <w:p>
            <w:pPr>
              <w:pStyle w:val="TableText"/>
            </w:pPr>
            <w:r>
              <w:t xml:space="preserve">게임 속에서 확인할 점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물가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시장에서 거래되는 재화와 서비스의 평균적인 가격 수준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식비, 교통비, 임대료가 오를 때 생활비가 어떻게 변하는가?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물가 지수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물가 수준의 변화를 숫자로 나타낸 지표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여러 상품 가격의 변화를 하나의 흐름으로 볼 수 있다.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인플레이션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전반적인 물가가 지속적으로 상승하는 현상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같은 돈으로 살 수 있는 상품의 양이 줄어든다.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분배 효과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물가 상승이 사람마다 다르게 영향을 주는 현상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고정 소득자, 예금자, 대출자, 실물 자산 소유자의 차이를 비교한다.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4. 라운드별 의사 결정 기록</w:t>
      </w:r>
    </w:p>
    <w:p>
      <w:r>
        <w:t xml:space="preserve">모둠 토의 후 선택지를 고르고, 왜 그 선택을 했는지 적어 봅시다.</w:t>
      </w:r>
    </w:p>
    <w:tbl>
      <w:tblPr>
        <w:tblStyle w:val="TableGrid"/>
        <w:tblW w:w="0" w:type="auto"/>
        <w:tblLook w:firstRow="1" w:lastRow="0" w:firstColumn="1" w:lastColumn="0" w:noHBand="0" w:noVBand="1"/>
      </w:tblPr>
      <w:tr>
        <w:tc>
          <w:tcPr>
            <w:shd w:fill="FCE4C8"/>
            <w:tcW w:w="2200" w:type="dxa"/>
          </w:tcPr>
          <w:p>
            <w:pPr>
              <w:pStyle w:val="TableText"/>
            </w:pPr>
            <w:r>
              <w:t xml:space="preserve">라운드</w:t>
            </w:r>
          </w:p>
        </w:tc>
        <w:tc>
          <w:tcPr>
            <w:shd w:fill="FCE4C8"/>
            <w:tcW w:w="2700" w:type="dxa"/>
          </w:tcPr>
          <w:p>
            <w:pPr>
              <w:pStyle w:val="TableText"/>
            </w:pPr>
            <w:r>
              <w:t xml:space="preserve">경제 상황</w:t>
            </w:r>
          </w:p>
        </w:tc>
        <w:tc>
          <w:tcPr>
            <w:shd w:fill="FCE4C8"/>
            <w:tcW w:w="2100" w:type="dxa"/>
          </w:tcPr>
          <w:p>
            <w:pPr>
              <w:pStyle w:val="TableText"/>
            </w:pPr>
            <w:r>
              <w:t xml:space="preserve">선택</w:t>
            </w:r>
          </w:p>
        </w:tc>
        <w:tc>
          <w:tcPr>
            <w:shd w:fill="FCE4C8"/>
            <w:tcW w:w="2100" w:type="dxa"/>
          </w:tcPr>
          <w:p>
            <w:pPr>
              <w:pStyle w:val="TableText"/>
            </w:pPr>
            <w:r>
              <w:t xml:space="preserve">선택 이유</w:t>
            </w:r>
          </w:p>
        </w:tc>
        <w:tc>
          <w:tcPr>
            <w:shd w:fill="FCE4C8"/>
            <w:tcW w:w="2500" w:type="dxa"/>
          </w:tcPr>
          <w:p>
            <w:pPr>
              <w:pStyle w:val="TableText"/>
            </w:pPr>
            <w:r>
              <w:t xml:space="preserve">결과 기록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1라운드: 식비 상승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쌀, 채소, 외식비 상승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우리 모둠 선택: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선택 이유: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결과 변화와 느낀 점: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2라운드: 교통비·에너지 비용 상승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전기요금, 난방비, 대중교통 요금 인상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우리 모둠 선택: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선택 이유: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결과 변화와 느낀 점: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3라운드: 금리 상승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대출 이자와 예금 이자 변화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우리 모둠 선택: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선택 이유: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결과 변화와 느낀 점: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4라운드: 임대료 상승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상가와 주거 임대료 상승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우리 모둠 선택: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선택 이유: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결과 변화와 느낀 점: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5라운드: 생활 물가 장기 상승</w:t>
            </w:r>
          </w:p>
        </w:tc>
        <w:tc>
          <w:tcPr>
            <w:tcW w:w="2700" w:type="dxa"/>
          </w:tcPr>
          <w:p>
            <w:pPr>
              <w:pStyle w:val="TableText"/>
            </w:pPr>
            <w:r>
              <w:t xml:space="preserve">소비 심리 위축, 가계와 기업의 신중한 선택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우리 모둠 선택: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선택 이유: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 xml:space="preserve">결과 변화와 느낀 점: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5. 우리 모둠 지표 변화 기록</w:t>
      </w:r>
    </w:p>
    <w:tbl>
      <w:tblPr>
        <w:tblStyle w:val="TableGrid"/>
        <w:tblW w:w="0" w:type="auto"/>
        <w:tblLook w:firstRow="1" w:lastRow="0" w:firstColumn="1" w:lastColumn="0" w:noHBand="0" w:noVBand="1"/>
      </w:tblPr>
      <w:tr>
        <w:tc>
          <w:tcPr>
            <w:shd w:fill="FCE4C8"/>
            <w:tcW w:w="1700" w:type="dxa"/>
          </w:tcPr>
          <w:p>
            <w:pPr>
              <w:pStyle w:val="TableText"/>
            </w:pPr>
            <w:r>
              <w:t xml:space="preserve">구분</w:t>
            </w:r>
          </w:p>
        </w:tc>
        <w:tc>
          <w:tcPr>
            <w:shd w:fill="FCE4C8"/>
            <w:tcW w:w="1500" w:type="dxa"/>
          </w:tcPr>
          <w:p>
            <w:pPr>
              <w:pStyle w:val="TableText"/>
            </w:pPr>
            <w:r>
              <w:t xml:space="preserve">시작</w:t>
            </w:r>
          </w:p>
        </w:tc>
        <w:tc>
          <w:tcPr>
            <w:shd w:fill="FCE4C8"/>
            <w:tcW w:w="1500" w:type="dxa"/>
          </w:tcPr>
          <w:p>
            <w:pPr>
              <w:pStyle w:val="TableText"/>
            </w:pPr>
            <w:r>
              <w:t xml:space="preserve">1R 후</w:t>
            </w:r>
          </w:p>
        </w:tc>
        <w:tc>
          <w:tcPr>
            <w:shd w:fill="FCE4C8"/>
            <w:tcW w:w="1500" w:type="dxa"/>
          </w:tcPr>
          <w:p>
            <w:pPr>
              <w:pStyle w:val="TableText"/>
            </w:pPr>
            <w:r>
              <w:t xml:space="preserve">2R 후</w:t>
            </w:r>
          </w:p>
        </w:tc>
        <w:tc>
          <w:tcPr>
            <w:shd w:fill="FCE4C8"/>
            <w:tcW w:w="1500" w:type="dxa"/>
          </w:tcPr>
          <w:p>
            <w:pPr>
              <w:pStyle w:val="TableText"/>
            </w:pPr>
            <w:r>
              <w:t xml:space="preserve">3R 후</w:t>
            </w:r>
          </w:p>
        </w:tc>
        <w:tc>
          <w:tcPr>
            <w:shd w:fill="FCE4C8"/>
            <w:tcW w:w="1500" w:type="dxa"/>
          </w:tcPr>
          <w:p>
            <w:pPr>
              <w:pStyle w:val="TableText"/>
            </w:pPr>
            <w:r>
              <w:t xml:space="preserve">4R 후</w:t>
            </w:r>
          </w:p>
        </w:tc>
        <w:tc>
          <w:tcPr>
            <w:shd w:fill="FCE4C8"/>
            <w:tcW w:w="1500" w:type="dxa"/>
          </w:tcPr>
          <w:p>
            <w:pPr>
              <w:pStyle w:val="TableText"/>
            </w:pPr>
            <w:r>
              <w:t xml:space="preserve">5R 후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점수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예산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생활 안정도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위험도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6. 생각해 보기</w:t>
      </w:r>
    </w:p>
    <w:p>
      <w:r>
        <w:t xml:space="preserve">1) 물가 상승 상황에서 우리 모둠이 가장 어려웠던 라운드는 무엇이었나요? 이유를 쓰세요.</w:t>
      </w:r>
    </w:p>
    <w:p>
      <w:r>
        <w:t xml:space="preserve">답: </w:t>
      </w:r>
    </w:p>
    <w:p>
      <w:r>
        <w:t xml:space="preserve"> </w:t>
      </w:r>
    </w:p>
    <w:p>
      <w:r>
        <w:t xml:space="preserve">2) 우리 역할은 인플레이션 때 유리한 점과 불리한 점 중 무엇이 더 컸나요? 근거를 쓰세요.</w:t>
      </w:r>
    </w:p>
    <w:p>
      <w:r>
        <w:t xml:space="preserve">답: </w:t>
      </w:r>
    </w:p>
    <w:p>
      <w:r>
        <w:t xml:space="preserve"> </w:t>
      </w:r>
    </w:p>
    <w:p>
      <w:r>
        <w:t xml:space="preserve">3) 대출자와 예금자는 금리 상승 상황에서 어떤 차이를 보였나요?</w:t>
      </w:r>
    </w:p>
    <w:p>
      <w:r>
        <w:t xml:space="preserve">답: </w:t>
      </w:r>
    </w:p>
    <w:p>
      <w:r>
        <w:t xml:space="preserve"> </w:t>
      </w:r>
    </w:p>
    <w:p>
      <w:r>
        <w:t xml:space="preserve">4) 물가 상승이 모든 사람에게 똑같이 작용하지 않는 이유를 설명해 보세요.</w:t>
      </w:r>
    </w:p>
    <w:p>
      <w:r>
        <w:t xml:space="preserve">답: </w:t>
      </w:r>
    </w:p>
    <w:p>
      <w:r>
        <w:t xml:space="preserve"> </w:t>
      </w:r>
    </w:p>
    <w:p>
      <w:pPr>
        <w:pStyle w:val="Heading1"/>
      </w:pPr>
      <w:r>
        <w:t xml:space="preserve">7. 수업 정리 문장 완성</w:t>
      </w:r>
    </w:p>
    <w:p>
      <w:r>
        <w:t xml:space="preserve">인플레이션은 모든 사람에게 같은 영향을 주지 않습니다. 고정 소득자, 예금자, 대출자, 실물 자산 소유자처럼 각자의 경제적 상황에 따라 ____________과 ____________이 달라집니다.</w:t>
      </w:r>
    </w:p>
    <w:p>
      <w:r>
        <w:t xml:space="preserve"> </w:t>
      </w:r>
    </w:p>
    <w:p>
      <w:r>
        <w:t xml:space="preserve">오늘 내가 알게 된 점:</w:t>
      </w:r>
    </w:p>
    <w:p>
      <w:r>
        <w:t xml:space="preserve"> </w:t>
      </w:r>
    </w:p>
    <w:p>
      <w:r>
        <w:t xml:space="preserve">다음에 비슷한 상황이 온다면 내가 선택하고 싶은 예산 전략:</w:t>
      </w:r>
    </w:p>
    <w:p>
      <w:r>
        <w:t xml:space="preserve"> </w:t>
      </w:r>
    </w:p>
    <w:sectPr>
      <w:pgSz w:w="11906" w:h="16838"/>
      <w:pgMar w:top="850" w:right="850" w:bottom="850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2"/>
    </w:rPr>
    <w:pPr>
      <w:spacing w:after="120" w:line="276" w:lineRule="auto"/>
    </w:pPr>
  </w:style>
  <w:style w:type="paragraph" w:styleId="Title">
    <w:name w:val="Title"/>
    <w:rPr>
      <w:rFonts w:ascii="Malgun Gothic" w:hAnsi="Malgun Gothic" w:eastAsia="Malgun Gothic"/>
      <w:b/>
      <w:color w:val="9C3B1E"/>
      <w:sz w:val="40"/>
    </w:rPr>
    <w:pPr>
      <w:spacing w:after="160"/>
    </w:pPr>
  </w:style>
  <w:style w:type="paragraph" w:styleId="Subtitle">
    <w:name w:val="Subtitle"/>
    <w:rPr>
      <w:rFonts w:ascii="Malgun Gothic" w:hAnsi="Malgun Gothic" w:eastAsia="Malgun Gothic"/>
      <w:color w:val="6F5B4A"/>
      <w:sz w:val="24"/>
    </w:rPr>
  </w:style>
  <w:style w:type="paragraph" w:styleId="Heading1">
    <w:name w:val="heading 1"/>
    <w:rPr>
      <w:rFonts w:ascii="Malgun Gothic" w:hAnsi="Malgun Gothic" w:eastAsia="Malgun Gothic"/>
      <w:b/>
      <w:color w:val="C44F28"/>
      <w:sz w:val="28"/>
    </w:rPr>
    <w:pPr>
      <w:spacing w:before="240" w:after="120"/>
    </w:pPr>
  </w:style>
  <w:style w:type="paragraph" w:styleId="TableText">
    <w:name w:val="Table Text"/>
    <w:rPr>
      <w:rFonts w:ascii="Malgun Gothic" w:hAnsi="Malgun Gothic" w:eastAsia="Malgun Gothic"/>
      <w:sz w:val="19"/>
    </w:rPr>
    <w:pPr>
      <w:spacing w:after="40" w:line="240" w:lineRule="auto"/>
    </w:pPr>
  </w:style>
  <w:style w:type="table" w:styleId="TableGrid">
    <w:name w:val="Table Grid"/>
    <w:tblPr>
      <w:tblBorders>
        <w:top w:val="single" w:sz="8" w:space="0" w:color="E6C9A5"/>
        <w:left w:val="single" w:sz="8" w:space="0" w:color="E6C9A5"/>
        <w:bottom w:val="single" w:sz="8" w:space="0" w:color="E6C9A5"/>
        <w:right w:val="single" w:sz="8" w:space="0" w:color="E6C9A5"/>
        <w:insideH w:val="single" w:sz="8" w:space="0" w:color="E6C9A5"/>
        <w:insideV w:val="single" w:sz="8" w:space="0" w:color="E6C9A5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물가 상승 생존 게임 학생용 학습지</dc:title>
  <dc:creator>Codex</dc:creator>
  <cp:lastModifiedBy>Codex</cp:lastModifiedBy>
</cp:coreProperties>
</file>