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Multi-Level Statistical Constraints in the Voynich Manuscript:</w:t>
        <w:br/>
        <w:t>From Token Structure to Sequential Organization</w:t>
      </w:r>
    </w:p>
    <w:p>
      <w:pPr>
        <w:jc w:val="center"/>
      </w:pPr>
      <w:r>
        <w:rPr>
          <w:rFonts w:ascii="Times New Roman" w:hAnsi="Times New Roman"/>
          <w:b/>
          <w:i w:val="0"/>
          <w:sz w:val="20"/>
        </w:rPr>
        <w:t>Youngsan Chang</w:t>
      </w:r>
    </w:p>
    <w:p>
      <w:pPr>
        <w:jc w:val="center"/>
      </w:pPr>
      <w:r>
        <w:rPr>
          <w:rFonts w:ascii="Times New Roman" w:hAnsi="Times New Roman"/>
          <w:b w:val="0"/>
          <w:i/>
          <w:sz w:val="20"/>
        </w:rPr>
        <w:t>Independent Researcher</w:t>
      </w:r>
    </w:p>
    <w:p>
      <w:pPr>
        <w:jc w:val="center"/>
      </w:pPr>
      <w:r>
        <w:rPr>
          <w:rFonts w:ascii="Times New Roman" w:hAnsi="Times New Roman"/>
          <w:b w:val="0"/>
          <w:i/>
          <w:sz w:val="20"/>
        </w:rPr>
        <w:t>April 2026</w:t>
      </w:r>
    </w:p>
    <w:p>
      <w:pPr>
        <w:jc w:val="center"/>
      </w:pPr>
      <w:r>
        <w:rPr>
          <w:rFonts w:ascii="Times New Roman" w:hAnsi="Times New Roman"/>
          <w:b w:val="0"/>
          <w:i/>
          <w:sz w:val="20"/>
        </w:rPr>
        <w:t>Data source: Zandbergen-Landini EVA transcription (ZL3b)</w:t>
      </w:r>
    </w:p>
    <w:p>
      <w:pPr>
        <w:pStyle w:val="Heading2"/>
      </w:pPr>
      <w:r>
        <w:rPr>
          <w:rFonts w:ascii="Times New Roman" w:hAnsi="Times New Roman"/>
          <w:b/>
        </w:rPr>
        <w:t>AI Use Disclosure</w:t>
      </w:r>
    </w:p>
    <w:p>
      <w:pPr>
        <w:spacing w:after="120" w:line="252" w:lineRule="auto"/>
      </w:pPr>
      <w:r>
        <w:rPr>
          <w:rFonts w:ascii="Times New Roman" w:hAnsi="Times New Roman"/>
          <w:b w:val="0"/>
          <w:i/>
          <w:sz w:val="22"/>
        </w:rPr>
        <w:t>AI-based tools (Claude, ChatGPT, Gemini) assisted with code implementation, figure generation, manuscript editing, and synthesis drafting across the component studies summarized in this paper. Research design, analytical decisions, statistical interpretation, and final argumentation were conducted by the author.</w:t>
      </w:r>
    </w:p>
    <w:p>
      <w:pPr>
        <w:pStyle w:val="Heading2"/>
      </w:pPr>
      <w:r>
        <w:rPr>
          <w:rFonts w:ascii="Times New Roman" w:hAnsi="Times New Roman"/>
          <w:b/>
        </w:rPr>
        <w:t>Abstract</w:t>
      </w:r>
    </w:p>
    <w:p>
      <w:pPr>
        <w:spacing w:after="120" w:line="252" w:lineRule="auto"/>
      </w:pPr>
      <w:r>
        <w:rPr>
          <w:rFonts w:ascii="Times New Roman" w:hAnsi="Times New Roman"/>
          <w:b w:val="0"/>
          <w:i w:val="0"/>
          <w:sz w:val="22"/>
        </w:rPr>
        <w:t>The Voynich Manuscript has long resisted definitive linguistic or cryptographic interpretation. Previous studies have shown that the manuscript is non-random in several respects, but isolated statistical regularities do not by themselves establish a coherent structural account. This paper synthesizes five linked studies into a multi-level statistical framework for evaluating the organization of Voynich tokens. The analysis integrates evidence from positional constraints, language-like predictability, prefix-core-suffix (PCS) conditional dependency, PCS token-generation modeling, and inter-token sequential structure. Across these levels, the manuscript exhibits robust deviations from random or low-complexity baselines. Positionally, specific token classes are strongly constrained by line and paragraph location. Predictively, Voynich tokens show natural-language-like entropy and ambiguity profiles while diverging from natural language in suffix concentration and prefix-family organization. Internally, tokens exhibit asymmetric PCS dependencies, with suffix selection strongly conditioned on the core. Generatively, a PCS model reproduces observed token forms at high matching and coverage rates while outperforming random baselines. Sequentially, adjacent tokens show lower bigram entropy, higher next-token predictability, component-linked transition effects, line-boundary structure, and local clustering of related token families. Taken together, the results support the interpretation of the Voynich text as a multi-level structured symbolic system. These findings do not constitute semantic decipherment, translation, or confirmation of full syntax. Instead, they establish a reproducible structural baseline that any future linguistic, cryptographic, or generative account of the manuscript must explain.</w:t>
      </w:r>
    </w:p>
    <w:p>
      <w:pPr>
        <w:spacing w:after="120" w:line="252" w:lineRule="auto"/>
      </w:pPr>
      <w:r>
        <w:rPr>
          <w:rFonts w:ascii="Times New Roman" w:hAnsi="Times New Roman"/>
          <w:b w:val="0"/>
          <w:i/>
          <w:sz w:val="22"/>
        </w:rPr>
        <w:t>Keywords: Voynich Manuscript; multi-level structure; prefix-core-suffix; positional constraints; inter-token dependency; generative model; computational text analysis; unknown scripts</w:t>
      </w:r>
    </w:p>
    <w:p>
      <w:pPr>
        <w:pStyle w:val="Heading1"/>
      </w:pPr>
      <w:r>
        <w:rPr>
          <w:rFonts w:ascii="Times New Roman" w:hAnsi="Times New Roman"/>
          <w:b/>
        </w:rPr>
        <w:t>1. Introduction</w:t>
      </w:r>
    </w:p>
    <w:p>
      <w:pPr>
        <w:spacing w:after="120" w:line="252" w:lineRule="auto"/>
      </w:pPr>
      <w:r>
        <w:rPr>
          <w:rFonts w:ascii="Times New Roman" w:hAnsi="Times New Roman"/>
          <w:b w:val="0"/>
          <w:i w:val="0"/>
          <w:sz w:val="22"/>
        </w:rPr>
        <w:t>The Voynich Manuscript remains one of the most persistent unsolved problems in historical linguistics, cryptography, and manuscript studies. Its writing system displays strong visual regularity, repeated token forms, and section-like organization, yet no proposed decipherment has achieved general acceptance. One central difficulty is that the manuscript appears neither plainly random nor straightforwardly comparable to ordinary natural-language prose. It exhibits statistical regularities, but those regularities have not yielded stable meaning.</w:t>
      </w:r>
    </w:p>
    <w:p>
      <w:pPr>
        <w:spacing w:after="120" w:line="252" w:lineRule="auto"/>
      </w:pPr>
      <w:r>
        <w:rPr>
          <w:rFonts w:ascii="Times New Roman" w:hAnsi="Times New Roman"/>
          <w:b w:val="0"/>
          <w:i w:val="0"/>
          <w:sz w:val="22"/>
        </w:rPr>
        <w:t>A productive way to approach the problem is therefore not to begin with translation, but with structural constraints. If the text is meaningful, encoded, generated, or pseudo-generated, its token system should still exhibit constraints at one or more levels. Conversely, any proposed explanation must account for the distribution of tokens, their internal composition, their placement within lines and paragraphs, and their arrangement across adjacent positions.</w:t>
      </w:r>
    </w:p>
    <w:p>
      <w:pPr>
        <w:spacing w:after="120" w:line="252" w:lineRule="auto"/>
      </w:pPr>
      <w:r>
        <w:rPr>
          <w:rFonts w:ascii="Times New Roman" w:hAnsi="Times New Roman"/>
          <w:b w:val="0"/>
          <w:i w:val="0"/>
          <w:sz w:val="22"/>
        </w:rPr>
        <w:t>This paper synthesizes five linked studies into a single multi-level account. The first study tested robust positional constraints in line-initial, paragraph-initial, and line-final contexts. The second compared Voynich token predictability against natural language, synthetic n-gram text, and structured data. The third examined token-internal conditional structure through a prefix-core-suffix decomposition. The fourth evaluated whether PCS components can generate observed token forms and reproduce distributional properties. The fifth tested whether local token order is itself non-random beyond token-level generation.</w:t>
      </w:r>
    </w:p>
    <w:p>
      <w:pPr>
        <w:spacing w:after="120" w:line="252" w:lineRule="auto"/>
      </w:pPr>
      <w:r>
        <w:rPr>
          <w:rFonts w:ascii="Times New Roman" w:hAnsi="Times New Roman"/>
          <w:b w:val="0"/>
          <w:i w:val="0"/>
          <w:sz w:val="22"/>
        </w:rPr>
        <w:t>The purpose of the present paper is not to repeat each component study in full, but to integrate their results into one coherent framework. The central claim is conservative: the Voynich token system is structured across multiple levels. The paper does not claim semantic decipherment, identify a source language, or confirm a grammar. It argues instead that the manuscript exhibits reproducible organization across positional, predictive, token-internal, generative, and inter-token dimensions.</w:t>
      </w:r>
    </w:p>
    <w:p>
      <w:pPr>
        <w:spacing w:after="120" w:line="252" w:lineRule="auto"/>
      </w:pPr>
      <w:r>
        <w:rPr>
          <w:rFonts w:ascii="Times New Roman" w:hAnsi="Times New Roman"/>
          <w:b w:val="0"/>
          <w:i w:val="0"/>
          <w:sz w:val="22"/>
        </w:rPr>
        <w:t>The present manuscript synthesizes and extends previously archived component studies into a single integrated framework. It is not a duplicate submission of those component records; rather, it consolidates their findings into a unified structural account and adds cross-level interpretation for future model evaluation.</w:t>
      </w:r>
    </w:p>
    <w:p>
      <w:pPr>
        <w:pStyle w:val="Heading1"/>
      </w:pPr>
      <w:r>
        <w:rPr>
          <w:rFonts w:ascii="Times New Roman" w:hAnsi="Times New Roman"/>
          <w:b/>
        </w:rPr>
        <w:t>2. Literature Review</w:t>
      </w:r>
    </w:p>
    <w:p>
      <w:pPr>
        <w:pStyle w:val="Heading2"/>
      </w:pPr>
      <w:r>
        <w:rPr>
          <w:rFonts w:ascii="Times New Roman" w:hAnsi="Times New Roman"/>
          <w:b/>
        </w:rPr>
        <w:t>2.1 Statistical approaches to the Voynich Manuscript</w:t>
      </w:r>
    </w:p>
    <w:p>
      <w:pPr>
        <w:spacing w:after="120" w:line="252" w:lineRule="auto"/>
      </w:pPr>
      <w:r>
        <w:rPr>
          <w:rFonts w:ascii="Times New Roman" w:hAnsi="Times New Roman"/>
          <w:b w:val="0"/>
          <w:i w:val="0"/>
          <w:sz w:val="22"/>
        </w:rPr>
        <w:t>Statistical analysis has long been central to Voynich research. Currier identified distinct textual varieties within the manuscript, showing that the corpus is internally heterogeneous rather than uniform. Landini (2001) reported evidence of linguistic structure using spectral analysis, while Montemurro and Zanette (2013) applied information-theoretic methods to co-occurrence and keyword structure. Reddy and Knight (2011) reviewed computational constraints on proposed explanations and emphasized the difficulty of reconciling surface regularities with ordinary linguistic expectations.</w:t>
      </w:r>
    </w:p>
    <w:p>
      <w:pPr>
        <w:spacing w:after="120" w:line="252" w:lineRule="auto"/>
      </w:pPr>
      <w:r>
        <w:rPr>
          <w:rFonts w:ascii="Times New Roman" w:hAnsi="Times New Roman"/>
          <w:b w:val="0"/>
          <w:i w:val="0"/>
          <w:sz w:val="22"/>
        </w:rPr>
        <w:t>These studies showed that the text is not a simple random sequence, but they did not provide a full account of token formation or local ordering. The present synthesis builds on that tradition by treating non-randomness as a multi-level problem. Rather than asking only whether the text is globally language-like, it asks whether specific structural levels are independently constrained and mutually consistent.</w:t>
      </w:r>
    </w:p>
    <w:p>
      <w:pPr>
        <w:pStyle w:val="Heading2"/>
      </w:pPr>
      <w:r>
        <w:rPr>
          <w:rFonts w:ascii="Times New Roman" w:hAnsi="Times New Roman"/>
          <w:b/>
        </w:rPr>
        <w:t>2.2 Generative and pseudo-text explanations</w:t>
      </w:r>
    </w:p>
    <w:p>
      <w:pPr>
        <w:spacing w:after="120" w:line="252" w:lineRule="auto"/>
      </w:pPr>
      <w:r>
        <w:rPr>
          <w:rFonts w:ascii="Times New Roman" w:hAnsi="Times New Roman"/>
          <w:b w:val="0"/>
          <w:i w:val="0"/>
          <w:sz w:val="22"/>
        </w:rPr>
        <w:t>A second line of research has explored whether the manuscript could be generated by mechanical or algorithmic procedures. Rugg (2004) showed that Cardan-grille-like methods can produce Voynich-like surface forms, and Timm and Schinner (2020) proposed self-referential generation mechanisms capable of reproducing some textual properties. These models are important because they demonstrate that apparent complexity alone is insufficient evidence for meaning.</w:t>
      </w:r>
    </w:p>
    <w:p>
      <w:pPr>
        <w:spacing w:after="120" w:line="252" w:lineRule="auto"/>
      </w:pPr>
      <w:r>
        <w:rPr>
          <w:rFonts w:ascii="Times New Roman" w:hAnsi="Times New Roman"/>
          <w:b w:val="0"/>
          <w:i w:val="0"/>
          <w:sz w:val="22"/>
        </w:rPr>
        <w:t>However, a plausible generative explanation must account not only for surface token appearance, but also for positional constraints, component-conditioned dependencies, Zipf alignment, holdout generalization, compression behavior, line-boundary effects, and inter-token clustering. The present paper therefore evaluates structure across multiple baselines and levels rather than relying on a single global statistic.</w:t>
      </w:r>
    </w:p>
    <w:p>
      <w:pPr>
        <w:pStyle w:val="Heading2"/>
      </w:pPr>
      <w:r>
        <w:rPr>
          <w:rFonts w:ascii="Times New Roman" w:hAnsi="Times New Roman"/>
          <w:b/>
        </w:rPr>
        <w:t>2.3 Token morphology and slot-based models</w:t>
      </w:r>
    </w:p>
    <w:p>
      <w:pPr>
        <w:spacing w:after="120" w:line="252" w:lineRule="auto"/>
      </w:pPr>
      <w:r>
        <w:rPr>
          <w:rFonts w:ascii="Times New Roman" w:hAnsi="Times New Roman"/>
          <w:b w:val="0"/>
          <w:i w:val="0"/>
          <w:sz w:val="22"/>
        </w:rPr>
        <w:t>Stolfi proposed that Voynich words can often be described through slot-like internal organization. This view motivates component-based analysis, but it leaves open whether the components are independently selected, statistically conditioned, or merely descriptive categories. The PCS framework developed in the component studies uses the terms prefix, core, and suffix in a strictly positional sense. The term core is preferred over stem because it avoids implying a known linguistic or morphological function.</w:t>
      </w:r>
    </w:p>
    <w:p>
      <w:pPr>
        <w:spacing w:after="120" w:line="252" w:lineRule="auto"/>
      </w:pPr>
      <w:r>
        <w:rPr>
          <w:rFonts w:ascii="Times New Roman" w:hAnsi="Times New Roman"/>
          <w:b w:val="0"/>
          <w:i w:val="0"/>
          <w:sz w:val="22"/>
        </w:rPr>
        <w:t>This terminology is central to the interpretation. A stem normally implies a lexical or morphological unit in a known or recoverable language. The Voynich material does not permit that assumption. Core therefore refers only to the middle component left after positional prefix and suffix segmentation, and its importance is established statistically rather than semantically.</w:t>
      </w:r>
    </w:p>
    <w:p>
      <w:pPr>
        <w:pStyle w:val="Heading2"/>
      </w:pPr>
      <w:r>
        <w:rPr>
          <w:rFonts w:ascii="Times New Roman" w:hAnsi="Times New Roman"/>
          <w:b/>
        </w:rPr>
        <w:t>2.4 From isolated statistics to multi-level structure</w:t>
      </w:r>
    </w:p>
    <w:p>
      <w:pPr>
        <w:spacing w:after="120" w:line="252" w:lineRule="auto"/>
      </w:pPr>
      <w:r>
        <w:rPr>
          <w:rFonts w:ascii="Times New Roman" w:hAnsi="Times New Roman"/>
          <w:b w:val="0"/>
          <w:i w:val="0"/>
          <w:sz w:val="22"/>
        </w:rPr>
        <w:t>Many individual properties of the Voynich text can be explained away if considered alone. Zipf-like distributions may arise from many systems; positional effects may reflect layout; token repetition may reflect generation; and entropy similarity may not imply meaning. The significance of the present synthesis lies in convergence: the same corpus exhibits constraints at multiple independent levels. A model that explains only one level remains incomplete if it fails at the others.</w:t>
      </w:r>
    </w:p>
    <w:p>
      <w:pPr>
        <w:pStyle w:val="Heading1"/>
      </w:pPr>
      <w:r>
        <w:rPr>
          <w:rFonts w:ascii="Times New Roman" w:hAnsi="Times New Roman"/>
          <w:b/>
        </w:rPr>
        <w:t>3. Research Questions</w:t>
      </w:r>
    </w:p>
    <w:p>
      <w:pPr>
        <w:spacing w:after="120" w:line="252" w:lineRule="auto"/>
      </w:pPr>
      <w:r>
        <w:rPr>
          <w:rFonts w:ascii="Times New Roman" w:hAnsi="Times New Roman"/>
          <w:b w:val="0"/>
          <w:i w:val="0"/>
          <w:sz w:val="22"/>
        </w:rPr>
        <w:t>The integrated analysis is organized around six research questions.</w:t>
      </w:r>
    </w:p>
    <w:p>
      <w:pPr>
        <w:spacing w:after="120" w:line="252" w:lineRule="auto"/>
      </w:pPr>
      <w:r>
        <w:rPr>
          <w:rFonts w:ascii="Times New Roman" w:hAnsi="Times New Roman"/>
          <w:b w:val="0"/>
          <w:i w:val="0"/>
          <w:sz w:val="22"/>
        </w:rPr>
        <w:t>RQ1. Does the Voynich Manuscript exhibit multi-level non-random structure across token position, token predictability, token-internal composition, token generation, and local token arrangement?</w:t>
      </w:r>
    </w:p>
    <w:p>
      <w:pPr>
        <w:spacing w:after="120" w:line="252" w:lineRule="auto"/>
      </w:pPr>
      <w:r>
        <w:rPr>
          <w:rFonts w:ascii="Times New Roman" w:hAnsi="Times New Roman"/>
          <w:b w:val="0"/>
          <w:i w:val="0"/>
          <w:sz w:val="22"/>
        </w:rPr>
        <w:t>RQ2. Are specific tokens or token classes constrained by line and paragraph position?</w:t>
      </w:r>
    </w:p>
    <w:p>
      <w:pPr>
        <w:spacing w:after="120" w:line="252" w:lineRule="auto"/>
      </w:pPr>
      <w:r>
        <w:rPr>
          <w:rFonts w:ascii="Times New Roman" w:hAnsi="Times New Roman"/>
          <w:b w:val="0"/>
          <w:i w:val="0"/>
          <w:sz w:val="22"/>
        </w:rPr>
        <w:t>RQ3. Do Voynich tokens exhibit language-like predictability while remaining structurally distinct from known natural-language baselines?</w:t>
      </w:r>
    </w:p>
    <w:p>
      <w:pPr>
        <w:spacing w:after="120" w:line="252" w:lineRule="auto"/>
      </w:pPr>
      <w:r>
        <w:rPr>
          <w:rFonts w:ascii="Times New Roman" w:hAnsi="Times New Roman"/>
          <w:b w:val="0"/>
          <w:i w:val="0"/>
          <w:sz w:val="22"/>
        </w:rPr>
        <w:t>RQ4. Do token components exhibit asymmetric prefix-core-suffix conditional dependencies?</w:t>
      </w:r>
    </w:p>
    <w:p>
      <w:pPr>
        <w:spacing w:after="120" w:line="252" w:lineRule="auto"/>
      </w:pPr>
      <w:r>
        <w:rPr>
          <w:rFonts w:ascii="Times New Roman" w:hAnsi="Times New Roman"/>
          <w:b w:val="0"/>
          <w:i w:val="0"/>
          <w:sz w:val="22"/>
        </w:rPr>
        <w:t>RQ5. Can a PCS-based generative model reproduce observed token forms and corpus-level distributions better than random baselines?</w:t>
      </w:r>
    </w:p>
    <w:p>
      <w:pPr>
        <w:spacing w:after="120" w:line="252" w:lineRule="auto"/>
      </w:pPr>
      <w:r>
        <w:rPr>
          <w:rFonts w:ascii="Times New Roman" w:hAnsi="Times New Roman"/>
          <w:b w:val="0"/>
          <w:i w:val="0"/>
          <w:sz w:val="22"/>
        </w:rPr>
        <w:t>RQ6. Are generated or observed tokens arranged non-randomly across local inter-token sequences?</w:t>
      </w:r>
    </w:p>
    <w:p>
      <w:pPr>
        <w:pStyle w:val="Heading1"/>
      </w:pPr>
      <w:r>
        <w:rPr>
          <w:rFonts w:ascii="Times New Roman" w:hAnsi="Times New Roman"/>
          <w:b/>
        </w:rPr>
        <w:t>4. Data</w:t>
      </w:r>
    </w:p>
    <w:p>
      <w:pPr>
        <w:spacing w:after="120" w:line="252" w:lineRule="auto"/>
      </w:pPr>
      <w:r>
        <w:rPr>
          <w:rFonts w:ascii="Times New Roman" w:hAnsi="Times New Roman"/>
          <w:b w:val="0"/>
          <w:i w:val="0"/>
          <w:sz w:val="22"/>
        </w:rPr>
        <w:t>All component studies use the Zandbergen-Landini EVA transcription (ZL3b) as their primary data source. The exact working corpus differs across analyses because each study applies task-specific preprocessing. Positional analysis uses a conservative parser that preserves line and paragraph structure. PCS analysis excludes tokens too short for component segmentation. The PCS generation model uses the token inventory appropriate to model construction, while the inter-token study preserves line boundaries and local order.</w:t>
      </w:r>
    </w:p>
    <w:p>
      <w:pPr>
        <w:spacing w:after="120" w:line="252" w:lineRule="auto"/>
      </w:pPr>
      <w:r>
        <w:rPr>
          <w:rFonts w:ascii="Times New Roman" w:hAnsi="Times New Roman"/>
          <w:b w:val="0"/>
          <w:i w:val="0"/>
          <w:sz w:val="22"/>
        </w:rPr>
        <w:t>These differences are methodological rather than contradictory. Each analysis defines the working corpus needed for its own test. The integrated paper therefore treats the component results as complementary structural probes rather than as a single uniform token count.</w:t>
      </w:r>
    </w:p>
    <w:p>
      <w:pPr>
        <w:spacing w:after="120" w:line="252" w:lineRule="auto"/>
      </w:pPr>
      <w:r>
        <w:rPr>
          <w:rFonts w:ascii="Times New Roman" w:hAnsi="Times New Roman"/>
          <w:b w:val="0"/>
          <w:i w:val="0"/>
          <w:sz w:val="22"/>
        </w:rPr>
        <w:t>Table 1 summarizes the five component studies and clarifies how each contributes a separate structural test. The table is included early because the integrated argument depends on convergence across levels rather than on a single statistic.</w:t>
      </w:r>
    </w:p>
    <w:p>
      <w:pPr>
        <w:pStyle w:val="Heading2"/>
      </w:pPr>
      <w:r>
        <w:rPr>
          <w:rFonts w:ascii="Times New Roman" w:hAnsi="Times New Roman"/>
          <w:b/>
        </w:rPr>
        <w:t>Table 1. Study Overview</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D9D9"/>
          </w:tcPr>
          <w:p>
            <w:pPr>
              <w:jc w:val="left"/>
            </w:pPr>
            <w:r/>
            <w:r>
              <w:rPr>
                <w:rFonts w:ascii="Times New Roman" w:hAnsi="Times New Roman"/>
                <w:b/>
                <w:i w:val="0"/>
                <w:sz w:val="14"/>
              </w:rPr>
              <w:t>Study</w:t>
            </w:r>
          </w:p>
        </w:tc>
        <w:tc>
          <w:tcPr>
            <w:tcW w:type="dxa" w:w="2520"/>
            <w:vAlign w:val="top"/>
            <w:shd w:fill="D9D9D9"/>
          </w:tcPr>
          <w:p>
            <w:pPr>
              <w:jc w:val="left"/>
            </w:pPr>
            <w:r/>
            <w:r>
              <w:rPr>
                <w:rFonts w:ascii="Times New Roman" w:hAnsi="Times New Roman"/>
                <w:b/>
                <w:i w:val="0"/>
                <w:sz w:val="14"/>
              </w:rPr>
              <w:t>Structural level</w:t>
            </w:r>
          </w:p>
        </w:tc>
        <w:tc>
          <w:tcPr>
            <w:tcW w:type="dxa" w:w="2520"/>
            <w:vAlign w:val="top"/>
            <w:shd w:fill="D9D9D9"/>
          </w:tcPr>
          <w:p>
            <w:pPr>
              <w:jc w:val="left"/>
            </w:pPr>
            <w:r/>
            <w:r>
              <w:rPr>
                <w:rFonts w:ascii="Times New Roman" w:hAnsi="Times New Roman"/>
                <w:b/>
                <w:i w:val="0"/>
                <w:sz w:val="14"/>
              </w:rPr>
              <w:t>Main question</w:t>
            </w:r>
          </w:p>
        </w:tc>
        <w:tc>
          <w:tcPr>
            <w:tcW w:type="dxa" w:w="2520"/>
            <w:vAlign w:val="top"/>
            <w:shd w:fill="D9D9D9"/>
          </w:tcPr>
          <w:p>
            <w:pPr>
              <w:jc w:val="left"/>
            </w:pPr>
            <w:r/>
            <w:r>
              <w:rPr>
                <w:rFonts w:ascii="Times New Roman" w:hAnsi="Times New Roman"/>
                <w:b/>
                <w:i w:val="0"/>
                <w:sz w:val="14"/>
              </w:rPr>
              <w:t>Core result</w:t>
            </w:r>
          </w:p>
        </w:tc>
      </w:tr>
      <w:tr>
        <w:tc>
          <w:tcPr>
            <w:tcW w:type="dxa" w:w="2520"/>
            <w:vAlign w:val="top"/>
          </w:tcPr>
          <w:p>
            <w:pPr>
              <w:jc w:val="left"/>
            </w:pPr>
            <w:r/>
            <w:r>
              <w:rPr>
                <w:rFonts w:ascii="Times New Roman" w:hAnsi="Times New Roman"/>
                <w:b w:val="0"/>
                <w:i w:val="0"/>
                <w:sz w:val="14"/>
              </w:rPr>
              <w:t>Chang 2026a</w:t>
            </w:r>
          </w:p>
        </w:tc>
        <w:tc>
          <w:tcPr>
            <w:tcW w:type="dxa" w:w="2520"/>
            <w:vAlign w:val="top"/>
          </w:tcPr>
          <w:p>
            <w:pPr>
              <w:jc w:val="left"/>
            </w:pPr>
            <w:r/>
            <w:r>
              <w:rPr>
                <w:rFonts w:ascii="Times New Roman" w:hAnsi="Times New Roman"/>
                <w:b w:val="0"/>
                <w:i w:val="0"/>
                <w:sz w:val="14"/>
              </w:rPr>
              <w:t>Position</w:t>
            </w:r>
          </w:p>
        </w:tc>
        <w:tc>
          <w:tcPr>
            <w:tcW w:type="dxa" w:w="2520"/>
            <w:vAlign w:val="top"/>
          </w:tcPr>
          <w:p>
            <w:pPr>
              <w:jc w:val="left"/>
            </w:pPr>
            <w:r/>
            <w:r>
              <w:rPr>
                <w:rFonts w:ascii="Times New Roman" w:hAnsi="Times New Roman"/>
                <w:b w:val="0"/>
                <w:i w:val="0"/>
                <w:sz w:val="14"/>
              </w:rPr>
              <w:t>Are token classes positionally constrained?</w:t>
            </w:r>
          </w:p>
        </w:tc>
        <w:tc>
          <w:tcPr>
            <w:tcW w:type="dxa" w:w="2520"/>
            <w:vAlign w:val="top"/>
          </w:tcPr>
          <w:p>
            <w:pPr>
              <w:jc w:val="left"/>
            </w:pPr>
            <w:r/>
            <w:r>
              <w:rPr>
                <w:rFonts w:ascii="Times New Roman" w:hAnsi="Times New Roman"/>
                <w:b w:val="0"/>
                <w:i w:val="0"/>
                <w:sz w:val="14"/>
              </w:rPr>
              <w:t>Line and paragraph positional constraints survive permutation baselines.</w:t>
            </w:r>
          </w:p>
        </w:tc>
      </w:tr>
      <w:tr>
        <w:tc>
          <w:tcPr>
            <w:tcW w:type="dxa" w:w="2520"/>
            <w:vAlign w:val="top"/>
          </w:tcPr>
          <w:p>
            <w:pPr>
              <w:jc w:val="left"/>
            </w:pPr>
            <w:r/>
            <w:r>
              <w:rPr>
                <w:rFonts w:ascii="Times New Roman" w:hAnsi="Times New Roman"/>
                <w:b w:val="0"/>
                <w:i w:val="0"/>
                <w:sz w:val="14"/>
              </w:rPr>
              <w:t>Chang 2026b</w:t>
            </w:r>
          </w:p>
        </w:tc>
        <w:tc>
          <w:tcPr>
            <w:tcW w:type="dxa" w:w="2520"/>
            <w:vAlign w:val="top"/>
          </w:tcPr>
          <w:p>
            <w:pPr>
              <w:jc w:val="left"/>
            </w:pPr>
            <w:r/>
            <w:r>
              <w:rPr>
                <w:rFonts w:ascii="Times New Roman" w:hAnsi="Times New Roman"/>
                <w:b w:val="0"/>
                <w:i w:val="0"/>
                <w:sz w:val="14"/>
              </w:rPr>
              <w:t>Predictability</w:t>
            </w:r>
          </w:p>
        </w:tc>
        <w:tc>
          <w:tcPr>
            <w:tcW w:type="dxa" w:w="2520"/>
            <w:vAlign w:val="top"/>
          </w:tcPr>
          <w:p>
            <w:pPr>
              <w:jc w:val="left"/>
            </w:pPr>
            <w:r/>
            <w:r>
              <w:rPr>
                <w:rFonts w:ascii="Times New Roman" w:hAnsi="Times New Roman"/>
                <w:b w:val="0"/>
                <w:i w:val="0"/>
                <w:sz w:val="14"/>
              </w:rPr>
              <w:t>Does Voynich resemble natural language statistically?</w:t>
            </w:r>
          </w:p>
        </w:tc>
        <w:tc>
          <w:tcPr>
            <w:tcW w:type="dxa" w:w="2520"/>
            <w:vAlign w:val="top"/>
          </w:tcPr>
          <w:p>
            <w:pPr>
              <w:jc w:val="left"/>
            </w:pPr>
            <w:r/>
            <w:r>
              <w:rPr>
                <w:rFonts w:ascii="Times New Roman" w:hAnsi="Times New Roman"/>
                <w:b w:val="0"/>
                <w:i w:val="0"/>
                <w:sz w:val="14"/>
              </w:rPr>
              <w:t>Entropy and ambiguity correlations exceed 0.95 while suffix and prefix-family structure diverge.</w:t>
            </w:r>
          </w:p>
        </w:tc>
      </w:tr>
      <w:tr>
        <w:tc>
          <w:tcPr>
            <w:tcW w:type="dxa" w:w="2520"/>
            <w:vAlign w:val="top"/>
          </w:tcPr>
          <w:p>
            <w:pPr>
              <w:jc w:val="left"/>
            </w:pPr>
            <w:r/>
            <w:r>
              <w:rPr>
                <w:rFonts w:ascii="Times New Roman" w:hAnsi="Times New Roman"/>
                <w:b w:val="0"/>
                <w:i w:val="0"/>
                <w:sz w:val="14"/>
              </w:rPr>
              <w:t>Chang 2026c</w:t>
            </w:r>
          </w:p>
        </w:tc>
        <w:tc>
          <w:tcPr>
            <w:tcW w:type="dxa" w:w="2520"/>
            <w:vAlign w:val="top"/>
          </w:tcPr>
          <w:p>
            <w:pPr>
              <w:jc w:val="left"/>
            </w:pPr>
            <w:r/>
            <w:r>
              <w:rPr>
                <w:rFonts w:ascii="Times New Roman" w:hAnsi="Times New Roman"/>
                <w:b w:val="0"/>
                <w:i w:val="0"/>
                <w:sz w:val="14"/>
              </w:rPr>
              <w:t>Token-internal PCS</w:t>
            </w:r>
          </w:p>
        </w:tc>
        <w:tc>
          <w:tcPr>
            <w:tcW w:type="dxa" w:w="2520"/>
            <w:vAlign w:val="top"/>
          </w:tcPr>
          <w:p>
            <w:pPr>
              <w:jc w:val="left"/>
            </w:pPr>
            <w:r/>
            <w:r>
              <w:rPr>
                <w:rFonts w:ascii="Times New Roman" w:hAnsi="Times New Roman"/>
                <w:b w:val="0"/>
                <w:i w:val="0"/>
                <w:sz w:val="14"/>
              </w:rPr>
              <w:t>Are components conditionally dependent?</w:t>
            </w:r>
          </w:p>
        </w:tc>
        <w:tc>
          <w:tcPr>
            <w:tcW w:type="dxa" w:w="2520"/>
            <w:vAlign w:val="top"/>
          </w:tcPr>
          <w:p>
            <w:pPr>
              <w:jc w:val="left"/>
            </w:pPr>
            <w:r/>
            <w:r>
              <w:rPr>
                <w:rFonts w:ascii="Times New Roman" w:hAnsi="Times New Roman"/>
                <w:b w:val="0"/>
                <w:i w:val="0"/>
                <w:sz w:val="14"/>
              </w:rPr>
              <w:t>Suffix is strongly predicted by core: H(suffix|core) = 0.8370; top-1 accuracy = 79.11%.</w:t>
            </w:r>
          </w:p>
        </w:tc>
      </w:tr>
      <w:tr>
        <w:tc>
          <w:tcPr>
            <w:tcW w:type="dxa" w:w="2520"/>
            <w:vAlign w:val="top"/>
          </w:tcPr>
          <w:p>
            <w:pPr>
              <w:jc w:val="left"/>
            </w:pPr>
            <w:r/>
            <w:r>
              <w:rPr>
                <w:rFonts w:ascii="Times New Roman" w:hAnsi="Times New Roman"/>
                <w:b w:val="0"/>
                <w:i w:val="0"/>
                <w:sz w:val="14"/>
              </w:rPr>
              <w:t>Chang 2026d</w:t>
            </w:r>
          </w:p>
        </w:tc>
        <w:tc>
          <w:tcPr>
            <w:tcW w:type="dxa" w:w="2520"/>
            <w:vAlign w:val="top"/>
          </w:tcPr>
          <w:p>
            <w:pPr>
              <w:jc w:val="left"/>
            </w:pPr>
            <w:r/>
            <w:r>
              <w:rPr>
                <w:rFonts w:ascii="Times New Roman" w:hAnsi="Times New Roman"/>
                <w:b w:val="0"/>
                <w:i w:val="0"/>
                <w:sz w:val="14"/>
              </w:rPr>
              <w:t>Token generation</w:t>
            </w:r>
          </w:p>
        </w:tc>
        <w:tc>
          <w:tcPr>
            <w:tcW w:type="dxa" w:w="2520"/>
            <w:vAlign w:val="top"/>
          </w:tcPr>
          <w:p>
            <w:pPr>
              <w:jc w:val="left"/>
            </w:pPr>
            <w:r/>
            <w:r>
              <w:rPr>
                <w:rFonts w:ascii="Times New Roman" w:hAnsi="Times New Roman"/>
                <w:b w:val="0"/>
                <w:i w:val="0"/>
                <w:sz w:val="14"/>
              </w:rPr>
              <w:t>Can PCS reproduce observed tokens?</w:t>
            </w:r>
          </w:p>
        </w:tc>
        <w:tc>
          <w:tcPr>
            <w:tcW w:type="dxa" w:w="2520"/>
            <w:vAlign w:val="top"/>
          </w:tcPr>
          <w:p>
            <w:pPr>
              <w:jc w:val="left"/>
            </w:pPr>
            <w:r/>
            <w:r>
              <w:rPr>
                <w:rFonts w:ascii="Times New Roman" w:hAnsi="Times New Roman"/>
                <w:b w:val="0"/>
                <w:i w:val="0"/>
                <w:sz w:val="14"/>
              </w:rPr>
              <w:t>PCS model achieves 97.02% matching and 85.25% token mass coverage.</w:t>
            </w:r>
          </w:p>
        </w:tc>
      </w:tr>
      <w:tr>
        <w:tc>
          <w:tcPr>
            <w:tcW w:type="dxa" w:w="2520"/>
            <w:vAlign w:val="top"/>
          </w:tcPr>
          <w:p>
            <w:pPr>
              <w:jc w:val="left"/>
            </w:pPr>
            <w:r/>
            <w:r>
              <w:rPr>
                <w:rFonts w:ascii="Times New Roman" w:hAnsi="Times New Roman"/>
                <w:b w:val="0"/>
                <w:i w:val="0"/>
                <w:sz w:val="14"/>
              </w:rPr>
              <w:t>Chang 2026e</w:t>
            </w:r>
          </w:p>
        </w:tc>
        <w:tc>
          <w:tcPr>
            <w:tcW w:type="dxa" w:w="2520"/>
            <w:vAlign w:val="top"/>
          </w:tcPr>
          <w:p>
            <w:pPr>
              <w:jc w:val="left"/>
            </w:pPr>
            <w:r/>
            <w:r>
              <w:rPr>
                <w:rFonts w:ascii="Times New Roman" w:hAnsi="Times New Roman"/>
                <w:b w:val="0"/>
                <w:i w:val="0"/>
                <w:sz w:val="14"/>
              </w:rPr>
              <w:t>Inter-token arrangement</w:t>
            </w:r>
          </w:p>
        </w:tc>
        <w:tc>
          <w:tcPr>
            <w:tcW w:type="dxa" w:w="2520"/>
            <w:vAlign w:val="top"/>
          </w:tcPr>
          <w:p>
            <w:pPr>
              <w:jc w:val="left"/>
            </w:pPr>
            <w:r/>
            <w:r>
              <w:rPr>
                <w:rFonts w:ascii="Times New Roman" w:hAnsi="Times New Roman"/>
                <w:b w:val="0"/>
                <w:i w:val="0"/>
                <w:sz w:val="14"/>
              </w:rPr>
              <w:t>Is local token order non-random?</w:t>
            </w:r>
          </w:p>
        </w:tc>
        <w:tc>
          <w:tcPr>
            <w:tcW w:type="dxa" w:w="2520"/>
            <w:vAlign w:val="top"/>
          </w:tcPr>
          <w:p>
            <w:pPr>
              <w:jc w:val="left"/>
            </w:pPr>
            <w:r/>
            <w:r>
              <w:rPr>
                <w:rFonts w:ascii="Times New Roman" w:hAnsi="Times New Roman"/>
                <w:b w:val="0"/>
                <w:i w:val="0"/>
                <w:sz w:val="14"/>
              </w:rPr>
              <w:t>Real sequences show lower entropy, higher prediction accuracy, and local family clustering.</w:t>
            </w:r>
          </w:p>
        </w:tc>
      </w:tr>
    </w:tbl>
    <w:p/>
    <w:p>
      <w:pPr>
        <w:spacing w:after="160"/>
      </w:pPr>
      <w:r>
        <w:rPr>
          <w:rFonts w:ascii="Times New Roman" w:hAnsi="Times New Roman"/>
          <w:i/>
          <w:sz w:val="18"/>
        </w:rPr>
        <w:t>Table 1. Overview of the five component studies. Each study tests a distinct structural level rather than repeating a single global non-randomness claim.</w:t>
      </w:r>
    </w:p>
    <w:p>
      <w:pPr>
        <w:pStyle w:val="Heading1"/>
      </w:pPr>
      <w:r>
        <w:rPr>
          <w:rFonts w:ascii="Times New Roman" w:hAnsi="Times New Roman"/>
          <w:b/>
        </w:rPr>
        <w:t>5. Methods</w:t>
      </w:r>
    </w:p>
    <w:p>
      <w:pPr>
        <w:spacing w:after="120" w:line="252" w:lineRule="auto"/>
      </w:pPr>
      <w:r>
        <w:rPr>
          <w:rFonts w:ascii="Times New Roman" w:hAnsi="Times New Roman"/>
          <w:b w:val="0"/>
          <w:i w:val="0"/>
          <w:sz w:val="22"/>
        </w:rPr>
        <w:t>Tables 2 and 3 summarize the methodological design across the five component studies. The first table isolates corpus scope and preprocessing decisions, while the second table summarizes metrics, baselines, statistical tests, and primary outputs.</w:t>
      </w:r>
    </w:p>
    <w:p>
      <w:pPr>
        <w:pStyle w:val="Heading2"/>
      </w:pPr>
      <w:r>
        <w:rPr>
          <w:rFonts w:ascii="Times New Roman" w:hAnsi="Times New Roman"/>
          <w:b/>
        </w:rPr>
        <w:t>Table 2. Methods: Corpus and Preprocessing</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D9D9"/>
          </w:tcPr>
          <w:p>
            <w:pPr>
              <w:jc w:val="left"/>
            </w:pPr>
            <w:r/>
            <w:r>
              <w:rPr>
                <w:rFonts w:ascii="Times New Roman" w:hAnsi="Times New Roman"/>
                <w:b/>
                <w:i w:val="0"/>
                <w:sz w:val="14"/>
              </w:rPr>
              <w:t>Study</w:t>
            </w:r>
          </w:p>
        </w:tc>
        <w:tc>
          <w:tcPr>
            <w:tcW w:type="dxa" w:w="3360"/>
            <w:vAlign w:val="top"/>
            <w:shd w:fill="D9D9D9"/>
          </w:tcPr>
          <w:p>
            <w:pPr>
              <w:jc w:val="left"/>
            </w:pPr>
            <w:r/>
            <w:r>
              <w:rPr>
                <w:rFonts w:ascii="Times New Roman" w:hAnsi="Times New Roman"/>
                <w:b/>
                <w:i w:val="0"/>
                <w:sz w:val="14"/>
              </w:rPr>
              <w:t>Corpus / subset</w:t>
            </w:r>
          </w:p>
        </w:tc>
        <w:tc>
          <w:tcPr>
            <w:tcW w:type="dxa" w:w="3360"/>
            <w:vAlign w:val="top"/>
            <w:shd w:fill="D9D9D9"/>
          </w:tcPr>
          <w:p>
            <w:pPr>
              <w:jc w:val="left"/>
            </w:pPr>
            <w:r/>
            <w:r>
              <w:rPr>
                <w:rFonts w:ascii="Times New Roman" w:hAnsi="Times New Roman"/>
                <w:b/>
                <w:i w:val="0"/>
                <w:sz w:val="14"/>
              </w:rPr>
              <w:t>Preprocessing rule</w:t>
            </w:r>
          </w:p>
        </w:tc>
      </w:tr>
      <w:tr>
        <w:tc>
          <w:tcPr>
            <w:tcW w:type="dxa" w:w="3360"/>
            <w:vAlign w:val="top"/>
          </w:tcPr>
          <w:p>
            <w:pPr>
              <w:jc w:val="left"/>
            </w:pPr>
            <w:r/>
            <w:r>
              <w:rPr>
                <w:rFonts w:ascii="Times New Roman" w:hAnsi="Times New Roman"/>
                <w:b w:val="0"/>
                <w:i w:val="0"/>
                <w:sz w:val="14"/>
              </w:rPr>
              <w:t>Chang 2026a</w:t>
            </w:r>
          </w:p>
        </w:tc>
        <w:tc>
          <w:tcPr>
            <w:tcW w:type="dxa" w:w="3360"/>
            <w:vAlign w:val="top"/>
          </w:tcPr>
          <w:p>
            <w:pPr>
              <w:jc w:val="left"/>
            </w:pPr>
            <w:r/>
            <w:r>
              <w:rPr>
                <w:rFonts w:ascii="Times New Roman" w:hAnsi="Times New Roman"/>
                <w:b w:val="0"/>
                <w:i w:val="0"/>
                <w:sz w:val="14"/>
              </w:rPr>
              <w:t>Line- and paragraph-aware ZL3b EVA transcription subset.</w:t>
            </w:r>
          </w:p>
        </w:tc>
        <w:tc>
          <w:tcPr>
            <w:tcW w:type="dxa" w:w="3360"/>
            <w:vAlign w:val="top"/>
          </w:tcPr>
          <w:p>
            <w:pPr>
              <w:jc w:val="left"/>
            </w:pPr>
            <w:r/>
            <w:r>
              <w:rPr>
                <w:rFonts w:ascii="Times New Roman" w:hAnsi="Times New Roman"/>
                <w:b w:val="0"/>
                <w:i w:val="0"/>
                <w:sz w:val="14"/>
              </w:rPr>
              <w:t>Preserves line and paragraph position; parses line-initial, line-final, and paragraph-initial contexts.</w:t>
            </w:r>
          </w:p>
        </w:tc>
      </w:tr>
      <w:tr>
        <w:tc>
          <w:tcPr>
            <w:tcW w:type="dxa" w:w="3360"/>
            <w:vAlign w:val="top"/>
          </w:tcPr>
          <w:p>
            <w:pPr>
              <w:jc w:val="left"/>
            </w:pPr>
            <w:r/>
            <w:r>
              <w:rPr>
                <w:rFonts w:ascii="Times New Roman" w:hAnsi="Times New Roman"/>
                <w:b w:val="0"/>
                <w:i w:val="0"/>
                <w:sz w:val="14"/>
              </w:rPr>
              <w:t>Chang 2026b</w:t>
            </w:r>
          </w:p>
        </w:tc>
        <w:tc>
          <w:tcPr>
            <w:tcW w:type="dxa" w:w="3360"/>
            <w:vAlign w:val="top"/>
          </w:tcPr>
          <w:p>
            <w:pPr>
              <w:jc w:val="left"/>
            </w:pPr>
            <w:r/>
            <w:r>
              <w:rPr>
                <w:rFonts w:ascii="Times New Roman" w:hAnsi="Times New Roman"/>
                <w:b w:val="0"/>
                <w:i w:val="0"/>
                <w:sz w:val="14"/>
              </w:rPr>
              <w:t>Voynich ZL3b plus English, Latin, synthetic n-gram, and JSON/structured comparison datasets.</w:t>
            </w:r>
          </w:p>
        </w:tc>
        <w:tc>
          <w:tcPr>
            <w:tcW w:type="dxa" w:w="3360"/>
            <w:vAlign w:val="top"/>
          </w:tcPr>
          <w:p>
            <w:pPr>
              <w:jc w:val="left"/>
            </w:pPr>
            <w:r/>
            <w:r>
              <w:rPr>
                <w:rFonts w:ascii="Times New Roman" w:hAnsi="Times New Roman"/>
                <w:b w:val="0"/>
                <w:i w:val="0"/>
                <w:sz w:val="14"/>
              </w:rPr>
              <w:t>Size-matched comparison; shared normalization; robustness checks where available.</w:t>
            </w:r>
          </w:p>
        </w:tc>
      </w:tr>
      <w:tr>
        <w:tc>
          <w:tcPr>
            <w:tcW w:type="dxa" w:w="3360"/>
            <w:vAlign w:val="top"/>
          </w:tcPr>
          <w:p>
            <w:pPr>
              <w:jc w:val="left"/>
            </w:pPr>
            <w:r/>
            <w:r>
              <w:rPr>
                <w:rFonts w:ascii="Times New Roman" w:hAnsi="Times New Roman"/>
                <w:b w:val="0"/>
                <w:i w:val="0"/>
                <w:sz w:val="14"/>
              </w:rPr>
              <w:t>Chang 2026c</w:t>
            </w:r>
          </w:p>
        </w:tc>
        <w:tc>
          <w:tcPr>
            <w:tcW w:type="dxa" w:w="3360"/>
            <w:vAlign w:val="top"/>
          </w:tcPr>
          <w:p>
            <w:pPr>
              <w:jc w:val="left"/>
            </w:pPr>
            <w:r/>
            <w:r>
              <w:rPr>
                <w:rFonts w:ascii="Times New Roman" w:hAnsi="Times New Roman"/>
                <w:b w:val="0"/>
                <w:i w:val="0"/>
                <w:sz w:val="14"/>
              </w:rPr>
              <w:t>ZL3b tokens suitable for PCS segmentation.</w:t>
            </w:r>
          </w:p>
        </w:tc>
        <w:tc>
          <w:tcPr>
            <w:tcW w:type="dxa" w:w="3360"/>
            <w:vAlign w:val="top"/>
          </w:tcPr>
          <w:p>
            <w:pPr>
              <w:jc w:val="left"/>
            </w:pPr>
            <w:r/>
            <w:r>
              <w:rPr>
                <w:rFonts w:ascii="Times New Roman" w:hAnsi="Times New Roman"/>
                <w:b w:val="0"/>
                <w:i w:val="0"/>
                <w:sz w:val="14"/>
              </w:rPr>
              <w:t>Prefix length 2, suffix length 1, core as middle component; tokens with empty core excluded.</w:t>
            </w:r>
          </w:p>
        </w:tc>
      </w:tr>
      <w:tr>
        <w:tc>
          <w:tcPr>
            <w:tcW w:type="dxa" w:w="3360"/>
            <w:vAlign w:val="top"/>
          </w:tcPr>
          <w:p>
            <w:pPr>
              <w:jc w:val="left"/>
            </w:pPr>
            <w:r/>
            <w:r>
              <w:rPr>
                <w:rFonts w:ascii="Times New Roman" w:hAnsi="Times New Roman"/>
                <w:b w:val="0"/>
                <w:i w:val="0"/>
                <w:sz w:val="14"/>
              </w:rPr>
              <w:t>Chang 2026d</w:t>
            </w:r>
          </w:p>
        </w:tc>
        <w:tc>
          <w:tcPr>
            <w:tcW w:type="dxa" w:w="3360"/>
            <w:vAlign w:val="top"/>
          </w:tcPr>
          <w:p>
            <w:pPr>
              <w:jc w:val="left"/>
            </w:pPr>
            <w:r/>
            <w:r>
              <w:rPr>
                <w:rFonts w:ascii="Times New Roman" w:hAnsi="Times New Roman"/>
                <w:b w:val="0"/>
                <w:i w:val="0"/>
                <w:sz w:val="14"/>
              </w:rPr>
              <w:t>ZL3b token-generation corpus and PCS component inventory.</w:t>
            </w:r>
          </w:p>
        </w:tc>
        <w:tc>
          <w:tcPr>
            <w:tcW w:type="dxa" w:w="3360"/>
            <w:vAlign w:val="top"/>
          </w:tcPr>
          <w:p>
            <w:pPr>
              <w:jc w:val="left"/>
            </w:pPr>
            <w:r/>
            <w:r>
              <w:rPr>
                <w:rFonts w:ascii="Times New Roman" w:hAnsi="Times New Roman"/>
                <w:b w:val="0"/>
                <w:i w:val="0"/>
                <w:sz w:val="14"/>
              </w:rPr>
              <w:t>Operational PCS extraction; fixed-length segmentation variants; train/test holdout splits.</w:t>
            </w:r>
          </w:p>
        </w:tc>
      </w:tr>
      <w:tr>
        <w:tc>
          <w:tcPr>
            <w:tcW w:type="dxa" w:w="3360"/>
            <w:vAlign w:val="top"/>
          </w:tcPr>
          <w:p>
            <w:pPr>
              <w:jc w:val="left"/>
            </w:pPr>
            <w:r/>
            <w:r>
              <w:rPr>
                <w:rFonts w:ascii="Times New Roman" w:hAnsi="Times New Roman"/>
                <w:b w:val="0"/>
                <w:i w:val="0"/>
                <w:sz w:val="14"/>
              </w:rPr>
              <w:t>Chang 2026e</w:t>
            </w:r>
          </w:p>
        </w:tc>
        <w:tc>
          <w:tcPr>
            <w:tcW w:type="dxa" w:w="3360"/>
            <w:vAlign w:val="top"/>
          </w:tcPr>
          <w:p>
            <w:pPr>
              <w:jc w:val="left"/>
            </w:pPr>
            <w:r/>
            <w:r>
              <w:rPr>
                <w:rFonts w:ascii="Times New Roman" w:hAnsi="Times New Roman"/>
                <w:b w:val="0"/>
                <w:i w:val="0"/>
                <w:sz w:val="14"/>
              </w:rPr>
              <w:t>Line-preserving ZL3b corpus: 23,753 tokens, 12,688 types, 8,510 lines.</w:t>
            </w:r>
          </w:p>
        </w:tc>
        <w:tc>
          <w:tcPr>
            <w:tcW w:type="dxa" w:w="3360"/>
            <w:vAlign w:val="top"/>
          </w:tcPr>
          <w:p>
            <w:pPr>
              <w:jc w:val="left"/>
            </w:pPr>
            <w:r/>
            <w:r>
              <w:rPr>
                <w:rFonts w:ascii="Times New Roman" w:hAnsi="Times New Roman"/>
                <w:b w:val="0"/>
                <w:i w:val="0"/>
                <w:sz w:val="14"/>
              </w:rPr>
              <w:t>Preserves token order and line boundaries; uses PCS segmentations and morphological families where available.</w:t>
            </w:r>
          </w:p>
        </w:tc>
      </w:tr>
    </w:tbl>
    <w:p/>
    <w:p>
      <w:pPr>
        <w:spacing w:after="160"/>
      </w:pPr>
      <w:r>
        <w:rPr>
          <w:rFonts w:ascii="Times New Roman" w:hAnsi="Times New Roman"/>
          <w:i/>
          <w:sz w:val="18"/>
        </w:rPr>
        <w:t>Table 2. Methods summary: corpus and preprocessing. The table separates corpus scope and preprocessing rules because the component studies use task-specific working subsets.</w:t>
      </w:r>
    </w:p>
    <w:p>
      <w:pPr>
        <w:pStyle w:val="Heading2"/>
      </w:pPr>
      <w:r>
        <w:rPr>
          <w:rFonts w:ascii="Times New Roman" w:hAnsi="Times New Roman"/>
          <w:b/>
        </w:rPr>
        <w:t>Table 3. Methods: Analytical Design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D9D9"/>
          </w:tcPr>
          <w:p>
            <w:pPr>
              <w:jc w:val="left"/>
            </w:pPr>
            <w:r/>
            <w:r>
              <w:rPr>
                <w:rFonts w:ascii="Times New Roman" w:hAnsi="Times New Roman"/>
                <w:b/>
                <w:i w:val="0"/>
                <w:sz w:val="13"/>
              </w:rPr>
              <w:t>Study</w:t>
            </w:r>
          </w:p>
        </w:tc>
        <w:tc>
          <w:tcPr>
            <w:tcW w:type="dxa" w:w="2520"/>
            <w:vAlign w:val="top"/>
            <w:shd w:fill="D9D9D9"/>
          </w:tcPr>
          <w:p>
            <w:pPr>
              <w:jc w:val="left"/>
            </w:pPr>
            <w:r/>
            <w:r>
              <w:rPr>
                <w:rFonts w:ascii="Times New Roman" w:hAnsi="Times New Roman"/>
                <w:b/>
                <w:i w:val="0"/>
                <w:sz w:val="13"/>
              </w:rPr>
              <w:t>Main metrics</w:t>
            </w:r>
          </w:p>
        </w:tc>
        <w:tc>
          <w:tcPr>
            <w:tcW w:type="dxa" w:w="2520"/>
            <w:vAlign w:val="top"/>
            <w:shd w:fill="D9D9D9"/>
          </w:tcPr>
          <w:p>
            <w:pPr>
              <w:jc w:val="left"/>
            </w:pPr>
            <w:r/>
            <w:r>
              <w:rPr>
                <w:rFonts w:ascii="Times New Roman" w:hAnsi="Times New Roman"/>
                <w:b/>
                <w:i w:val="0"/>
                <w:sz w:val="13"/>
              </w:rPr>
              <w:t>Baselines / statistical tests</w:t>
            </w:r>
          </w:p>
        </w:tc>
        <w:tc>
          <w:tcPr>
            <w:tcW w:type="dxa" w:w="2520"/>
            <w:vAlign w:val="top"/>
            <w:shd w:fill="D9D9D9"/>
          </w:tcPr>
          <w:p>
            <w:pPr>
              <w:jc w:val="left"/>
            </w:pPr>
            <w:r/>
            <w:r>
              <w:rPr>
                <w:rFonts w:ascii="Times New Roman" w:hAnsi="Times New Roman"/>
                <w:b/>
                <w:i w:val="0"/>
                <w:sz w:val="13"/>
              </w:rPr>
              <w:t>Primary output</w:t>
            </w:r>
          </w:p>
        </w:tc>
      </w:tr>
      <w:tr>
        <w:tc>
          <w:tcPr>
            <w:tcW w:type="dxa" w:w="2520"/>
            <w:vAlign w:val="top"/>
          </w:tcPr>
          <w:p>
            <w:pPr>
              <w:jc w:val="left"/>
            </w:pPr>
            <w:r/>
            <w:r>
              <w:rPr>
                <w:rFonts w:ascii="Times New Roman" w:hAnsi="Times New Roman"/>
                <w:b w:val="0"/>
                <w:i w:val="0"/>
                <w:sz w:val="13"/>
              </w:rPr>
              <w:t>Chang 2026a</w:t>
            </w:r>
          </w:p>
        </w:tc>
        <w:tc>
          <w:tcPr>
            <w:tcW w:type="dxa" w:w="2520"/>
            <w:vAlign w:val="top"/>
          </w:tcPr>
          <w:p>
            <w:pPr>
              <w:jc w:val="left"/>
            </w:pPr>
            <w:r/>
            <w:r>
              <w:rPr>
                <w:rFonts w:ascii="Times New Roman" w:hAnsi="Times New Roman"/>
                <w:b w:val="0"/>
                <w:i w:val="0"/>
                <w:sz w:val="13"/>
              </w:rPr>
              <w:t>dshedy line-initial bias; p/t/k paragraph-initial concentration; am-class line-final bias.</w:t>
            </w:r>
          </w:p>
        </w:tc>
        <w:tc>
          <w:tcPr>
            <w:tcW w:type="dxa" w:w="2520"/>
            <w:vAlign w:val="top"/>
          </w:tcPr>
          <w:p>
            <w:pPr>
              <w:jc w:val="left"/>
            </w:pPr>
            <w:r/>
            <w:r>
              <w:rPr>
                <w:rFonts w:ascii="Times New Roman" w:hAnsi="Times New Roman"/>
                <w:b w:val="0"/>
                <w:i w:val="0"/>
                <w:sz w:val="13"/>
              </w:rPr>
              <w:t>Global token shuffle; line-internal shuffle; position-restricted shuffle; permutation trials N = 1,000.</w:t>
            </w:r>
          </w:p>
        </w:tc>
        <w:tc>
          <w:tcPr>
            <w:tcW w:type="dxa" w:w="2520"/>
            <w:vAlign w:val="top"/>
          </w:tcPr>
          <w:p>
            <w:pPr>
              <w:jc w:val="left"/>
            </w:pPr>
            <w:r/>
            <w:r>
              <w:rPr>
                <w:rFonts w:ascii="Times New Roman" w:hAnsi="Times New Roman"/>
                <w:b w:val="0"/>
                <w:i w:val="0"/>
                <w:sz w:val="13"/>
              </w:rPr>
              <w:t>Position-specific constraint evidence with empirical p-value framework.</w:t>
            </w:r>
          </w:p>
        </w:tc>
      </w:tr>
      <w:tr>
        <w:tc>
          <w:tcPr>
            <w:tcW w:type="dxa" w:w="2520"/>
            <w:vAlign w:val="top"/>
          </w:tcPr>
          <w:p>
            <w:pPr>
              <w:jc w:val="left"/>
            </w:pPr>
            <w:r/>
            <w:r>
              <w:rPr>
                <w:rFonts w:ascii="Times New Roman" w:hAnsi="Times New Roman"/>
                <w:b w:val="0"/>
                <w:i w:val="0"/>
                <w:sz w:val="13"/>
              </w:rPr>
              <w:t>Chang 2026b</w:t>
            </w:r>
          </w:p>
        </w:tc>
        <w:tc>
          <w:tcPr>
            <w:tcW w:type="dxa" w:w="2520"/>
            <w:vAlign w:val="top"/>
          </w:tcPr>
          <w:p>
            <w:pPr>
              <w:jc w:val="left"/>
            </w:pPr>
            <w:r/>
            <w:r>
              <w:rPr>
                <w:rFonts w:ascii="Times New Roman" w:hAnsi="Times New Roman"/>
                <w:b w:val="0"/>
                <w:i w:val="0"/>
                <w:sz w:val="13"/>
              </w:rPr>
              <w:t>Entropy decay; ambiguity persistence; prefix-family overlap; suffix distribution concentration.</w:t>
            </w:r>
          </w:p>
        </w:tc>
        <w:tc>
          <w:tcPr>
            <w:tcW w:type="dxa" w:w="2520"/>
            <w:vAlign w:val="top"/>
          </w:tcPr>
          <w:p>
            <w:pPr>
              <w:jc w:val="left"/>
            </w:pPr>
            <w:r/>
            <w:r>
              <w:rPr>
                <w:rFonts w:ascii="Times New Roman" w:hAnsi="Times New Roman"/>
                <w:b w:val="0"/>
                <w:i w:val="0"/>
                <w:sz w:val="13"/>
              </w:rPr>
              <w:t>Frequency-preserving shuffle; length-preserving randomization; prefix-preserving/global suffix model; size-matched bootstrap/permutation where specified.</w:t>
            </w:r>
          </w:p>
        </w:tc>
        <w:tc>
          <w:tcPr>
            <w:tcW w:type="dxa" w:w="2520"/>
            <w:vAlign w:val="top"/>
          </w:tcPr>
          <w:p>
            <w:pPr>
              <w:jc w:val="left"/>
            </w:pPr>
            <w:r/>
            <w:r>
              <w:rPr>
                <w:rFonts w:ascii="Times New Roman" w:hAnsi="Times New Roman"/>
                <w:b w:val="0"/>
                <w:i w:val="0"/>
                <w:sz w:val="13"/>
              </w:rPr>
              <w:t>Comparative evidence for language-like predictability and structural divergence.</w:t>
            </w:r>
          </w:p>
        </w:tc>
      </w:tr>
      <w:tr>
        <w:tc>
          <w:tcPr>
            <w:tcW w:type="dxa" w:w="2520"/>
            <w:vAlign w:val="top"/>
          </w:tcPr>
          <w:p>
            <w:pPr>
              <w:jc w:val="left"/>
            </w:pPr>
            <w:r/>
            <w:r>
              <w:rPr>
                <w:rFonts w:ascii="Times New Roman" w:hAnsi="Times New Roman"/>
                <w:b w:val="0"/>
                <w:i w:val="0"/>
                <w:sz w:val="13"/>
              </w:rPr>
              <w:t>Chang 2026c</w:t>
            </w:r>
          </w:p>
        </w:tc>
        <w:tc>
          <w:tcPr>
            <w:tcW w:type="dxa" w:w="2520"/>
            <w:vAlign w:val="top"/>
          </w:tcPr>
          <w:p>
            <w:pPr>
              <w:jc w:val="left"/>
            </w:pPr>
            <w:r/>
            <w:r>
              <w:rPr>
                <w:rFonts w:ascii="Times New Roman" w:hAnsi="Times New Roman"/>
                <w:b w:val="0"/>
                <w:i w:val="0"/>
                <w:sz w:val="13"/>
              </w:rPr>
              <w:t>Mutual information; conditional entropy; top-1/top-3 prediction accuracy; structure-break tests.</w:t>
            </w:r>
          </w:p>
        </w:tc>
        <w:tc>
          <w:tcPr>
            <w:tcW w:type="dxa" w:w="2520"/>
            <w:vAlign w:val="top"/>
          </w:tcPr>
          <w:p>
            <w:pPr>
              <w:jc w:val="left"/>
            </w:pPr>
            <w:r/>
            <w:r>
              <w:rPr>
                <w:rFonts w:ascii="Times New Roman" w:hAnsi="Times New Roman"/>
                <w:b w:val="0"/>
                <w:i w:val="0"/>
                <w:sz w:val="13"/>
              </w:rPr>
              <w:t>Character-shuffled and n-gram baselines; shuffle_cores_only, shuffle_suffixes_only, shuffle_prefixes_only perturbations.</w:t>
            </w:r>
          </w:p>
        </w:tc>
        <w:tc>
          <w:tcPr>
            <w:tcW w:type="dxa" w:w="2520"/>
            <w:vAlign w:val="top"/>
          </w:tcPr>
          <w:p>
            <w:pPr>
              <w:jc w:val="left"/>
            </w:pPr>
            <w:r/>
            <w:r>
              <w:rPr>
                <w:rFonts w:ascii="Times New Roman" w:hAnsi="Times New Roman"/>
                <w:b w:val="0"/>
                <w:i w:val="0"/>
                <w:sz w:val="13"/>
              </w:rPr>
              <w:t>Asymmetric PCS dependency, especially H(suffix|core).</w:t>
            </w:r>
          </w:p>
        </w:tc>
      </w:tr>
      <w:tr>
        <w:tc>
          <w:tcPr>
            <w:tcW w:type="dxa" w:w="2520"/>
            <w:vAlign w:val="top"/>
          </w:tcPr>
          <w:p>
            <w:pPr>
              <w:jc w:val="left"/>
            </w:pPr>
            <w:r/>
            <w:r>
              <w:rPr>
                <w:rFonts w:ascii="Times New Roman" w:hAnsi="Times New Roman"/>
                <w:b w:val="0"/>
                <w:i w:val="0"/>
                <w:sz w:val="13"/>
              </w:rPr>
              <w:t>Chang 2026d</w:t>
            </w:r>
          </w:p>
        </w:tc>
        <w:tc>
          <w:tcPr>
            <w:tcW w:type="dxa" w:w="2520"/>
            <w:vAlign w:val="top"/>
          </w:tcPr>
          <w:p>
            <w:pPr>
              <w:jc w:val="left"/>
            </w:pPr>
            <w:r/>
            <w:r>
              <w:rPr>
                <w:rFonts w:ascii="Times New Roman" w:hAnsi="Times New Roman"/>
                <w:b w:val="0"/>
                <w:i w:val="0"/>
                <w:sz w:val="13"/>
              </w:rPr>
              <w:t>Matching rate; token mass coverage; Zipf slope difference; H(suffix|core); compression ratio; morphological families.</w:t>
            </w:r>
          </w:p>
        </w:tc>
        <w:tc>
          <w:tcPr>
            <w:tcW w:type="dxa" w:w="2520"/>
            <w:vAlign w:val="top"/>
          </w:tcPr>
          <w:p>
            <w:pPr>
              <w:jc w:val="left"/>
            </w:pPr>
            <w:r/>
            <w:r>
              <w:rPr>
                <w:rFonts w:ascii="Times New Roman" w:hAnsi="Times New Roman"/>
                <w:b w:val="0"/>
                <w:i w:val="0"/>
                <w:sz w:val="13"/>
              </w:rPr>
              <w:t>Random and shuffled baselines; fixed-length segmentation experiments; bootstrap validation; holdout splits 80/20, 70/30, 50/50.</w:t>
            </w:r>
          </w:p>
        </w:tc>
        <w:tc>
          <w:tcPr>
            <w:tcW w:type="dxa" w:w="2520"/>
            <w:vAlign w:val="top"/>
          </w:tcPr>
          <w:p>
            <w:pPr>
              <w:jc w:val="left"/>
            </w:pPr>
            <w:r/>
            <w:r>
              <w:rPr>
                <w:rFonts w:ascii="Times New Roman" w:hAnsi="Times New Roman"/>
                <w:b w:val="0"/>
                <w:i w:val="0"/>
                <w:sz w:val="13"/>
              </w:rPr>
              <w:t>PCS token-generation performance and robustness validation.</w:t>
            </w:r>
          </w:p>
        </w:tc>
      </w:tr>
      <w:tr>
        <w:tc>
          <w:tcPr>
            <w:tcW w:type="dxa" w:w="2520"/>
            <w:vAlign w:val="top"/>
          </w:tcPr>
          <w:p>
            <w:pPr>
              <w:jc w:val="left"/>
            </w:pPr>
            <w:r/>
            <w:r>
              <w:rPr>
                <w:rFonts w:ascii="Times New Roman" w:hAnsi="Times New Roman"/>
                <w:b w:val="0"/>
                <w:i w:val="0"/>
                <w:sz w:val="13"/>
              </w:rPr>
              <w:t>Chang 2026e</w:t>
            </w:r>
          </w:p>
        </w:tc>
        <w:tc>
          <w:tcPr>
            <w:tcW w:type="dxa" w:w="2520"/>
            <w:vAlign w:val="top"/>
          </w:tcPr>
          <w:p>
            <w:pPr>
              <w:jc w:val="left"/>
            </w:pPr>
            <w:r/>
            <w:r>
              <w:rPr>
                <w:rFonts w:ascii="Times New Roman" w:hAnsi="Times New Roman"/>
                <w:b w:val="0"/>
                <w:i w:val="0"/>
                <w:sz w:val="13"/>
              </w:rPr>
              <w:t>Bigram/trigram entropy; next-token top-1/top-3; PCS transition entropy; line-boundary chi-square; family distance.</w:t>
            </w:r>
          </w:p>
        </w:tc>
        <w:tc>
          <w:tcPr>
            <w:tcW w:type="dxa" w:w="2520"/>
            <w:vAlign w:val="top"/>
          </w:tcPr>
          <w:p>
            <w:pPr>
              <w:jc w:val="left"/>
            </w:pPr>
            <w:r/>
            <w:r>
              <w:rPr>
                <w:rFonts w:ascii="Times New Roman" w:hAnsi="Times New Roman"/>
                <w:b w:val="0"/>
                <w:i w:val="0"/>
                <w:sz w:val="13"/>
              </w:rPr>
              <w:t>Full shuffle; frequency-preserving shuffle; line-internal shuffle; N = 1,000 where computationally feasible.</w:t>
            </w:r>
          </w:p>
        </w:tc>
        <w:tc>
          <w:tcPr>
            <w:tcW w:type="dxa" w:w="2520"/>
            <w:vAlign w:val="top"/>
          </w:tcPr>
          <w:p>
            <w:pPr>
              <w:jc w:val="left"/>
            </w:pPr>
            <w:r/>
            <w:r>
              <w:rPr>
                <w:rFonts w:ascii="Times New Roman" w:hAnsi="Times New Roman"/>
                <w:b w:val="0"/>
                <w:i w:val="0"/>
                <w:sz w:val="13"/>
              </w:rPr>
              <w:t>Evidence for non-random inter-token arrangement and line-level organization.</w:t>
            </w:r>
          </w:p>
        </w:tc>
      </w:tr>
    </w:tbl>
    <w:p/>
    <w:p>
      <w:pPr>
        <w:spacing w:after="160"/>
      </w:pPr>
      <w:r>
        <w:rPr>
          <w:rFonts w:ascii="Times New Roman" w:hAnsi="Times New Roman"/>
          <w:i/>
          <w:sz w:val="18"/>
        </w:rPr>
        <w:t>Table 3. Methods summary: analytical design. Baselines and tests are listed compactly; detailed reproduction materials are linked through the component package DOI records.</w:t>
      </w:r>
    </w:p>
    <w:p>
      <w:pPr>
        <w:pStyle w:val="Heading2"/>
      </w:pPr>
      <w:r>
        <w:rPr>
          <w:rFonts w:ascii="Times New Roman" w:hAnsi="Times New Roman"/>
          <w:b/>
        </w:rPr>
        <w:t>5.1 Positional constraint testing</w:t>
      </w:r>
    </w:p>
    <w:p>
      <w:pPr>
        <w:spacing w:after="120" w:line="252" w:lineRule="auto"/>
      </w:pPr>
      <w:r>
        <w:rPr>
          <w:rFonts w:ascii="Times New Roman" w:hAnsi="Times New Roman"/>
          <w:b w:val="0"/>
          <w:i w:val="0"/>
          <w:sz w:val="22"/>
        </w:rPr>
        <w:t>The positional study tested three pre-specified effects: a line-initial bias for the token dshedy, a paragraph-initial concentration of p/t/k initials, and a line-final bias for the am-class token set. These effects were evaluated under global token shuffle, line-internal shuffle, and position-restricted null models. Empirical p-values were computed using permutation tests.</w:t>
      </w:r>
    </w:p>
    <w:p>
      <w:pPr>
        <w:spacing w:after="120" w:line="252" w:lineRule="auto"/>
      </w:pPr>
      <w:r>
        <w:rPr>
          <w:rFonts w:ascii="Times New Roman" w:hAnsi="Times New Roman"/>
          <w:b w:val="0"/>
          <w:i w:val="0"/>
          <w:sz w:val="22"/>
        </w:rPr>
        <w:t>The key methodological feature is that the null models become progressively stricter. The line-internal shuffle preserves line-level lexical composition while disrupting positional order, and the position-restricted model controls for generic line-initial effects when testing paragraph-initial concentration.</w:t>
      </w:r>
    </w:p>
    <w:p>
      <w:pPr>
        <w:pStyle w:val="Heading2"/>
      </w:pPr>
      <w:r>
        <w:rPr>
          <w:rFonts w:ascii="Times New Roman" w:hAnsi="Times New Roman"/>
          <w:b/>
        </w:rPr>
        <w:t>5.2 Comparative predictability analysis</w:t>
      </w:r>
    </w:p>
    <w:p>
      <w:pPr>
        <w:spacing w:after="120" w:line="252" w:lineRule="auto"/>
      </w:pPr>
      <w:r>
        <w:rPr>
          <w:rFonts w:ascii="Times New Roman" w:hAnsi="Times New Roman"/>
          <w:b w:val="0"/>
          <w:i w:val="0"/>
          <w:sz w:val="22"/>
        </w:rPr>
        <w:t>The comparative study evaluated entropy decay, ambiguity persistence, and prefix-family distributions across Voynich, English, Latin, synthetic n-gram text, and structured data. Baseline corpora were size-matched and processed under comparable tokenization procedures. The analysis tested whether Voynich predictability resembles natural language and whether simple null models reproduce its ambiguity behavior.</w:t>
      </w:r>
    </w:p>
    <w:p>
      <w:pPr>
        <w:pStyle w:val="Heading2"/>
      </w:pPr>
      <w:r>
        <w:rPr>
          <w:rFonts w:ascii="Times New Roman" w:hAnsi="Times New Roman"/>
          <w:b/>
        </w:rPr>
        <w:t>5.3 Prefix-core-suffix conditional analysis</w:t>
      </w:r>
    </w:p>
    <w:p>
      <w:pPr>
        <w:spacing w:after="120" w:line="252" w:lineRule="auto"/>
      </w:pPr>
      <w:r>
        <w:rPr>
          <w:rFonts w:ascii="Times New Roman" w:hAnsi="Times New Roman"/>
          <w:b w:val="0"/>
          <w:i w:val="0"/>
          <w:sz w:val="22"/>
        </w:rPr>
        <w:t>The PCS dependency study segmented tokens into prefix, core, and suffix components. In the fixed segmentation used there, prefix length was 2 and suffix length was 1, with the remaining middle segment defined as the core. The analysis computed mutual information, conditional entropy, and prediction accuracy for component pairs, and performed structure-breaking experiments by shuffling cores, suffixes, or prefixes.</w:t>
      </w:r>
    </w:p>
    <w:p>
      <w:pPr>
        <w:pStyle w:val="Heading2"/>
      </w:pPr>
      <w:r>
        <w:rPr>
          <w:rFonts w:ascii="Times New Roman" w:hAnsi="Times New Roman"/>
          <w:b/>
        </w:rPr>
        <w:t>5.4 PCS token-generation modeling</w:t>
      </w:r>
    </w:p>
    <w:p>
      <w:pPr>
        <w:spacing w:after="120" w:line="252" w:lineRule="auto"/>
      </w:pPr>
      <w:r>
        <w:rPr>
          <w:rFonts w:ascii="Times New Roman" w:hAnsi="Times New Roman"/>
          <w:b w:val="0"/>
          <w:i w:val="0"/>
          <w:sz w:val="22"/>
        </w:rPr>
        <w:t>The token-generation study constructed a PCS model by extracting candidate prefixes, cores, and suffixes and recombining them under observed component distributions. The generated vocabulary was compared against the real corpus using matching rate, token mass coverage, Zipf slope difference, conditional entropy, fixed-length segmentation tests, bootstrap validation, holdout validation, morphological-family analysis, transition analysis, and compression-based evaluation.</w:t>
      </w:r>
    </w:p>
    <w:p>
      <w:pPr>
        <w:pStyle w:val="Heading2"/>
      </w:pPr>
      <w:r>
        <w:rPr>
          <w:rFonts w:ascii="Times New Roman" w:hAnsi="Times New Roman"/>
          <w:b/>
        </w:rPr>
        <w:t>5.5 Inter-token sequence analysis</w:t>
      </w:r>
    </w:p>
    <w:p>
      <w:pPr>
        <w:spacing w:after="120" w:line="252" w:lineRule="auto"/>
      </w:pPr>
      <w:r>
        <w:rPr>
          <w:rFonts w:ascii="Times New Roman" w:hAnsi="Times New Roman"/>
          <w:b w:val="0"/>
          <w:i w:val="0"/>
          <w:sz w:val="22"/>
        </w:rPr>
        <w:t>The inter-token study preserved local token order and line boundaries. It evaluated token bigram and trigram entropy, next-token prediction accuracy, PCS component transitions across token boundaries, line-boundary effects, recurrent PCS patterns, and family clustering. The primary baseline was a line-internal shuffle, which preserves which tokens occur in a line while disrupting their local order.</w:t>
      </w:r>
    </w:p>
    <w:p>
      <w:pPr>
        <w:pStyle w:val="Heading1"/>
      </w:pPr>
      <w:r>
        <w:rPr>
          <w:rFonts w:ascii="Times New Roman" w:hAnsi="Times New Roman"/>
          <w:b/>
        </w:rPr>
        <w:t>6. Results</w:t>
      </w:r>
    </w:p>
    <w:p>
      <w:pPr>
        <w:pStyle w:val="Heading2"/>
      </w:pPr>
      <w:r>
        <w:rPr>
          <w:rFonts w:ascii="Times New Roman" w:hAnsi="Times New Roman"/>
          <w:b/>
        </w:rPr>
        <w:t>6.1 Positional constraints are robust under null models</w:t>
      </w:r>
    </w:p>
    <w:p>
      <w:pPr>
        <w:spacing w:after="120" w:line="252" w:lineRule="auto"/>
      </w:pPr>
      <w:r>
        <w:rPr>
          <w:rFonts w:ascii="Times New Roman" w:hAnsi="Times New Roman"/>
          <w:b w:val="0"/>
          <w:i w:val="0"/>
          <w:sz w:val="22"/>
        </w:rPr>
        <w:t>The positional study found that three independent token-position effects remain highly significant under multiple permutation baselines. The line-initial concentration of dshedy, paragraph-initial concentration of p/t/k initials, and line-final concentration of the am-class all survive stricter null assumptions. In each case, the observed effect is far outside the permutation distribution, with empirical p = 0.000999 under the tested 1,000-trial framework.</w:t>
      </w:r>
    </w:p>
    <w:p>
      <w:pPr>
        <w:spacing w:after="120" w:line="252" w:lineRule="auto"/>
      </w:pPr>
      <w:r>
        <w:rPr>
          <w:rFonts w:ascii="Times New Roman" w:hAnsi="Times New Roman"/>
          <w:b w:val="0"/>
          <w:i w:val="0"/>
          <w:sz w:val="22"/>
        </w:rPr>
        <w:t>This result establishes the first structural layer: token placement is not freely exchangeable across line and paragraph positions. Any generative model must therefore explain not only token shapes, but also why particular token classes occur preferentially at specific structural positions.</w:t>
      </w:r>
    </w:p>
    <w:p>
      <w:pPr>
        <w:pStyle w:val="Heading2"/>
      </w:pPr>
      <w:r>
        <w:rPr>
          <w:rFonts w:ascii="Times New Roman" w:hAnsi="Times New Roman"/>
          <w:b/>
        </w:rPr>
        <w:t>6.2 Voynich tokens are predictability-like but structurally divergent</w:t>
      </w:r>
    </w:p>
    <w:p>
      <w:pPr>
        <w:spacing w:after="120" w:line="252" w:lineRule="auto"/>
      </w:pPr>
      <w:r>
        <w:rPr>
          <w:rFonts w:ascii="Times New Roman" w:hAnsi="Times New Roman"/>
          <w:b w:val="0"/>
          <w:i w:val="0"/>
          <w:sz w:val="22"/>
        </w:rPr>
        <w:t>The comparative study found that Voynich entropy and ambiguity curves correlate strongly with natural-language baselines. Entropy and ambiguity correlations exceed approximately 0.95 for English and Latin comparisons. At the same time, Voynich differs sharply from natural languages in prefix-family overlap and suffix concentration. Simple null models fail to reproduce ambiguity persistence beyond intermediate prefix lengths.</w:t>
      </w:r>
    </w:p>
    <w:p>
      <w:pPr>
        <w:spacing w:after="120" w:line="252" w:lineRule="auto"/>
      </w:pPr>
      <w:r>
        <w:rPr>
          <w:rFonts w:ascii="Times New Roman" w:hAnsi="Times New Roman"/>
          <w:b w:val="0"/>
          <w:i w:val="0"/>
          <w:sz w:val="22"/>
        </w:rPr>
        <w:t>This establishes the second structural layer: Voynich has language-like predictability dynamics, but those dynamics coexist with structural constraints not typical of the tested natural-language baselines. The manuscript is therefore not well characterized as either ordinary natural language or trivial random generation.</w:t>
      </w:r>
    </w:p>
    <w:p>
      <w:pPr>
        <w:pStyle w:val="Heading2"/>
      </w:pPr>
      <w:r>
        <w:rPr>
          <w:rFonts w:ascii="Times New Roman" w:hAnsi="Times New Roman"/>
          <w:b/>
        </w:rPr>
        <w:t>6.3 PCS components show asymmetric conditional dependency</w:t>
      </w:r>
    </w:p>
    <w:p>
      <w:pPr>
        <w:spacing w:after="120" w:line="252" w:lineRule="auto"/>
      </w:pPr>
      <w:r>
        <w:rPr>
          <w:rFonts w:ascii="Times New Roman" w:hAnsi="Times New Roman"/>
          <w:b w:val="0"/>
          <w:i w:val="0"/>
          <w:sz w:val="22"/>
        </w:rPr>
        <w:t>The PCS dependency study found a strong asymmetry among token components. Suffix selection is highly predictable from the core, with H(suffix|core) = 0.8370 and top-1 prediction accuracy of 79.11%. In contrast, core prediction from prefix is weak, with H(core|prefix) = 5.3205 and top-1 accuracy of 18.13%.</w:t>
      </w:r>
    </w:p>
    <w:p>
      <w:pPr>
        <w:spacing w:after="120" w:line="252" w:lineRule="auto"/>
      </w:pPr>
      <w:r>
        <w:rPr>
          <w:rFonts w:ascii="Times New Roman" w:hAnsi="Times New Roman"/>
          <w:b w:val="0"/>
          <w:i w:val="0"/>
          <w:sz w:val="22"/>
        </w:rPr>
        <w:t>Figure 1 summarizes this asymmetry visually. The lower value of H(suffix|core) indicates that, once the core is known, the suffix distribution is much more constrained than the reverse relation from prefix to core.</w:t>
      </w:r>
    </w:p>
    <w:p>
      <w:pPr>
        <w:jc w:val="center"/>
      </w:pPr>
      <w:r>
        <w:drawing>
          <wp:inline xmlns:a="http://schemas.openxmlformats.org/drawingml/2006/main" xmlns:pic="http://schemas.openxmlformats.org/drawingml/2006/picture">
            <wp:extent cx="5394960" cy="3416808"/>
            <wp:docPr id="1" name="Picture 1"/>
            <wp:cNvGraphicFramePr>
              <a:graphicFrameLocks noChangeAspect="1"/>
            </wp:cNvGraphicFramePr>
            <a:graphic>
              <a:graphicData uri="http://schemas.openxmlformats.org/drawingml/2006/picture">
                <pic:pic>
                  <pic:nvPicPr>
                    <pic:cNvPr id="0" name="figure4_conditional_entropy.png"/>
                    <pic:cNvPicPr/>
                  </pic:nvPicPr>
                  <pic:blipFill>
                    <a:blip r:embed="rId9"/>
                    <a:stretch>
                      <a:fillRect/>
                    </a:stretch>
                  </pic:blipFill>
                  <pic:spPr>
                    <a:xfrm>
                      <a:off x="0" y="0"/>
                      <a:ext cx="5394960" cy="3416808"/>
                    </a:xfrm>
                    <a:prstGeom prst="rect"/>
                  </pic:spPr>
                </pic:pic>
              </a:graphicData>
            </a:graphic>
          </wp:inline>
        </w:drawing>
      </w:r>
    </w:p>
    <w:p>
      <w:pPr>
        <w:spacing w:after="160"/>
      </w:pPr>
      <w:r>
        <w:rPr>
          <w:rFonts w:ascii="Times New Roman" w:hAnsi="Times New Roman"/>
          <w:i/>
          <w:sz w:val="18"/>
        </w:rPr>
        <w:t>Figure 1. Conditional entropy in PCS components. The comparison supports the interpretation that the operationally defined core is a major conditioning element for suffix selection, without implying that the core has been semantically deciphered.</w:t>
      </w:r>
    </w:p>
    <w:p>
      <w:pPr>
        <w:spacing w:after="120" w:line="252" w:lineRule="auto"/>
      </w:pPr>
      <w:r>
        <w:rPr>
          <w:rFonts w:ascii="Times New Roman" w:hAnsi="Times New Roman"/>
          <w:b w:val="0"/>
          <w:i w:val="0"/>
          <w:sz w:val="22"/>
        </w:rPr>
        <w:t>Structure-breaking experiments support the same conclusion. Shuffling core material produces greater statistical disruption than shuffling suffixes or prefixes. This indicates that the core component functions as the main structural carrier in token generation, while suffixes behave as form-stabilizing elements conditioned on the core.</w:t>
      </w:r>
    </w:p>
    <w:p>
      <w:pPr>
        <w:pStyle w:val="Heading2"/>
      </w:pPr>
      <w:r>
        <w:rPr>
          <w:rFonts w:ascii="Times New Roman" w:hAnsi="Times New Roman"/>
          <w:b/>
        </w:rPr>
        <w:t>6.4 PCS generation reproduces observed token structure</w:t>
      </w:r>
    </w:p>
    <w:p>
      <w:pPr>
        <w:spacing w:after="120" w:line="252" w:lineRule="auto"/>
      </w:pPr>
      <w:r>
        <w:rPr>
          <w:rFonts w:ascii="Times New Roman" w:hAnsi="Times New Roman"/>
          <w:b w:val="0"/>
          <w:i w:val="0"/>
          <w:sz w:val="22"/>
        </w:rPr>
        <w:t>The PCS token-generation model achieves a 97.02% matching rate against the observed corpus, compared with 5.07% for the random baseline. Figure 2 shows the magnitude of this difference.</w:t>
      </w:r>
    </w:p>
    <w:p>
      <w:pPr>
        <w:jc w:val="center"/>
      </w:pPr>
      <w:r>
        <w:drawing>
          <wp:inline xmlns:a="http://schemas.openxmlformats.org/drawingml/2006/main" xmlns:pic="http://schemas.openxmlformats.org/drawingml/2006/picture">
            <wp:extent cx="5394960" cy="3416808"/>
            <wp:docPr id="2" name="Picture 2"/>
            <wp:cNvGraphicFramePr>
              <a:graphicFrameLocks noChangeAspect="1"/>
            </wp:cNvGraphicFramePr>
            <a:graphic>
              <a:graphicData uri="http://schemas.openxmlformats.org/drawingml/2006/picture">
                <pic:pic>
                  <pic:nvPicPr>
                    <pic:cNvPr id="0" name="figure1_pcs_matching_rate.png"/>
                    <pic:cNvPicPr/>
                  </pic:nvPicPr>
                  <pic:blipFill>
                    <a:blip r:embed="rId10"/>
                    <a:stretch>
                      <a:fillRect/>
                    </a:stretch>
                  </pic:blipFill>
                  <pic:spPr>
                    <a:xfrm>
                      <a:off x="0" y="0"/>
                      <a:ext cx="5394960" cy="3416808"/>
                    </a:xfrm>
                    <a:prstGeom prst="rect"/>
                  </pic:spPr>
                </pic:pic>
              </a:graphicData>
            </a:graphic>
          </wp:inline>
        </w:drawing>
      </w:r>
    </w:p>
    <w:p>
      <w:pPr>
        <w:spacing w:after="160"/>
      </w:pPr>
      <w:r>
        <w:rPr>
          <w:rFonts w:ascii="Times New Roman" w:hAnsi="Times New Roman"/>
          <w:i/>
          <w:sz w:val="18"/>
        </w:rPr>
        <w:t>Figure 2. PCS generation matching rate. The PCS model reproduces observed token forms at a substantially higher rate than the random baseline.</w:t>
      </w:r>
    </w:p>
    <w:p>
      <w:pPr>
        <w:spacing w:after="120" w:line="252" w:lineRule="auto"/>
      </w:pPr>
      <w:r>
        <w:rPr>
          <w:rFonts w:ascii="Times New Roman" w:hAnsi="Times New Roman"/>
          <w:b w:val="0"/>
          <w:i w:val="0"/>
          <w:sz w:val="22"/>
        </w:rPr>
        <w:t>Token mass coverage reaches 85.25%, compared with 18.50% for the random baseline. Figure 3 shows that the advantage is not limited to rare or peripheral forms; it also covers a large share of corpus token mass.</w:t>
      </w:r>
    </w:p>
    <w:p>
      <w:pPr>
        <w:jc w:val="center"/>
      </w:pPr>
      <w:r>
        <w:drawing>
          <wp:inline xmlns:a="http://schemas.openxmlformats.org/drawingml/2006/main" xmlns:pic="http://schemas.openxmlformats.org/drawingml/2006/picture">
            <wp:extent cx="5394960" cy="3416808"/>
            <wp:docPr id="3" name="Picture 3"/>
            <wp:cNvGraphicFramePr>
              <a:graphicFrameLocks noChangeAspect="1"/>
            </wp:cNvGraphicFramePr>
            <a:graphic>
              <a:graphicData uri="http://schemas.openxmlformats.org/drawingml/2006/picture">
                <pic:pic>
                  <pic:nvPicPr>
                    <pic:cNvPr id="0" name="figure2_token_mass_coverage.png"/>
                    <pic:cNvPicPr/>
                  </pic:nvPicPr>
                  <pic:blipFill>
                    <a:blip r:embed="rId11"/>
                    <a:stretch>
                      <a:fillRect/>
                    </a:stretch>
                  </pic:blipFill>
                  <pic:spPr>
                    <a:xfrm>
                      <a:off x="0" y="0"/>
                      <a:ext cx="5394960" cy="3416808"/>
                    </a:xfrm>
                    <a:prstGeom prst="rect"/>
                  </pic:spPr>
                </pic:pic>
              </a:graphicData>
            </a:graphic>
          </wp:inline>
        </w:drawing>
      </w:r>
    </w:p>
    <w:p>
      <w:pPr>
        <w:spacing w:after="160"/>
      </w:pPr>
      <w:r>
        <w:rPr>
          <w:rFonts w:ascii="Times New Roman" w:hAnsi="Times New Roman"/>
          <w:i/>
          <w:sz w:val="18"/>
        </w:rPr>
        <w:t>Figure 3. Token mass coverage. The PCS model captures much more observed token mass than the random baseline.</w:t>
      </w:r>
    </w:p>
    <w:p>
      <w:pPr>
        <w:spacing w:after="120" w:line="252" w:lineRule="auto"/>
      </w:pPr>
      <w:r>
        <w:rPr>
          <w:rFonts w:ascii="Times New Roman" w:hAnsi="Times New Roman"/>
          <w:b w:val="0"/>
          <w:i w:val="0"/>
          <w:sz w:val="22"/>
        </w:rPr>
        <w:t>The PCS model also closely tracks the Zipf-like distribution of the real corpus, with a Zipf slope difference of 0.0795 compared with 0.7138 for the random baseline. Figure 4 summarizes this contrast.</w:t>
      </w:r>
    </w:p>
    <w:p>
      <w:pPr>
        <w:jc w:val="center"/>
      </w:pPr>
      <w:r>
        <w:drawing>
          <wp:inline xmlns:a="http://schemas.openxmlformats.org/drawingml/2006/main" xmlns:pic="http://schemas.openxmlformats.org/drawingml/2006/picture">
            <wp:extent cx="5394960" cy="3416808"/>
            <wp:docPr id="4" name="Picture 4"/>
            <wp:cNvGraphicFramePr>
              <a:graphicFrameLocks noChangeAspect="1"/>
            </wp:cNvGraphicFramePr>
            <a:graphic>
              <a:graphicData uri="http://schemas.openxmlformats.org/drawingml/2006/picture">
                <pic:pic>
                  <pic:nvPicPr>
                    <pic:cNvPr id="0" name="figure3_zipf_slope_difference.png"/>
                    <pic:cNvPicPr/>
                  </pic:nvPicPr>
                  <pic:blipFill>
                    <a:blip r:embed="rId12"/>
                    <a:stretch>
                      <a:fillRect/>
                    </a:stretch>
                  </pic:blipFill>
                  <pic:spPr>
                    <a:xfrm>
                      <a:off x="0" y="0"/>
                      <a:ext cx="5394960" cy="3416808"/>
                    </a:xfrm>
                    <a:prstGeom prst="rect"/>
                  </pic:spPr>
                </pic:pic>
              </a:graphicData>
            </a:graphic>
          </wp:inline>
        </w:drawing>
      </w:r>
    </w:p>
    <w:p>
      <w:pPr>
        <w:spacing w:after="160"/>
      </w:pPr>
      <w:r>
        <w:rPr>
          <w:rFonts w:ascii="Times New Roman" w:hAnsi="Times New Roman"/>
          <w:i/>
          <w:sz w:val="18"/>
        </w:rPr>
        <w:t>Figure 4. Zipf slope difference. Lower difference indicates closer agreement with the observed rank-frequency profile.</w:t>
      </w:r>
    </w:p>
    <w:p>
      <w:pPr>
        <w:spacing w:after="120" w:line="252" w:lineRule="auto"/>
      </w:pPr>
      <w:r>
        <w:rPr>
          <w:rFonts w:ascii="Times New Roman" w:hAnsi="Times New Roman"/>
          <w:b w:val="0"/>
          <w:i w:val="0"/>
          <w:sz w:val="22"/>
        </w:rPr>
        <w:t>Additional validation reduces the risk that these results are merely artifacts of flexible segmentation. Fixed-length experiments preserve the structured model advantage, bootstrap testing yields empirical p &lt; .001, and holdout validation across 80/20, 70/30, and 50/50 splits supports generalization beyond the training set.</w:t>
      </w:r>
    </w:p>
    <w:p>
      <w:pPr>
        <w:spacing w:after="120" w:line="252" w:lineRule="auto"/>
      </w:pPr>
      <w:r>
        <w:rPr>
          <w:rFonts w:ascii="Times New Roman" w:hAnsi="Times New Roman"/>
          <w:b w:val="0"/>
          <w:i w:val="0"/>
          <w:sz w:val="22"/>
        </w:rPr>
        <w:t>Compression analysis provides a further corpus-level check. Figure 5 compares the real corpus, a shuffled corpus, and the PCS-generated corpus. The real and PCS-generated corpora are more compressible than the shuffled baseline, consistent with structural regularity.</w:t>
      </w:r>
    </w:p>
    <w:p>
      <w:pPr>
        <w:jc w:val="center"/>
      </w:pPr>
      <w:r>
        <w:drawing>
          <wp:inline xmlns:a="http://schemas.openxmlformats.org/drawingml/2006/main" xmlns:pic="http://schemas.openxmlformats.org/drawingml/2006/picture">
            <wp:extent cx="5394960" cy="3416808"/>
            <wp:docPr id="5" name="Picture 5"/>
            <wp:cNvGraphicFramePr>
              <a:graphicFrameLocks noChangeAspect="1"/>
            </wp:cNvGraphicFramePr>
            <a:graphic>
              <a:graphicData uri="http://schemas.openxmlformats.org/drawingml/2006/picture">
                <pic:pic>
                  <pic:nvPicPr>
                    <pic:cNvPr id="0" name="figure5_compression_comparison.png"/>
                    <pic:cNvPicPr/>
                  </pic:nvPicPr>
                  <pic:blipFill>
                    <a:blip r:embed="rId13"/>
                    <a:stretch>
                      <a:fillRect/>
                    </a:stretch>
                  </pic:blipFill>
                  <pic:spPr>
                    <a:xfrm>
                      <a:off x="0" y="0"/>
                      <a:ext cx="5394960" cy="3416808"/>
                    </a:xfrm>
                    <a:prstGeom prst="rect"/>
                  </pic:spPr>
                </pic:pic>
              </a:graphicData>
            </a:graphic>
          </wp:inline>
        </w:drawing>
      </w:r>
    </w:p>
    <w:p>
      <w:pPr>
        <w:spacing w:after="160"/>
      </w:pPr>
      <w:r>
        <w:rPr>
          <w:rFonts w:ascii="Times New Roman" w:hAnsi="Times New Roman"/>
          <w:i/>
          <w:sz w:val="18"/>
        </w:rPr>
        <w:t>Figure 5. Compression ratio comparison. Lower compression ratios indicate greater regularity; the PCS-generated corpus remains closer to the real corpus than to the shuffled baseline.</w:t>
      </w:r>
    </w:p>
    <w:p>
      <w:pPr>
        <w:pStyle w:val="Heading2"/>
      </w:pPr>
      <w:r>
        <w:rPr>
          <w:rFonts w:ascii="Times New Roman" w:hAnsi="Times New Roman"/>
          <w:b/>
        </w:rPr>
        <w:t>6.5 Inter-token arrangement is non-random</w:t>
      </w:r>
    </w:p>
    <w:p>
      <w:pPr>
        <w:spacing w:after="120" w:line="252" w:lineRule="auto"/>
      </w:pPr>
      <w:r>
        <w:rPr>
          <w:rFonts w:ascii="Times New Roman" w:hAnsi="Times New Roman"/>
          <w:b w:val="0"/>
          <w:i w:val="0"/>
          <w:sz w:val="22"/>
        </w:rPr>
        <w:t>The inter-token study extends the framework from token generation to token arrangement. Real Voynich sequences show lower bigram entropy than shuffled baselines. The real bigram entropy is 11.7001, compared with 13.5343 under full shuffle, 13.5343 under frequency-preserving shuffle, and 12.7229 under line-internal shuffle. Next-token prediction accuracy is also higher in the real corpus than the line-internal baseline: top-1 accuracy is 0.6917 vs. 0.5505, and top-3 accuracy is 0.8168 vs. 0.6912.</w:t>
      </w:r>
    </w:p>
    <w:p>
      <w:pPr>
        <w:spacing w:after="120" w:line="252" w:lineRule="auto"/>
      </w:pPr>
      <w:r>
        <w:rPr>
          <w:rFonts w:ascii="Times New Roman" w:hAnsi="Times New Roman"/>
          <w:b w:val="0"/>
          <w:i w:val="0"/>
          <w:sz w:val="22"/>
        </w:rPr>
        <w:t>Figure 6 combines the main inter-token entropy and prediction results. The figure is intended as a compact summary of local sequence constraint, not as evidence of semantic syntax.</w:t>
      </w:r>
    </w:p>
    <w:p>
      <w:pPr>
        <w:jc w:val="center"/>
      </w:pPr>
      <w:r>
        <w:drawing>
          <wp:inline xmlns:a="http://schemas.openxmlformats.org/drawingml/2006/main" xmlns:pic="http://schemas.openxmlformats.org/drawingml/2006/picture">
            <wp:extent cx="5394960" cy="3117088"/>
            <wp:docPr id="6" name="Picture 6"/>
            <wp:cNvGraphicFramePr>
              <a:graphicFrameLocks noChangeAspect="1"/>
            </wp:cNvGraphicFramePr>
            <a:graphic>
              <a:graphicData uri="http://schemas.openxmlformats.org/drawingml/2006/picture">
                <pic:pic>
                  <pic:nvPicPr>
                    <pic:cNvPr id="0" name="figure6_intertoken_metrics.png"/>
                    <pic:cNvPicPr/>
                  </pic:nvPicPr>
                  <pic:blipFill>
                    <a:blip r:embed="rId14"/>
                    <a:stretch>
                      <a:fillRect/>
                    </a:stretch>
                  </pic:blipFill>
                  <pic:spPr>
                    <a:xfrm>
                      <a:off x="0" y="0"/>
                      <a:ext cx="5394960" cy="3117088"/>
                    </a:xfrm>
                    <a:prstGeom prst="rect"/>
                  </pic:spPr>
                </pic:pic>
              </a:graphicData>
            </a:graphic>
          </wp:inline>
        </w:drawing>
      </w:r>
    </w:p>
    <w:p>
      <w:pPr>
        <w:spacing w:after="160"/>
      </w:pPr>
      <w:r>
        <w:rPr>
          <w:rFonts w:ascii="Times New Roman" w:hAnsi="Times New Roman"/>
          <w:i/>
          <w:sz w:val="18"/>
        </w:rPr>
        <w:t>Figure 6. Inter-token entropy and next-token prediction from Chang (2026e). Real sequences show lower bigram entropy and higher next-token prediction accuracy than the line-internal shuffled baseline.</w:t>
      </w:r>
    </w:p>
    <w:p>
      <w:pPr>
        <w:spacing w:after="120" w:line="252" w:lineRule="auto"/>
      </w:pPr>
      <w:r>
        <w:rPr>
          <w:rFonts w:ascii="Times New Roman" w:hAnsi="Times New Roman"/>
          <w:b w:val="0"/>
          <w:i w:val="0"/>
          <w:sz w:val="22"/>
        </w:rPr>
        <w:t>Component-level inter-token transitions further support this conclusion. The suffix(token_i) -&gt; prefix(token_i+1) pathway has real conditional entropy of 4.4008 compared with a baseline mean of 4.5087, while the core(token_i) -&gt; core(token_i+1) pathway shows a stronger entropy reduction. Line-boundary metrics are also significant: within-line transition entropy is 11.7001, cross-line transition entropy is 11.9831, and line-position dependence yields chi-square = 46151.0531 with p &lt; .001.</w:t>
      </w:r>
    </w:p>
    <w:p>
      <w:pPr>
        <w:spacing w:after="120" w:line="252" w:lineRule="auto"/>
      </w:pPr>
      <w:r>
        <w:rPr>
          <w:rFonts w:ascii="Times New Roman" w:hAnsi="Times New Roman"/>
          <w:b w:val="0"/>
          <w:i w:val="0"/>
          <w:sz w:val="22"/>
        </w:rPr>
        <w:t>Finally, related token families cluster locally. Tokens sharing the same core occur closer together in the real corpus than in shuffled baselines, with mean distance 235.93 vs. 442.77. Tokens sharing the same prefix-core structure show the same pattern, with mean distance 319.98 vs. 632.90. These results establish the fifth structural layer: generated or observed tokens are not merely independent forms, but participate in local sequential organization.</w:t>
      </w:r>
    </w:p>
    <w:p>
      <w:pPr>
        <w:pStyle w:val="Heading2"/>
      </w:pPr>
      <w:r>
        <w:rPr>
          <w:rFonts w:ascii="Times New Roman" w:hAnsi="Times New Roman"/>
          <w:b/>
        </w:rPr>
        <w:t>6.6 Integrated result</w:t>
      </w:r>
    </w:p>
    <w:p>
      <w:pPr>
        <w:spacing w:after="120" w:line="252" w:lineRule="auto"/>
      </w:pPr>
      <w:r>
        <w:rPr>
          <w:rFonts w:ascii="Times New Roman" w:hAnsi="Times New Roman"/>
          <w:b w:val="0"/>
          <w:i w:val="0"/>
          <w:sz w:val="22"/>
        </w:rPr>
        <w:t>The component studies converge on a single structural interpretation. The Voynich token system is positionally constrained, language-like in predictability, asymmetrically organized internally, reproducible by a PCS generation model, and locally ordered across adjacent tokens.</w:t>
      </w:r>
    </w:p>
    <w:p>
      <w:pPr>
        <w:spacing w:after="120" w:line="252" w:lineRule="auto"/>
      </w:pPr>
      <w:r>
        <w:rPr>
          <w:rFonts w:ascii="Times New Roman" w:hAnsi="Times New Roman"/>
          <w:b w:val="0"/>
          <w:i w:val="0"/>
          <w:sz w:val="22"/>
        </w:rPr>
        <w:t>Table 4 integrates the principal evidence across structural levels. It is useful as a compact checklist for future models, because a model that explains only one row remains incomplete.</w:t>
      </w:r>
    </w:p>
    <w:p>
      <w:pPr>
        <w:pStyle w:val="Heading2"/>
      </w:pPr>
      <w:r>
        <w:rPr>
          <w:rFonts w:ascii="Times New Roman" w:hAnsi="Times New Roman"/>
          <w:b/>
        </w:rPr>
        <w:t>Table 4. Integrated Evidence Matrix</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D9D9"/>
          </w:tcPr>
          <w:p>
            <w:pPr>
              <w:jc w:val="left"/>
            </w:pPr>
            <w:r/>
            <w:r>
              <w:rPr>
                <w:rFonts w:ascii="Times New Roman" w:hAnsi="Times New Roman"/>
                <w:b/>
                <w:i w:val="0"/>
                <w:sz w:val="14"/>
              </w:rPr>
              <w:t>Level</w:t>
            </w:r>
          </w:p>
        </w:tc>
        <w:tc>
          <w:tcPr>
            <w:tcW w:type="dxa" w:w="3360"/>
            <w:vAlign w:val="top"/>
            <w:shd w:fill="D9D9D9"/>
          </w:tcPr>
          <w:p>
            <w:pPr>
              <w:jc w:val="left"/>
            </w:pPr>
            <w:r/>
            <w:r>
              <w:rPr>
                <w:rFonts w:ascii="Times New Roman" w:hAnsi="Times New Roman"/>
                <w:b/>
                <w:i w:val="0"/>
                <w:sz w:val="14"/>
              </w:rPr>
              <w:t>Principal evidence</w:t>
            </w:r>
          </w:p>
        </w:tc>
        <w:tc>
          <w:tcPr>
            <w:tcW w:type="dxa" w:w="3360"/>
            <w:vAlign w:val="top"/>
            <w:shd w:fill="D9D9D9"/>
          </w:tcPr>
          <w:p>
            <w:pPr>
              <w:jc w:val="left"/>
            </w:pPr>
            <w:r/>
            <w:r>
              <w:rPr>
                <w:rFonts w:ascii="Times New Roman" w:hAnsi="Times New Roman"/>
                <w:b/>
                <w:i w:val="0"/>
                <w:sz w:val="14"/>
              </w:rPr>
              <w:t>Interpretation</w:t>
            </w:r>
          </w:p>
        </w:tc>
      </w:tr>
      <w:tr>
        <w:tc>
          <w:tcPr>
            <w:tcW w:type="dxa" w:w="3360"/>
            <w:vAlign w:val="top"/>
          </w:tcPr>
          <w:p>
            <w:pPr>
              <w:jc w:val="left"/>
            </w:pPr>
            <w:r/>
            <w:r>
              <w:rPr>
                <w:rFonts w:ascii="Times New Roman" w:hAnsi="Times New Roman"/>
                <w:b w:val="0"/>
                <w:i w:val="0"/>
                <w:sz w:val="14"/>
              </w:rPr>
              <w:t>Position</w:t>
            </w:r>
          </w:p>
        </w:tc>
        <w:tc>
          <w:tcPr>
            <w:tcW w:type="dxa" w:w="3360"/>
            <w:vAlign w:val="top"/>
          </w:tcPr>
          <w:p>
            <w:pPr>
              <w:jc w:val="left"/>
            </w:pPr>
            <w:r/>
            <w:r>
              <w:rPr>
                <w:rFonts w:ascii="Times New Roman" w:hAnsi="Times New Roman"/>
                <w:b w:val="0"/>
                <w:i w:val="0"/>
                <w:sz w:val="14"/>
              </w:rPr>
              <w:t>Line-initial, paragraph-initial, and line-final constraints survive permutation baselines.</w:t>
            </w:r>
          </w:p>
        </w:tc>
        <w:tc>
          <w:tcPr>
            <w:tcW w:type="dxa" w:w="3360"/>
            <w:vAlign w:val="top"/>
          </w:tcPr>
          <w:p>
            <w:pPr>
              <w:jc w:val="left"/>
            </w:pPr>
            <w:r/>
            <w:r>
              <w:rPr>
                <w:rFonts w:ascii="Times New Roman" w:hAnsi="Times New Roman"/>
                <w:b w:val="0"/>
                <w:i w:val="0"/>
                <w:sz w:val="14"/>
              </w:rPr>
              <w:t>Token placement is position-sensitive.</w:t>
            </w:r>
          </w:p>
        </w:tc>
      </w:tr>
      <w:tr>
        <w:tc>
          <w:tcPr>
            <w:tcW w:type="dxa" w:w="3360"/>
            <w:vAlign w:val="top"/>
          </w:tcPr>
          <w:p>
            <w:pPr>
              <w:jc w:val="left"/>
            </w:pPr>
            <w:r/>
            <w:r>
              <w:rPr>
                <w:rFonts w:ascii="Times New Roman" w:hAnsi="Times New Roman"/>
                <w:b w:val="0"/>
                <w:i w:val="0"/>
                <w:sz w:val="14"/>
              </w:rPr>
              <w:t>Predictability</w:t>
            </w:r>
          </w:p>
        </w:tc>
        <w:tc>
          <w:tcPr>
            <w:tcW w:type="dxa" w:w="3360"/>
            <w:vAlign w:val="top"/>
          </w:tcPr>
          <w:p>
            <w:pPr>
              <w:jc w:val="left"/>
            </w:pPr>
            <w:r/>
            <w:r>
              <w:rPr>
                <w:rFonts w:ascii="Times New Roman" w:hAnsi="Times New Roman"/>
                <w:b w:val="0"/>
                <w:i w:val="0"/>
                <w:sz w:val="14"/>
              </w:rPr>
              <w:t>Entropy and ambiguity curves align with natural-language-like dynamics.</w:t>
            </w:r>
          </w:p>
        </w:tc>
        <w:tc>
          <w:tcPr>
            <w:tcW w:type="dxa" w:w="3360"/>
            <w:vAlign w:val="top"/>
          </w:tcPr>
          <w:p>
            <w:pPr>
              <w:jc w:val="left"/>
            </w:pPr>
            <w:r/>
            <w:r>
              <w:rPr>
                <w:rFonts w:ascii="Times New Roman" w:hAnsi="Times New Roman"/>
                <w:b w:val="0"/>
                <w:i w:val="0"/>
                <w:sz w:val="14"/>
              </w:rPr>
              <w:t>The token system has non-trivial predictive structure.</w:t>
            </w:r>
          </w:p>
        </w:tc>
      </w:tr>
      <w:tr>
        <w:tc>
          <w:tcPr>
            <w:tcW w:type="dxa" w:w="3360"/>
            <w:vAlign w:val="top"/>
          </w:tcPr>
          <w:p>
            <w:pPr>
              <w:jc w:val="left"/>
            </w:pPr>
            <w:r/>
            <w:r>
              <w:rPr>
                <w:rFonts w:ascii="Times New Roman" w:hAnsi="Times New Roman"/>
                <w:b w:val="0"/>
                <w:i w:val="0"/>
                <w:sz w:val="14"/>
              </w:rPr>
              <w:t>Structural divergence</w:t>
            </w:r>
          </w:p>
        </w:tc>
        <w:tc>
          <w:tcPr>
            <w:tcW w:type="dxa" w:w="3360"/>
            <w:vAlign w:val="top"/>
          </w:tcPr>
          <w:p>
            <w:pPr>
              <w:jc w:val="left"/>
            </w:pPr>
            <w:r/>
            <w:r>
              <w:rPr>
                <w:rFonts w:ascii="Times New Roman" w:hAnsi="Times New Roman"/>
                <w:b w:val="0"/>
                <w:i w:val="0"/>
                <w:sz w:val="14"/>
              </w:rPr>
              <w:t>Suffix concentration and prefix-family organization differ from natural language.</w:t>
            </w:r>
          </w:p>
        </w:tc>
        <w:tc>
          <w:tcPr>
            <w:tcW w:type="dxa" w:w="3360"/>
            <w:vAlign w:val="top"/>
          </w:tcPr>
          <w:p>
            <w:pPr>
              <w:jc w:val="left"/>
            </w:pPr>
            <w:r/>
            <w:r>
              <w:rPr>
                <w:rFonts w:ascii="Times New Roman" w:hAnsi="Times New Roman"/>
                <w:b w:val="0"/>
                <w:i w:val="0"/>
                <w:sz w:val="14"/>
              </w:rPr>
              <w:t>Similar predictability does not imply ordinary natural-language morphology.</w:t>
            </w:r>
          </w:p>
        </w:tc>
      </w:tr>
      <w:tr>
        <w:tc>
          <w:tcPr>
            <w:tcW w:type="dxa" w:w="3360"/>
            <w:vAlign w:val="top"/>
          </w:tcPr>
          <w:p>
            <w:pPr>
              <w:jc w:val="left"/>
            </w:pPr>
            <w:r/>
            <w:r>
              <w:rPr>
                <w:rFonts w:ascii="Times New Roman" w:hAnsi="Times New Roman"/>
                <w:b w:val="0"/>
                <w:i w:val="0"/>
                <w:sz w:val="14"/>
              </w:rPr>
              <w:t>PCS dependency</w:t>
            </w:r>
          </w:p>
        </w:tc>
        <w:tc>
          <w:tcPr>
            <w:tcW w:type="dxa" w:w="3360"/>
            <w:vAlign w:val="top"/>
          </w:tcPr>
          <w:p>
            <w:pPr>
              <w:jc w:val="left"/>
            </w:pPr>
            <w:r/>
            <w:r>
              <w:rPr>
                <w:rFonts w:ascii="Times New Roman" w:hAnsi="Times New Roman"/>
                <w:b w:val="0"/>
                <w:i w:val="0"/>
                <w:sz w:val="14"/>
              </w:rPr>
              <w:t>H(suffix|core) = 0.8370; suffix-from-core top-1 accuracy = 79.11%.</w:t>
            </w:r>
          </w:p>
        </w:tc>
        <w:tc>
          <w:tcPr>
            <w:tcW w:type="dxa" w:w="3360"/>
            <w:vAlign w:val="top"/>
          </w:tcPr>
          <w:p>
            <w:pPr>
              <w:jc w:val="left"/>
            </w:pPr>
            <w:r/>
            <w:r>
              <w:rPr>
                <w:rFonts w:ascii="Times New Roman" w:hAnsi="Times New Roman"/>
                <w:b w:val="0"/>
                <w:i w:val="0"/>
                <w:sz w:val="14"/>
              </w:rPr>
              <w:t>Token generation is conditionally organized around the core.</w:t>
            </w:r>
          </w:p>
        </w:tc>
      </w:tr>
      <w:tr>
        <w:tc>
          <w:tcPr>
            <w:tcW w:type="dxa" w:w="3360"/>
            <w:vAlign w:val="top"/>
          </w:tcPr>
          <w:p>
            <w:pPr>
              <w:jc w:val="left"/>
            </w:pPr>
            <w:r/>
            <w:r>
              <w:rPr>
                <w:rFonts w:ascii="Times New Roman" w:hAnsi="Times New Roman"/>
                <w:b w:val="0"/>
                <w:i w:val="0"/>
                <w:sz w:val="14"/>
              </w:rPr>
              <w:t>PCS generation</w:t>
            </w:r>
          </w:p>
        </w:tc>
        <w:tc>
          <w:tcPr>
            <w:tcW w:type="dxa" w:w="3360"/>
            <w:vAlign w:val="top"/>
          </w:tcPr>
          <w:p>
            <w:pPr>
              <w:jc w:val="left"/>
            </w:pPr>
            <w:r/>
            <w:r>
              <w:rPr>
                <w:rFonts w:ascii="Times New Roman" w:hAnsi="Times New Roman"/>
                <w:b w:val="0"/>
                <w:i w:val="0"/>
                <w:sz w:val="14"/>
              </w:rPr>
              <w:t>Matching rate 97.02%; coverage 85.25%; Zipf slope difference 0.0795.</w:t>
            </w:r>
          </w:p>
        </w:tc>
        <w:tc>
          <w:tcPr>
            <w:tcW w:type="dxa" w:w="3360"/>
            <w:vAlign w:val="top"/>
          </w:tcPr>
          <w:p>
            <w:pPr>
              <w:jc w:val="left"/>
            </w:pPr>
            <w:r/>
            <w:r>
              <w:rPr>
                <w:rFonts w:ascii="Times New Roman" w:hAnsi="Times New Roman"/>
                <w:b w:val="0"/>
                <w:i w:val="0"/>
                <w:sz w:val="14"/>
              </w:rPr>
              <w:t>PCS composition reproduces observed token structure.</w:t>
            </w:r>
          </w:p>
        </w:tc>
      </w:tr>
      <w:tr>
        <w:tc>
          <w:tcPr>
            <w:tcW w:type="dxa" w:w="3360"/>
            <w:vAlign w:val="top"/>
          </w:tcPr>
          <w:p>
            <w:pPr>
              <w:jc w:val="left"/>
            </w:pPr>
            <w:r/>
            <w:r>
              <w:rPr>
                <w:rFonts w:ascii="Times New Roman" w:hAnsi="Times New Roman"/>
                <w:b w:val="0"/>
                <w:i w:val="0"/>
                <w:sz w:val="14"/>
              </w:rPr>
              <w:t>Inter-token order</w:t>
            </w:r>
          </w:p>
        </w:tc>
        <w:tc>
          <w:tcPr>
            <w:tcW w:type="dxa" w:w="3360"/>
            <w:vAlign w:val="top"/>
          </w:tcPr>
          <w:p>
            <w:pPr>
              <w:jc w:val="left"/>
            </w:pPr>
            <w:r/>
            <w:r>
              <w:rPr>
                <w:rFonts w:ascii="Times New Roman" w:hAnsi="Times New Roman"/>
                <w:b w:val="0"/>
                <w:i w:val="0"/>
                <w:sz w:val="14"/>
              </w:rPr>
              <w:t>Lower bigram entropy and higher next-token prediction than shuffled baselines.</w:t>
            </w:r>
          </w:p>
        </w:tc>
        <w:tc>
          <w:tcPr>
            <w:tcW w:type="dxa" w:w="3360"/>
            <w:vAlign w:val="top"/>
          </w:tcPr>
          <w:p>
            <w:pPr>
              <w:jc w:val="left"/>
            </w:pPr>
            <w:r/>
            <w:r>
              <w:rPr>
                <w:rFonts w:ascii="Times New Roman" w:hAnsi="Times New Roman"/>
                <w:b w:val="0"/>
                <w:i w:val="0"/>
                <w:sz w:val="14"/>
              </w:rPr>
              <w:t>Local token arrangement is non-random.</w:t>
            </w:r>
          </w:p>
        </w:tc>
      </w:tr>
      <w:tr>
        <w:tc>
          <w:tcPr>
            <w:tcW w:type="dxa" w:w="3360"/>
            <w:vAlign w:val="top"/>
          </w:tcPr>
          <w:p>
            <w:pPr>
              <w:jc w:val="left"/>
            </w:pPr>
            <w:r/>
            <w:r>
              <w:rPr>
                <w:rFonts w:ascii="Times New Roman" w:hAnsi="Times New Roman"/>
                <w:b w:val="0"/>
                <w:i w:val="0"/>
                <w:sz w:val="14"/>
              </w:rPr>
              <w:t>Line structure</w:t>
            </w:r>
          </w:p>
        </w:tc>
        <w:tc>
          <w:tcPr>
            <w:tcW w:type="dxa" w:w="3360"/>
            <w:vAlign w:val="top"/>
          </w:tcPr>
          <w:p>
            <w:pPr>
              <w:jc w:val="left"/>
            </w:pPr>
            <w:r/>
            <w:r>
              <w:rPr>
                <w:rFonts w:ascii="Times New Roman" w:hAnsi="Times New Roman"/>
                <w:b w:val="0"/>
                <w:i w:val="0"/>
                <w:sz w:val="14"/>
              </w:rPr>
              <w:t>Within-line/cross-line entropy contrast and chi-square position dependence.</w:t>
            </w:r>
          </w:p>
        </w:tc>
        <w:tc>
          <w:tcPr>
            <w:tcW w:type="dxa" w:w="3360"/>
            <w:vAlign w:val="top"/>
          </w:tcPr>
          <w:p>
            <w:pPr>
              <w:jc w:val="left"/>
            </w:pPr>
            <w:r/>
            <w:r>
              <w:rPr>
                <w:rFonts w:ascii="Times New Roman" w:hAnsi="Times New Roman"/>
                <w:b w:val="0"/>
                <w:i w:val="0"/>
                <w:sz w:val="14"/>
              </w:rPr>
              <w:t>Line boundaries participate in structural organization.</w:t>
            </w:r>
          </w:p>
        </w:tc>
      </w:tr>
      <w:tr>
        <w:tc>
          <w:tcPr>
            <w:tcW w:type="dxa" w:w="3360"/>
            <w:vAlign w:val="top"/>
          </w:tcPr>
          <w:p>
            <w:pPr>
              <w:jc w:val="left"/>
            </w:pPr>
            <w:r/>
            <w:r>
              <w:rPr>
                <w:rFonts w:ascii="Times New Roman" w:hAnsi="Times New Roman"/>
                <w:b w:val="0"/>
                <w:i w:val="0"/>
                <w:sz w:val="14"/>
              </w:rPr>
              <w:t>Family clustering</w:t>
            </w:r>
          </w:p>
        </w:tc>
        <w:tc>
          <w:tcPr>
            <w:tcW w:type="dxa" w:w="3360"/>
            <w:vAlign w:val="top"/>
          </w:tcPr>
          <w:p>
            <w:pPr>
              <w:jc w:val="left"/>
            </w:pPr>
            <w:r/>
            <w:r>
              <w:rPr>
                <w:rFonts w:ascii="Times New Roman" w:hAnsi="Times New Roman"/>
                <w:b w:val="0"/>
                <w:i w:val="0"/>
                <w:sz w:val="14"/>
              </w:rPr>
              <w:t>Related token families occur closer together than shuffled baselines.</w:t>
            </w:r>
          </w:p>
        </w:tc>
        <w:tc>
          <w:tcPr>
            <w:tcW w:type="dxa" w:w="3360"/>
            <w:vAlign w:val="top"/>
          </w:tcPr>
          <w:p>
            <w:pPr>
              <w:jc w:val="left"/>
            </w:pPr>
            <w:r/>
            <w:r>
              <w:rPr>
                <w:rFonts w:ascii="Times New Roman" w:hAnsi="Times New Roman"/>
                <w:b w:val="0"/>
                <w:i w:val="0"/>
                <w:sz w:val="14"/>
              </w:rPr>
              <w:t>Related forms are locally organized.</w:t>
            </w:r>
          </w:p>
        </w:tc>
      </w:tr>
    </w:tbl>
    <w:p/>
    <w:p>
      <w:pPr>
        <w:spacing w:after="160"/>
      </w:pPr>
      <w:r>
        <w:rPr>
          <w:rFonts w:ascii="Times New Roman" w:hAnsi="Times New Roman"/>
          <w:i/>
          <w:sz w:val="18"/>
        </w:rPr>
        <w:t>Table 4. Integrated evidence across structural levels. The evidence is interpreted as coordinated structural organization, not semantic decipherment.</w:t>
      </w:r>
    </w:p>
    <w:p>
      <w:pPr>
        <w:spacing w:after="120" w:line="252" w:lineRule="auto"/>
      </w:pPr>
      <w:r>
        <w:rPr>
          <w:rFonts w:ascii="Times New Roman" w:hAnsi="Times New Roman"/>
          <w:b w:val="0"/>
          <w:i w:val="0"/>
          <w:sz w:val="22"/>
        </w:rPr>
        <w:t>Table 5 gives the most important numerical values in one place. These values are not treated as independent proofs; rather, they are interpreted as converging constraints across position, component structure, generation, and local sequence organization.</w:t>
      </w:r>
    </w:p>
    <w:p>
      <w:pPr>
        <w:pStyle w:val="Heading2"/>
      </w:pPr>
      <w:r>
        <w:rPr>
          <w:rFonts w:ascii="Times New Roman" w:hAnsi="Times New Roman"/>
          <w:b/>
        </w:rPr>
        <w:t>Table 5. Key Quantitative Findings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D9D9"/>
          </w:tcPr>
          <w:p>
            <w:pPr>
              <w:jc w:val="left"/>
            </w:pPr>
            <w:r/>
            <w:r>
              <w:rPr>
                <w:rFonts w:ascii="Times New Roman" w:hAnsi="Times New Roman"/>
                <w:b/>
                <w:i w:val="0"/>
                <w:sz w:val="13"/>
              </w:rPr>
              <w:t>Measure</w:t>
            </w:r>
          </w:p>
        </w:tc>
        <w:tc>
          <w:tcPr>
            <w:tcW w:type="dxa" w:w="2520"/>
            <w:vAlign w:val="top"/>
            <w:shd w:fill="D9D9D9"/>
          </w:tcPr>
          <w:p>
            <w:pPr>
              <w:jc w:val="left"/>
            </w:pPr>
            <w:r/>
            <w:r>
              <w:rPr>
                <w:rFonts w:ascii="Times New Roman" w:hAnsi="Times New Roman"/>
                <w:b/>
                <w:i w:val="0"/>
                <w:sz w:val="13"/>
              </w:rPr>
              <w:t>Observed / model value</w:t>
            </w:r>
          </w:p>
        </w:tc>
        <w:tc>
          <w:tcPr>
            <w:tcW w:type="dxa" w:w="2520"/>
            <w:vAlign w:val="top"/>
            <w:shd w:fill="D9D9D9"/>
          </w:tcPr>
          <w:p>
            <w:pPr>
              <w:jc w:val="left"/>
            </w:pPr>
            <w:r/>
            <w:r>
              <w:rPr>
                <w:rFonts w:ascii="Times New Roman" w:hAnsi="Times New Roman"/>
                <w:b/>
                <w:i w:val="0"/>
                <w:sz w:val="13"/>
              </w:rPr>
              <w:t>Baseline / contrast</w:t>
            </w:r>
          </w:p>
        </w:tc>
        <w:tc>
          <w:tcPr>
            <w:tcW w:type="dxa" w:w="2520"/>
            <w:vAlign w:val="top"/>
            <w:shd w:fill="D9D9D9"/>
          </w:tcPr>
          <w:p>
            <w:pPr>
              <w:jc w:val="left"/>
            </w:pPr>
            <w:r/>
            <w:r>
              <w:rPr>
                <w:rFonts w:ascii="Times New Roman" w:hAnsi="Times New Roman"/>
                <w:b/>
                <w:i w:val="0"/>
                <w:sz w:val="13"/>
              </w:rPr>
              <w:t>Interpretation</w:t>
            </w:r>
          </w:p>
        </w:tc>
      </w:tr>
      <w:tr>
        <w:tc>
          <w:tcPr>
            <w:tcW w:type="dxa" w:w="2520"/>
            <w:vAlign w:val="top"/>
          </w:tcPr>
          <w:p>
            <w:pPr>
              <w:jc w:val="left"/>
            </w:pPr>
            <w:r/>
            <w:r>
              <w:rPr>
                <w:rFonts w:ascii="Times New Roman" w:hAnsi="Times New Roman"/>
                <w:b w:val="0"/>
                <w:i w:val="0"/>
                <w:sz w:val="13"/>
              </w:rPr>
              <w:t>PCS matching rate</w:t>
            </w:r>
          </w:p>
        </w:tc>
        <w:tc>
          <w:tcPr>
            <w:tcW w:type="dxa" w:w="2520"/>
            <w:vAlign w:val="top"/>
          </w:tcPr>
          <w:p>
            <w:pPr>
              <w:jc w:val="left"/>
            </w:pPr>
            <w:r/>
            <w:r>
              <w:rPr>
                <w:rFonts w:ascii="Times New Roman" w:hAnsi="Times New Roman"/>
                <w:b w:val="0"/>
                <w:i w:val="0"/>
                <w:sz w:val="13"/>
              </w:rPr>
              <w:t>97.02%</w:t>
            </w:r>
          </w:p>
        </w:tc>
        <w:tc>
          <w:tcPr>
            <w:tcW w:type="dxa" w:w="2520"/>
            <w:vAlign w:val="top"/>
          </w:tcPr>
          <w:p>
            <w:pPr>
              <w:jc w:val="left"/>
            </w:pPr>
            <w:r/>
            <w:r>
              <w:rPr>
                <w:rFonts w:ascii="Times New Roman" w:hAnsi="Times New Roman"/>
                <w:b w:val="0"/>
                <w:i w:val="0"/>
                <w:sz w:val="13"/>
              </w:rPr>
              <w:t>Random baseline 5.07%</w:t>
            </w:r>
          </w:p>
        </w:tc>
        <w:tc>
          <w:tcPr>
            <w:tcW w:type="dxa" w:w="2520"/>
            <w:vAlign w:val="top"/>
          </w:tcPr>
          <w:p>
            <w:pPr>
              <w:jc w:val="left"/>
            </w:pPr>
            <w:r/>
            <w:r>
              <w:rPr>
                <w:rFonts w:ascii="Times New Roman" w:hAnsi="Times New Roman"/>
                <w:b w:val="0"/>
                <w:i w:val="0"/>
                <w:sz w:val="13"/>
              </w:rPr>
              <w:t>Structured recombination reproduces observed forms far better than random generation.</w:t>
            </w:r>
          </w:p>
        </w:tc>
      </w:tr>
      <w:tr>
        <w:tc>
          <w:tcPr>
            <w:tcW w:type="dxa" w:w="2520"/>
            <w:vAlign w:val="top"/>
          </w:tcPr>
          <w:p>
            <w:pPr>
              <w:jc w:val="left"/>
            </w:pPr>
            <w:r/>
            <w:r>
              <w:rPr>
                <w:rFonts w:ascii="Times New Roman" w:hAnsi="Times New Roman"/>
                <w:b w:val="0"/>
                <w:i w:val="0"/>
                <w:sz w:val="13"/>
              </w:rPr>
              <w:t>Token mass coverage</w:t>
            </w:r>
          </w:p>
        </w:tc>
        <w:tc>
          <w:tcPr>
            <w:tcW w:type="dxa" w:w="2520"/>
            <w:vAlign w:val="top"/>
          </w:tcPr>
          <w:p>
            <w:pPr>
              <w:jc w:val="left"/>
            </w:pPr>
            <w:r/>
            <w:r>
              <w:rPr>
                <w:rFonts w:ascii="Times New Roman" w:hAnsi="Times New Roman"/>
                <w:b w:val="0"/>
                <w:i w:val="0"/>
                <w:sz w:val="13"/>
              </w:rPr>
              <w:t>85.25%</w:t>
            </w:r>
          </w:p>
        </w:tc>
        <w:tc>
          <w:tcPr>
            <w:tcW w:type="dxa" w:w="2520"/>
            <w:vAlign w:val="top"/>
          </w:tcPr>
          <w:p>
            <w:pPr>
              <w:jc w:val="left"/>
            </w:pPr>
            <w:r/>
            <w:r>
              <w:rPr>
                <w:rFonts w:ascii="Times New Roman" w:hAnsi="Times New Roman"/>
                <w:b w:val="0"/>
                <w:i w:val="0"/>
                <w:sz w:val="13"/>
              </w:rPr>
              <w:t>Random baseline 18.50%</w:t>
            </w:r>
          </w:p>
        </w:tc>
        <w:tc>
          <w:tcPr>
            <w:tcW w:type="dxa" w:w="2520"/>
            <w:vAlign w:val="top"/>
          </w:tcPr>
          <w:p>
            <w:pPr>
              <w:jc w:val="left"/>
            </w:pPr>
            <w:r/>
            <w:r>
              <w:rPr>
                <w:rFonts w:ascii="Times New Roman" w:hAnsi="Times New Roman"/>
                <w:b w:val="0"/>
                <w:i w:val="0"/>
                <w:sz w:val="13"/>
              </w:rPr>
              <w:t>Frequent corpus mass is captured by the PCS model.</w:t>
            </w:r>
          </w:p>
        </w:tc>
      </w:tr>
      <w:tr>
        <w:tc>
          <w:tcPr>
            <w:tcW w:type="dxa" w:w="2520"/>
            <w:vAlign w:val="top"/>
          </w:tcPr>
          <w:p>
            <w:pPr>
              <w:jc w:val="left"/>
            </w:pPr>
            <w:r/>
            <w:r>
              <w:rPr>
                <w:rFonts w:ascii="Times New Roman" w:hAnsi="Times New Roman"/>
                <w:b w:val="0"/>
                <w:i w:val="0"/>
                <w:sz w:val="13"/>
              </w:rPr>
              <w:t>Zipf slope difference</w:t>
            </w:r>
          </w:p>
        </w:tc>
        <w:tc>
          <w:tcPr>
            <w:tcW w:type="dxa" w:w="2520"/>
            <w:vAlign w:val="top"/>
          </w:tcPr>
          <w:p>
            <w:pPr>
              <w:jc w:val="left"/>
            </w:pPr>
            <w:r/>
            <w:r>
              <w:rPr>
                <w:rFonts w:ascii="Times New Roman" w:hAnsi="Times New Roman"/>
                <w:b w:val="0"/>
                <w:i w:val="0"/>
                <w:sz w:val="13"/>
              </w:rPr>
              <w:t>0.0795</w:t>
            </w:r>
          </w:p>
        </w:tc>
        <w:tc>
          <w:tcPr>
            <w:tcW w:type="dxa" w:w="2520"/>
            <w:vAlign w:val="top"/>
          </w:tcPr>
          <w:p>
            <w:pPr>
              <w:jc w:val="left"/>
            </w:pPr>
            <w:r/>
            <w:r>
              <w:rPr>
                <w:rFonts w:ascii="Times New Roman" w:hAnsi="Times New Roman"/>
                <w:b w:val="0"/>
                <w:i w:val="0"/>
                <w:sz w:val="13"/>
              </w:rPr>
              <w:t>Random baseline 0.7138</w:t>
            </w:r>
          </w:p>
        </w:tc>
        <w:tc>
          <w:tcPr>
            <w:tcW w:type="dxa" w:w="2520"/>
            <w:vAlign w:val="top"/>
          </w:tcPr>
          <w:p>
            <w:pPr>
              <w:jc w:val="left"/>
            </w:pPr>
            <w:r/>
            <w:r>
              <w:rPr>
                <w:rFonts w:ascii="Times New Roman" w:hAnsi="Times New Roman"/>
                <w:b w:val="0"/>
                <w:i w:val="0"/>
                <w:sz w:val="13"/>
              </w:rPr>
              <w:t>Generated distribution remains close to real frequency structure.</w:t>
            </w:r>
          </w:p>
        </w:tc>
      </w:tr>
      <w:tr>
        <w:tc>
          <w:tcPr>
            <w:tcW w:type="dxa" w:w="2520"/>
            <w:vAlign w:val="top"/>
          </w:tcPr>
          <w:p>
            <w:pPr>
              <w:jc w:val="left"/>
            </w:pPr>
            <w:r/>
            <w:r>
              <w:rPr>
                <w:rFonts w:ascii="Times New Roman" w:hAnsi="Times New Roman"/>
                <w:b w:val="0"/>
                <w:i w:val="0"/>
                <w:sz w:val="13"/>
              </w:rPr>
              <w:t>H(suffix|core)</w:t>
            </w:r>
          </w:p>
        </w:tc>
        <w:tc>
          <w:tcPr>
            <w:tcW w:type="dxa" w:w="2520"/>
            <w:vAlign w:val="top"/>
          </w:tcPr>
          <w:p>
            <w:pPr>
              <w:jc w:val="left"/>
            </w:pPr>
            <w:r/>
            <w:r>
              <w:rPr>
                <w:rFonts w:ascii="Times New Roman" w:hAnsi="Times New Roman"/>
                <w:b w:val="0"/>
                <w:i w:val="0"/>
                <w:sz w:val="13"/>
              </w:rPr>
              <w:t>0.8370</w:t>
            </w:r>
          </w:p>
        </w:tc>
        <w:tc>
          <w:tcPr>
            <w:tcW w:type="dxa" w:w="2520"/>
            <w:vAlign w:val="top"/>
          </w:tcPr>
          <w:p>
            <w:pPr>
              <w:jc w:val="left"/>
            </w:pPr>
            <w:r/>
            <w:r>
              <w:rPr>
                <w:rFonts w:ascii="Times New Roman" w:hAnsi="Times New Roman"/>
                <w:b w:val="0"/>
                <w:i w:val="0"/>
                <w:sz w:val="13"/>
              </w:rPr>
              <w:t>H(core|prefix) = 5.3205</w:t>
            </w:r>
          </w:p>
        </w:tc>
        <w:tc>
          <w:tcPr>
            <w:tcW w:type="dxa" w:w="2520"/>
            <w:vAlign w:val="top"/>
          </w:tcPr>
          <w:p>
            <w:pPr>
              <w:jc w:val="left"/>
            </w:pPr>
            <w:r/>
            <w:r>
              <w:rPr>
                <w:rFonts w:ascii="Times New Roman" w:hAnsi="Times New Roman"/>
                <w:b w:val="0"/>
                <w:i w:val="0"/>
                <w:sz w:val="13"/>
              </w:rPr>
              <w:t>Suffix selection is much more constrained by core than core is by prefix.</w:t>
            </w:r>
          </w:p>
        </w:tc>
      </w:tr>
      <w:tr>
        <w:tc>
          <w:tcPr>
            <w:tcW w:type="dxa" w:w="2520"/>
            <w:vAlign w:val="top"/>
          </w:tcPr>
          <w:p>
            <w:pPr>
              <w:jc w:val="left"/>
            </w:pPr>
            <w:r/>
            <w:r>
              <w:rPr>
                <w:rFonts w:ascii="Times New Roman" w:hAnsi="Times New Roman"/>
                <w:b w:val="0"/>
                <w:i w:val="0"/>
                <w:sz w:val="13"/>
              </w:rPr>
              <w:t>Compression ratio</w:t>
            </w:r>
          </w:p>
        </w:tc>
        <w:tc>
          <w:tcPr>
            <w:tcW w:type="dxa" w:w="2520"/>
            <w:vAlign w:val="top"/>
          </w:tcPr>
          <w:p>
            <w:pPr>
              <w:jc w:val="left"/>
            </w:pPr>
            <w:r/>
            <w:r>
              <w:rPr>
                <w:rFonts w:ascii="Times New Roman" w:hAnsi="Times New Roman"/>
                <w:b w:val="0"/>
                <w:i w:val="0"/>
                <w:sz w:val="13"/>
              </w:rPr>
              <w:t>Real 0.3089; PCS 0.3163</w:t>
            </w:r>
          </w:p>
        </w:tc>
        <w:tc>
          <w:tcPr>
            <w:tcW w:type="dxa" w:w="2520"/>
            <w:vAlign w:val="top"/>
          </w:tcPr>
          <w:p>
            <w:pPr>
              <w:jc w:val="left"/>
            </w:pPr>
            <w:r/>
            <w:r>
              <w:rPr>
                <w:rFonts w:ascii="Times New Roman" w:hAnsi="Times New Roman"/>
                <w:b w:val="0"/>
                <w:i w:val="0"/>
                <w:sz w:val="13"/>
              </w:rPr>
              <w:t>Shuffled 0.3240</w:t>
            </w:r>
          </w:p>
        </w:tc>
        <w:tc>
          <w:tcPr>
            <w:tcW w:type="dxa" w:w="2520"/>
            <w:vAlign w:val="top"/>
          </w:tcPr>
          <w:p>
            <w:pPr>
              <w:jc w:val="left"/>
            </w:pPr>
            <w:r/>
            <w:r>
              <w:rPr>
                <w:rFonts w:ascii="Times New Roman" w:hAnsi="Times New Roman"/>
                <w:b w:val="0"/>
                <w:i w:val="0"/>
                <w:sz w:val="13"/>
              </w:rPr>
              <w:t>Real and PCS-generated corpora are more compressible than shuffled text.</w:t>
            </w:r>
          </w:p>
        </w:tc>
      </w:tr>
      <w:tr>
        <w:tc>
          <w:tcPr>
            <w:tcW w:type="dxa" w:w="2520"/>
            <w:vAlign w:val="top"/>
          </w:tcPr>
          <w:p>
            <w:pPr>
              <w:jc w:val="left"/>
            </w:pPr>
            <w:r/>
            <w:r>
              <w:rPr>
                <w:rFonts w:ascii="Times New Roman" w:hAnsi="Times New Roman"/>
                <w:b w:val="0"/>
                <w:i w:val="0"/>
                <w:sz w:val="13"/>
              </w:rPr>
              <w:t>Bigram entropy</w:t>
            </w:r>
          </w:p>
        </w:tc>
        <w:tc>
          <w:tcPr>
            <w:tcW w:type="dxa" w:w="2520"/>
            <w:vAlign w:val="top"/>
          </w:tcPr>
          <w:p>
            <w:pPr>
              <w:jc w:val="left"/>
            </w:pPr>
            <w:r/>
            <w:r>
              <w:rPr>
                <w:rFonts w:ascii="Times New Roman" w:hAnsi="Times New Roman"/>
                <w:b w:val="0"/>
                <w:i w:val="0"/>
                <w:sz w:val="13"/>
              </w:rPr>
              <w:t>Real 11.7001</w:t>
            </w:r>
          </w:p>
        </w:tc>
        <w:tc>
          <w:tcPr>
            <w:tcW w:type="dxa" w:w="2520"/>
            <w:vAlign w:val="top"/>
          </w:tcPr>
          <w:p>
            <w:pPr>
              <w:jc w:val="left"/>
            </w:pPr>
            <w:r/>
            <w:r>
              <w:rPr>
                <w:rFonts w:ascii="Times New Roman" w:hAnsi="Times New Roman"/>
                <w:b w:val="0"/>
                <w:i w:val="0"/>
                <w:sz w:val="13"/>
              </w:rPr>
              <w:t>Line-internal shuffle 12.7229</w:t>
            </w:r>
          </w:p>
        </w:tc>
        <w:tc>
          <w:tcPr>
            <w:tcW w:type="dxa" w:w="2520"/>
            <w:vAlign w:val="top"/>
          </w:tcPr>
          <w:p>
            <w:pPr>
              <w:jc w:val="left"/>
            </w:pPr>
            <w:r/>
            <w:r>
              <w:rPr>
                <w:rFonts w:ascii="Times New Roman" w:hAnsi="Times New Roman"/>
                <w:b w:val="0"/>
                <w:i w:val="0"/>
                <w:sz w:val="13"/>
              </w:rPr>
              <w:t>Real local ordering is more constrained than line-preserving randomization.</w:t>
            </w:r>
          </w:p>
        </w:tc>
      </w:tr>
      <w:tr>
        <w:tc>
          <w:tcPr>
            <w:tcW w:type="dxa" w:w="2520"/>
            <w:vAlign w:val="top"/>
          </w:tcPr>
          <w:p>
            <w:pPr>
              <w:jc w:val="left"/>
            </w:pPr>
            <w:r/>
            <w:r>
              <w:rPr>
                <w:rFonts w:ascii="Times New Roman" w:hAnsi="Times New Roman"/>
                <w:b w:val="0"/>
                <w:i w:val="0"/>
                <w:sz w:val="13"/>
              </w:rPr>
              <w:t>Next-token prediction</w:t>
            </w:r>
          </w:p>
        </w:tc>
        <w:tc>
          <w:tcPr>
            <w:tcW w:type="dxa" w:w="2520"/>
            <w:vAlign w:val="top"/>
          </w:tcPr>
          <w:p>
            <w:pPr>
              <w:jc w:val="left"/>
            </w:pPr>
            <w:r/>
            <w:r>
              <w:rPr>
                <w:rFonts w:ascii="Times New Roman" w:hAnsi="Times New Roman"/>
                <w:b w:val="0"/>
                <w:i w:val="0"/>
                <w:sz w:val="13"/>
              </w:rPr>
              <w:t>Top-1 0.6917; top-3 0.8168</w:t>
            </w:r>
          </w:p>
        </w:tc>
        <w:tc>
          <w:tcPr>
            <w:tcW w:type="dxa" w:w="2520"/>
            <w:vAlign w:val="top"/>
          </w:tcPr>
          <w:p>
            <w:pPr>
              <w:jc w:val="left"/>
            </w:pPr>
            <w:r/>
            <w:r>
              <w:rPr>
                <w:rFonts w:ascii="Times New Roman" w:hAnsi="Times New Roman"/>
                <w:b w:val="0"/>
                <w:i w:val="0"/>
                <w:sz w:val="13"/>
              </w:rPr>
              <w:t>Baseline top-1 0.5505; top-3 0.6912</w:t>
            </w:r>
          </w:p>
        </w:tc>
        <w:tc>
          <w:tcPr>
            <w:tcW w:type="dxa" w:w="2520"/>
            <w:vAlign w:val="top"/>
          </w:tcPr>
          <w:p>
            <w:pPr>
              <w:jc w:val="left"/>
            </w:pPr>
            <w:r/>
            <w:r>
              <w:rPr>
                <w:rFonts w:ascii="Times New Roman" w:hAnsi="Times New Roman"/>
                <w:b w:val="0"/>
                <w:i w:val="0"/>
                <w:sz w:val="13"/>
              </w:rPr>
              <w:t>Observed local sequences improve next-token predictability.</w:t>
            </w:r>
          </w:p>
        </w:tc>
      </w:tr>
      <w:tr>
        <w:tc>
          <w:tcPr>
            <w:tcW w:type="dxa" w:w="2520"/>
            <w:vAlign w:val="top"/>
          </w:tcPr>
          <w:p>
            <w:pPr>
              <w:jc w:val="left"/>
            </w:pPr>
            <w:r/>
            <w:r>
              <w:rPr>
                <w:rFonts w:ascii="Times New Roman" w:hAnsi="Times New Roman"/>
                <w:b w:val="0"/>
                <w:i w:val="0"/>
                <w:sz w:val="13"/>
              </w:rPr>
              <w:t>Line-position dependence</w:t>
            </w:r>
          </w:p>
        </w:tc>
        <w:tc>
          <w:tcPr>
            <w:tcW w:type="dxa" w:w="2520"/>
            <w:vAlign w:val="top"/>
          </w:tcPr>
          <w:p>
            <w:pPr>
              <w:jc w:val="left"/>
            </w:pPr>
            <w:r/>
            <w:r>
              <w:rPr>
                <w:rFonts w:ascii="Times New Roman" w:hAnsi="Times New Roman"/>
                <w:b w:val="0"/>
                <w:i w:val="0"/>
                <w:sz w:val="13"/>
              </w:rPr>
              <w:t>Chi-square = 46151.0531</w:t>
            </w:r>
          </w:p>
        </w:tc>
        <w:tc>
          <w:tcPr>
            <w:tcW w:type="dxa" w:w="2520"/>
            <w:vAlign w:val="top"/>
          </w:tcPr>
          <w:p>
            <w:pPr>
              <w:jc w:val="left"/>
            </w:pPr>
            <w:r/>
            <w:r>
              <w:rPr>
                <w:rFonts w:ascii="Times New Roman" w:hAnsi="Times New Roman"/>
                <w:b w:val="0"/>
                <w:i w:val="0"/>
                <w:sz w:val="13"/>
              </w:rPr>
              <w:t>p &lt; .001</w:t>
            </w:r>
          </w:p>
        </w:tc>
        <w:tc>
          <w:tcPr>
            <w:tcW w:type="dxa" w:w="2520"/>
            <w:vAlign w:val="top"/>
          </w:tcPr>
          <w:p>
            <w:pPr>
              <w:jc w:val="left"/>
            </w:pPr>
            <w:r/>
            <w:r>
              <w:rPr>
                <w:rFonts w:ascii="Times New Roman" w:hAnsi="Times New Roman"/>
                <w:b w:val="0"/>
                <w:i w:val="0"/>
                <w:sz w:val="13"/>
              </w:rPr>
              <w:t>Line position is statistically associated with token distribution.</w:t>
            </w:r>
          </w:p>
        </w:tc>
      </w:tr>
      <w:tr>
        <w:tc>
          <w:tcPr>
            <w:tcW w:type="dxa" w:w="2520"/>
            <w:vAlign w:val="top"/>
          </w:tcPr>
          <w:p>
            <w:pPr>
              <w:jc w:val="left"/>
            </w:pPr>
            <w:r/>
            <w:r>
              <w:rPr>
                <w:rFonts w:ascii="Times New Roman" w:hAnsi="Times New Roman"/>
                <w:b w:val="0"/>
                <w:i w:val="0"/>
                <w:sz w:val="13"/>
              </w:rPr>
              <w:t>Family clustering</w:t>
            </w:r>
          </w:p>
        </w:tc>
        <w:tc>
          <w:tcPr>
            <w:tcW w:type="dxa" w:w="2520"/>
            <w:vAlign w:val="top"/>
          </w:tcPr>
          <w:p>
            <w:pPr>
              <w:jc w:val="left"/>
            </w:pPr>
            <w:r/>
            <w:r>
              <w:rPr>
                <w:rFonts w:ascii="Times New Roman" w:hAnsi="Times New Roman"/>
                <w:b w:val="0"/>
                <w:i w:val="0"/>
                <w:sz w:val="13"/>
              </w:rPr>
              <w:t>Same-core mean distance 235.93; same-prefix-core mean distance 319.98</w:t>
            </w:r>
          </w:p>
        </w:tc>
        <w:tc>
          <w:tcPr>
            <w:tcW w:type="dxa" w:w="2520"/>
            <w:vAlign w:val="top"/>
          </w:tcPr>
          <w:p>
            <w:pPr>
              <w:jc w:val="left"/>
            </w:pPr>
            <w:r/>
            <w:r>
              <w:rPr>
                <w:rFonts w:ascii="Times New Roman" w:hAnsi="Times New Roman"/>
                <w:b w:val="0"/>
                <w:i w:val="0"/>
                <w:sz w:val="13"/>
              </w:rPr>
              <w:t>Shuffled 442.77 and 632.90</w:t>
            </w:r>
          </w:p>
        </w:tc>
        <w:tc>
          <w:tcPr>
            <w:tcW w:type="dxa" w:w="2520"/>
            <w:vAlign w:val="top"/>
          </w:tcPr>
          <w:p>
            <w:pPr>
              <w:jc w:val="left"/>
            </w:pPr>
            <w:r/>
            <w:r>
              <w:rPr>
                <w:rFonts w:ascii="Times New Roman" w:hAnsi="Times New Roman"/>
                <w:b w:val="0"/>
                <w:i w:val="0"/>
                <w:sz w:val="13"/>
              </w:rPr>
              <w:t>Related token families cluster locally.</w:t>
            </w:r>
          </w:p>
        </w:tc>
      </w:tr>
    </w:tbl>
    <w:p/>
    <w:p>
      <w:pPr>
        <w:spacing w:after="160"/>
      </w:pPr>
      <w:r>
        <w:rPr>
          <w:rFonts w:ascii="Times New Roman" w:hAnsi="Times New Roman"/>
          <w:i/>
          <w:sz w:val="18"/>
        </w:rPr>
        <w:t>Table 5. Key quantitative findings summary. Values are drawn from the component studies and are used as cross-level constraints for future models.</w:t>
      </w:r>
    </w:p>
    <w:p>
      <w:pPr>
        <w:pStyle w:val="Heading1"/>
      </w:pPr>
      <w:r>
        <w:rPr>
          <w:rFonts w:ascii="Times New Roman" w:hAnsi="Times New Roman"/>
          <w:b/>
        </w:rPr>
        <w:t>7. Discussion</w:t>
      </w:r>
    </w:p>
    <w:p>
      <w:pPr>
        <w:pStyle w:val="Heading2"/>
      </w:pPr>
      <w:r>
        <w:rPr>
          <w:rFonts w:ascii="Times New Roman" w:hAnsi="Times New Roman"/>
          <w:b/>
        </w:rPr>
        <w:t>7.1 From isolated regularities to a multi-level structural system</w:t>
      </w:r>
    </w:p>
    <w:p>
      <w:pPr>
        <w:spacing w:after="120" w:line="252" w:lineRule="auto"/>
      </w:pPr>
      <w:r>
        <w:rPr>
          <w:rFonts w:ascii="Times New Roman" w:hAnsi="Times New Roman"/>
          <w:b w:val="0"/>
          <w:i w:val="0"/>
          <w:sz w:val="22"/>
        </w:rPr>
        <w:t>The main contribution of this integrated paper is the shift from isolated statistical observations to a multi-level structural account. Each component study tests a different level of organization, and the results are mutually reinforcing. Positional constraints show that token placement is not arbitrary. Comparative predictability shows that the token system has language-like dynamics while remaining structurally distinct from natural language. PCS dependency analysis identifies an internal conditional architecture. PCS generation demonstrates that the architecture can reproduce a large portion of the observed token system. Inter-token analysis shows that local ordering is also constrained.</w:t>
      </w:r>
    </w:p>
    <w:p>
      <w:pPr>
        <w:spacing w:after="120" w:line="252" w:lineRule="auto"/>
      </w:pPr>
      <w:r>
        <w:rPr>
          <w:rFonts w:ascii="Times New Roman" w:hAnsi="Times New Roman"/>
          <w:b w:val="0"/>
          <w:i w:val="0"/>
          <w:sz w:val="22"/>
        </w:rPr>
        <w:t>This convergence is stronger than any individual result. A simple pseudo-text generator might reproduce token shapes but fail at position. A language-like entropy curve might arise without PCS dependency. A PCS token model might generate plausible forms but fail to reproduce local ordering. The integrated evidence requires an explanation that operates across several structural levels simultaneously.</w:t>
      </w:r>
    </w:p>
    <w:p>
      <w:pPr>
        <w:pStyle w:val="Heading2"/>
      </w:pPr>
      <w:r>
        <w:rPr>
          <w:rFonts w:ascii="Times New Roman" w:hAnsi="Times New Roman"/>
          <w:b/>
        </w:rPr>
        <w:t>7.2 The role of the core component</w:t>
      </w:r>
    </w:p>
    <w:p>
      <w:pPr>
        <w:spacing w:after="120" w:line="252" w:lineRule="auto"/>
      </w:pPr>
      <w:r>
        <w:rPr>
          <w:rFonts w:ascii="Times New Roman" w:hAnsi="Times New Roman"/>
          <w:b w:val="0"/>
          <w:i w:val="0"/>
          <w:sz w:val="22"/>
        </w:rPr>
        <w:t>Across the PCS studies, the core component emerges as a central structural carrier. It strongly conditions suffix selection within tokens and also participates in cross-token continuity through core-to-next-core transitions. This does not mean that the core has been semantically identified. It means that the middle component of the token, defined positionally, carries a disproportionate share of the statistical structure.</w:t>
      </w:r>
    </w:p>
    <w:p>
      <w:pPr>
        <w:spacing w:after="120" w:line="252" w:lineRule="auto"/>
      </w:pPr>
      <w:r>
        <w:rPr>
          <w:rFonts w:ascii="Times New Roman" w:hAnsi="Times New Roman"/>
          <w:b w:val="0"/>
          <w:i w:val="0"/>
          <w:sz w:val="22"/>
        </w:rPr>
        <w:t>The choice of the term core is therefore important. The analysis does not assume a stem in the linguistic sense. It identifies a central component that behaves as a conditioning unit within the token system. This distinction keeps the interpretation structural rather than morphological in the conventional linguistic sense.</w:t>
      </w:r>
    </w:p>
    <w:p>
      <w:pPr>
        <w:pStyle w:val="Heading2"/>
      </w:pPr>
      <w:r>
        <w:rPr>
          <w:rFonts w:ascii="Times New Roman" w:hAnsi="Times New Roman"/>
          <w:b/>
        </w:rPr>
        <w:t>7.3 What the results do not show</w:t>
      </w:r>
    </w:p>
    <w:p>
      <w:pPr>
        <w:spacing w:after="120" w:line="252" w:lineRule="auto"/>
      </w:pPr>
      <w:r>
        <w:rPr>
          <w:rFonts w:ascii="Times New Roman" w:hAnsi="Times New Roman"/>
          <w:b w:val="0"/>
          <w:i w:val="0"/>
          <w:sz w:val="22"/>
        </w:rPr>
        <w:t>The integrated results do not decipher the manuscript. They do not identify a source language, assign meanings to tokens, translate lines, or confirm syntactic categories. Terms such as prefix, core, suffix, token family, and local recurrence are used operationally. Similarly, phrase-like recurrence means repeated local structure, not confirmed semantic phrasing.</w:t>
      </w:r>
    </w:p>
    <w:p>
      <w:pPr>
        <w:spacing w:after="120" w:line="252" w:lineRule="auto"/>
      </w:pPr>
      <w:r>
        <w:rPr>
          <w:rFonts w:ascii="Times New Roman" w:hAnsi="Times New Roman"/>
          <w:b w:val="0"/>
          <w:i w:val="0"/>
          <w:sz w:val="22"/>
        </w:rPr>
        <w:t>The safest conclusion is that the manuscript exhibits multi-level non-random organization. Whether this organization reflects a natural language encoded in an unusual way, a specialized symbolic notation, a constructed system, scribal conventions, a pseudo-text generator with higher-order constraints, or some combination of these remains unresolved.</w:t>
      </w:r>
    </w:p>
    <w:p>
      <w:pPr>
        <w:pStyle w:val="Heading2"/>
      </w:pPr>
      <w:r>
        <w:rPr>
          <w:rFonts w:ascii="Times New Roman" w:hAnsi="Times New Roman"/>
          <w:b/>
        </w:rPr>
        <w:t>7.4 Implications for future models</w:t>
      </w:r>
    </w:p>
    <w:p>
      <w:pPr>
        <w:spacing w:after="120" w:line="252" w:lineRule="auto"/>
      </w:pPr>
      <w:r>
        <w:rPr>
          <w:rFonts w:ascii="Times New Roman" w:hAnsi="Times New Roman"/>
          <w:b w:val="0"/>
          <w:i w:val="0"/>
          <w:sz w:val="22"/>
        </w:rPr>
        <w:t>Any future model of the Voynich Manuscript should satisfy at least five constraints. First, it should reproduce positional effects at line and paragraph boundaries. Second, it should preserve language-like entropy and ambiguity dynamics without reducing the text to ordinary natural-language morphology. Third, it should account for asymmetric PCS dependency, especially the core-conditioned suffix system. Fourth, it should reproduce observed token forms and distributional properties under holdout validation. Fifth, it should generate non-random local token order and line-boundary effects.</w:t>
      </w:r>
    </w:p>
    <w:p>
      <w:pPr>
        <w:spacing w:after="120" w:line="252" w:lineRule="auto"/>
      </w:pPr>
      <w:r>
        <w:rPr>
          <w:rFonts w:ascii="Times New Roman" w:hAnsi="Times New Roman"/>
          <w:b w:val="0"/>
          <w:i w:val="0"/>
          <w:sz w:val="22"/>
        </w:rPr>
        <w:t>A model that explains only one layer should not be considered sufficient. The present synthesis provides a falsifiable checklist for evaluating future linguistic, cryptographic, or generative proposals.</w:t>
      </w:r>
    </w:p>
    <w:p>
      <w:pPr>
        <w:pStyle w:val="Heading1"/>
      </w:pPr>
      <w:r>
        <w:rPr>
          <w:rFonts w:ascii="Times New Roman" w:hAnsi="Times New Roman"/>
          <w:b/>
        </w:rPr>
        <w:t>8. Limitations</w:t>
      </w:r>
    </w:p>
    <w:p>
      <w:pPr>
        <w:spacing w:after="120" w:line="252" w:lineRule="auto"/>
      </w:pPr>
      <w:r>
        <w:rPr>
          <w:rFonts w:ascii="Times New Roman" w:hAnsi="Times New Roman"/>
          <w:b w:val="0"/>
          <w:i w:val="0"/>
          <w:sz w:val="22"/>
        </w:rPr>
        <w:t>First, all component studies depend on the Zandbergen-Landini EVA transcription. Alternative transcriptions or tokenization conventions may affect token counts, component segmentation, and line-boundary statistics.</w:t>
      </w:r>
    </w:p>
    <w:p>
      <w:pPr>
        <w:spacing w:after="120" w:line="252" w:lineRule="auto"/>
      </w:pPr>
      <w:r>
        <w:rPr>
          <w:rFonts w:ascii="Times New Roman" w:hAnsi="Times New Roman"/>
          <w:b w:val="0"/>
          <w:i w:val="0"/>
          <w:sz w:val="22"/>
        </w:rPr>
        <w:t>Second, the component studies use different preprocessing rules appropriate to their research questions. This means that token totals are not identical across all analyses. The integrated claim concerns convergence across structural probes, not uniformity of corpus counts.</w:t>
      </w:r>
    </w:p>
    <w:p>
      <w:pPr>
        <w:spacing w:after="120" w:line="252" w:lineRule="auto"/>
      </w:pPr>
      <w:r>
        <w:rPr>
          <w:rFonts w:ascii="Times New Roman" w:hAnsi="Times New Roman"/>
          <w:b w:val="0"/>
          <w:i w:val="0"/>
          <w:sz w:val="22"/>
        </w:rPr>
        <w:t>Third, PCS segmentation is operational rather than semantic. Prefix, core, and suffix are positional components, not confirmed linguistic morphemes.</w:t>
      </w:r>
    </w:p>
    <w:p>
      <w:pPr>
        <w:spacing w:after="120" w:line="252" w:lineRule="auto"/>
      </w:pPr>
      <w:r>
        <w:rPr>
          <w:rFonts w:ascii="Times New Roman" w:hAnsi="Times New Roman"/>
          <w:b w:val="0"/>
          <w:i w:val="0"/>
          <w:sz w:val="22"/>
        </w:rPr>
        <w:t>Fourth, the high PCS matching rate may partly reflect combinatorial capacity. Fixed-length validation, bootstrap testing, holdout validation, Zipf alignment, compression, and family analyses reduce this concern but do not eliminate the need for further precision-oriented testing.</w:t>
      </w:r>
    </w:p>
    <w:p>
      <w:pPr>
        <w:spacing w:after="120" w:line="252" w:lineRule="auto"/>
      </w:pPr>
      <w:r>
        <w:rPr>
          <w:rFonts w:ascii="Times New Roman" w:hAnsi="Times New Roman"/>
          <w:b w:val="0"/>
          <w:i w:val="0"/>
          <w:sz w:val="22"/>
        </w:rPr>
        <w:t>Fifth, shuffled baselines do not exhaust all possible generative mechanisms. More complex pseudo-text generators could be designed to reproduce some of the observed effects. Future work should compare the integrated metrics against explicit generative algorithms.</w:t>
      </w:r>
    </w:p>
    <w:p>
      <w:pPr>
        <w:spacing w:after="120" w:line="252" w:lineRule="auto"/>
      </w:pPr>
      <w:r>
        <w:rPr>
          <w:rFonts w:ascii="Times New Roman" w:hAnsi="Times New Roman"/>
          <w:b w:val="0"/>
          <w:i w:val="0"/>
          <w:sz w:val="22"/>
        </w:rPr>
        <w:t>Sixth, local sequential structure does not establish full grammar. Inter-token dependency and line-boundary structure are evidence of arrangement, not translation.</w:t>
      </w:r>
    </w:p>
    <w:p>
      <w:pPr>
        <w:pStyle w:val="Heading1"/>
      </w:pPr>
      <w:r>
        <w:rPr>
          <w:rFonts w:ascii="Times New Roman" w:hAnsi="Times New Roman"/>
          <w:b/>
        </w:rPr>
        <w:t>9. Conclusion</w:t>
      </w:r>
    </w:p>
    <w:p>
      <w:pPr>
        <w:spacing w:after="120" w:line="252" w:lineRule="auto"/>
      </w:pPr>
      <w:r>
        <w:rPr>
          <w:rFonts w:ascii="Times New Roman" w:hAnsi="Times New Roman"/>
          <w:b w:val="0"/>
          <w:i w:val="0"/>
          <w:sz w:val="22"/>
        </w:rPr>
        <w:t>This paper synthesizes five linked statistical studies of the Voynich Manuscript into a multi-level structural framework. The evidence indicates that the manuscript is not merely non-random in a broad distributional sense. It is structured across multiple levels: token position, predictability, token-internal dependency, token generation, and local inter-token arrangement.</w:t>
      </w:r>
    </w:p>
    <w:p>
      <w:pPr>
        <w:spacing w:after="120" w:line="252" w:lineRule="auto"/>
      </w:pPr>
      <w:r>
        <w:rPr>
          <w:rFonts w:ascii="Times New Roman" w:hAnsi="Times New Roman"/>
          <w:b w:val="0"/>
          <w:i w:val="0"/>
          <w:sz w:val="22"/>
        </w:rPr>
        <w:t>The integrated results support the interpretation of the Voynich text as a multi-level structured symbolic system. This interpretation remains independent of semantic decipherment. It does not establish what the tokens mean, whether they encode a known language, or whether the system is linguistic, cryptographic, mnemonic, classificatory, or artificially generated. It establishes instead that any satisfactory account of the manuscript must explain a coordinated set of structural constraints.</w:t>
      </w:r>
    </w:p>
    <w:p>
      <w:pPr>
        <w:pStyle w:val="Heading1"/>
      </w:pPr>
      <w:r>
        <w:rPr>
          <w:rFonts w:ascii="Times New Roman" w:hAnsi="Times New Roman"/>
          <w:b/>
        </w:rPr>
        <w:t>10. Future Work</w:t>
      </w:r>
    </w:p>
    <w:p>
      <w:pPr>
        <w:spacing w:after="120" w:line="252" w:lineRule="auto"/>
      </w:pPr>
      <w:r>
        <w:rPr>
          <w:rFonts w:ascii="Times New Roman" w:hAnsi="Times New Roman"/>
          <w:b w:val="0"/>
          <w:i w:val="0"/>
          <w:sz w:val="22"/>
        </w:rPr>
        <w:t>Future work should extend this framework from global token structure to section-specific structural zoning. In particular, the next stage should test whether PCS distributions, token-family concentrations, inter-token transitions, and line-boundary effects vary systematically across folios, manuscript sections, visual categories, and local zones. Such analysis would ask whether herbal, astronomical, biological, cosmological, and recipe-like sections show distinct structural signatures without assuming that the section labels correspond to semantic categories.</w:t>
      </w:r>
    </w:p>
    <w:p>
      <w:pPr>
        <w:spacing w:after="120" w:line="252" w:lineRule="auto"/>
      </w:pPr>
      <w:r>
        <w:rPr>
          <w:rFonts w:ascii="Times New Roman" w:hAnsi="Times New Roman"/>
          <w:b w:val="0"/>
          <w:i w:val="0"/>
          <w:sz w:val="22"/>
        </w:rPr>
        <w:t>This direction is especially important because the integrated studies mostly treat the corpus as a whole. A section-specific analysis could determine whether the same structural system operates uniformly across the manuscript or whether different folio groups use different token-generation and inter-token organization regimes. It may also test whether visual layout, paragraph density, illustration category, and folio position predict changes in prefix-family size, suffix concentration, line-initial behavior, and family clustering.</w:t>
      </w:r>
    </w:p>
    <w:p>
      <w:pPr>
        <w:spacing w:after="120" w:line="252" w:lineRule="auto"/>
      </w:pPr>
      <w:r>
        <w:rPr>
          <w:rFonts w:ascii="Times New Roman" w:hAnsi="Times New Roman"/>
          <w:b w:val="0"/>
          <w:i w:val="0"/>
          <w:sz w:val="22"/>
        </w:rPr>
        <w:t>Such analysis would move the integrated framework from global structure toward structural zoning: a map of where particular token mechanisms are strengthened, weakened, or reorganized across the manuscript.</w:t>
      </w:r>
    </w:p>
    <w:p>
      <w:pPr>
        <w:pStyle w:val="Heading1"/>
      </w:pPr>
      <w:r>
        <w:rPr>
          <w:rFonts w:ascii="Times New Roman" w:hAnsi="Times New Roman"/>
          <w:b/>
        </w:rPr>
        <w:t>Data and Code Availability</w:t>
      </w:r>
    </w:p>
    <w:p>
      <w:pPr>
        <w:spacing w:after="120" w:line="252" w:lineRule="auto"/>
      </w:pPr>
      <w:r>
        <w:rPr>
          <w:rFonts w:ascii="Times New Roman" w:hAnsi="Times New Roman"/>
          <w:b w:val="0"/>
          <w:i w:val="0"/>
          <w:sz w:val="22"/>
        </w:rPr>
        <w:t>This integrated manuscript synthesizes five component studies. The component paper DOI records and component reproduction package DOI records are intentionally distinct: paper DOI records identify manuscripts, while package DOI records identify associated code, data, figures, tables, and reproduction materials.</w:t>
      </w:r>
    </w:p>
    <w:p>
      <w:pPr>
        <w:spacing w:after="120" w:line="252" w:lineRule="auto"/>
      </w:pPr>
      <w:r>
        <w:rPr>
          <w:rFonts w:ascii="Times New Roman" w:hAnsi="Times New Roman"/>
          <w:b w:val="0"/>
          <w:i w:val="0"/>
          <w:sz w:val="22"/>
        </w:rPr>
        <w:t>Component paper DOIs are as follows: Paper 1, https://doi.org/10.5281/zenodo.19687875; Paper 2, https://doi.org/10.5281/zenodo.19737888; Paper 3, https://doi.org/10.5281/zenodo.19765707; Paper 4, https://doi.org/10.5281/zenodo.19858094; Paper 5, https://doi.org/10.5281/zenodo.19869629.</w:t>
      </w:r>
    </w:p>
    <w:p>
      <w:pPr>
        <w:spacing w:after="120" w:line="252" w:lineRule="auto"/>
      </w:pPr>
      <w:r>
        <w:rPr>
          <w:rFonts w:ascii="Times New Roman" w:hAnsi="Times New Roman"/>
          <w:b w:val="0"/>
          <w:i w:val="0"/>
          <w:sz w:val="22"/>
        </w:rPr>
        <w:t>Component package DOI records are as follows: Paper 1 package/concept, https://doi.org/10.5281/zenodo.19689753; Paper 2 package, https://doi.org/10.5281/zenodo.19737444; Paper 3 package, https://doi.org/10.5281/zenodo.19765403; Paper 4 package, https://doi.org/10.5281/zenodo.19857820; Paper 5 package, https://doi.org/10.5281/zenodo.19869615.</w:t>
      </w:r>
    </w:p>
    <w:p>
      <w:pPr>
        <w:spacing w:after="120" w:line="252" w:lineRule="auto"/>
      </w:pPr>
      <w:r>
        <w:rPr>
          <w:rFonts w:ascii="Times New Roman" w:hAnsi="Times New Roman"/>
          <w:b w:val="0"/>
          <w:i w:val="0"/>
          <w:sz w:val="22"/>
        </w:rPr>
        <w:t>The package DOI records point specifically to data/code repositories and derived reproduction materials; they are separate from the preprint DOI records listed in the References.</w:t>
      </w:r>
    </w:p>
    <w:p>
      <w:pPr>
        <w:pStyle w:val="Heading1"/>
      </w:pPr>
      <w:r>
        <w:rPr>
          <w:rFonts w:ascii="Times New Roman" w:hAnsi="Times New Roman"/>
          <w:b/>
        </w:rPr>
        <w:t>Funding</w:t>
      </w:r>
    </w:p>
    <w:p>
      <w:pPr>
        <w:spacing w:after="120" w:line="252" w:lineRule="auto"/>
      </w:pPr>
      <w:r>
        <w:rPr>
          <w:rFonts w:ascii="Times New Roman" w:hAnsi="Times New Roman"/>
          <w:b w:val="0"/>
          <w:i w:val="0"/>
          <w:sz w:val="22"/>
        </w:rPr>
        <w:t>This research received no external funding.</w:t>
      </w:r>
    </w:p>
    <w:p>
      <w:pPr>
        <w:pStyle w:val="Heading1"/>
      </w:pPr>
      <w:r>
        <w:rPr>
          <w:rFonts w:ascii="Times New Roman" w:hAnsi="Times New Roman"/>
          <w:b/>
        </w:rPr>
        <w:t>Competing Interests</w:t>
      </w:r>
    </w:p>
    <w:p>
      <w:pPr>
        <w:spacing w:after="120" w:line="252" w:lineRule="auto"/>
      </w:pPr>
      <w:r>
        <w:rPr>
          <w:rFonts w:ascii="Times New Roman" w:hAnsi="Times New Roman"/>
          <w:b w:val="0"/>
          <w:i w:val="0"/>
          <w:sz w:val="22"/>
        </w:rPr>
        <w:t>The author declares no competing interests.</w:t>
      </w:r>
    </w:p>
    <w:p>
      <w:pPr>
        <w:pStyle w:val="Heading1"/>
      </w:pPr>
      <w:r>
        <w:rPr>
          <w:rFonts w:ascii="Times New Roman" w:hAnsi="Times New Roman"/>
          <w:b/>
        </w:rPr>
        <w:t>Ethics Statement</w:t>
      </w:r>
    </w:p>
    <w:p>
      <w:pPr>
        <w:spacing w:after="120" w:line="252" w:lineRule="auto"/>
      </w:pPr>
      <w:r>
        <w:rPr>
          <w:rFonts w:ascii="Times New Roman" w:hAnsi="Times New Roman"/>
          <w:b w:val="0"/>
          <w:i w:val="0"/>
          <w:sz w:val="22"/>
        </w:rPr>
        <w:t>This study uses publicly available manuscript transcription data and does not involve human participants, animals, or personally identifiable information.</w:t>
      </w:r>
    </w:p>
    <w:p>
      <w:pPr>
        <w:pStyle w:val="Heading1"/>
      </w:pPr>
      <w:r>
        <w:rPr>
          <w:rFonts w:ascii="Times New Roman" w:hAnsi="Times New Roman"/>
          <w:b/>
        </w:rPr>
        <w:t>Acknowledgements</w:t>
      </w:r>
    </w:p>
    <w:p>
      <w:pPr>
        <w:spacing w:after="120" w:line="252" w:lineRule="auto"/>
      </w:pPr>
      <w:r>
        <w:rPr>
          <w:rFonts w:ascii="Times New Roman" w:hAnsi="Times New Roman"/>
          <w:b w:val="0"/>
          <w:i w:val="0"/>
          <w:sz w:val="22"/>
        </w:rPr>
        <w:t>AI-based tools (Claude, ChatGPT, Gemini) assisted with code implementation, figure generation, manuscript editing, and synthesis drafting. Research design, analytical decisions, statistical interpretation, and final argumentation were conducted by the author.</w:t>
      </w:r>
    </w:p>
    <w:p>
      <w:pPr>
        <w:pStyle w:val="Heading1"/>
      </w:pPr>
      <w:r>
        <w:rPr>
          <w:rFonts w:ascii="Times New Roman" w:hAnsi="Times New Roman"/>
          <w:b/>
        </w:rPr>
        <w:t>References</w:t>
      </w:r>
    </w:p>
    <w:p>
      <w:pPr>
        <w:spacing w:after="120" w:line="252" w:lineRule="auto"/>
      </w:pPr>
      <w:r>
        <w:rPr>
          <w:rFonts w:ascii="Times New Roman" w:hAnsi="Times New Roman"/>
          <w:b w:val="0"/>
          <w:i w:val="0"/>
          <w:sz w:val="22"/>
        </w:rPr>
        <w:t>Bennett, W. R. (1976). Scientific and Engineering Problem Solving with the Computer. Prentice Hall.</w:t>
      </w:r>
    </w:p>
    <w:p>
      <w:pPr>
        <w:spacing w:after="120" w:line="252" w:lineRule="auto"/>
      </w:pPr>
      <w:r>
        <w:rPr>
          <w:rFonts w:ascii="Times New Roman" w:hAnsi="Times New Roman"/>
          <w:b w:val="0"/>
          <w:i w:val="0"/>
          <w:sz w:val="22"/>
        </w:rPr>
        <w:t>Chang, Y. (2026a). Robust positional constraints in the Voynich Manuscript: Toward a structured token architecture. Zenodo. https://doi.org/10.5281/zenodo.19687875</w:t>
      </w:r>
    </w:p>
    <w:p>
      <w:pPr>
        <w:spacing w:after="120" w:line="252" w:lineRule="auto"/>
      </w:pPr>
      <w:r>
        <w:rPr>
          <w:rFonts w:ascii="Times New Roman" w:hAnsi="Times New Roman"/>
          <w:b w:val="0"/>
          <w:i w:val="0"/>
          <w:sz w:val="22"/>
        </w:rPr>
        <w:t>Chang, Y. (2026b). Language-like predictability and structural divergence in Voynich tokens: A comparative statistical study. Zenodo. https://doi.org/10.5281/zenodo.19737888</w:t>
      </w:r>
    </w:p>
    <w:p>
      <w:pPr>
        <w:spacing w:after="120" w:line="252" w:lineRule="auto"/>
      </w:pPr>
      <w:r>
        <w:rPr>
          <w:rFonts w:ascii="Times New Roman" w:hAnsi="Times New Roman"/>
          <w:b w:val="0"/>
          <w:i w:val="0"/>
          <w:sz w:val="22"/>
        </w:rPr>
        <w:t>Chang, Y. (2026c). Conditional structure and generative dependencies in Voynich tokens: A prefix-core-suffix analysis. Zenodo. https://doi.org/10.5281/zenodo.19765707</w:t>
      </w:r>
    </w:p>
    <w:p>
      <w:pPr>
        <w:spacing w:after="120" w:line="252" w:lineRule="auto"/>
      </w:pPr>
      <w:r>
        <w:rPr>
          <w:rFonts w:ascii="Times New Roman" w:hAnsi="Times New Roman"/>
          <w:b w:val="0"/>
          <w:i w:val="0"/>
          <w:sz w:val="22"/>
        </w:rPr>
        <w:t>Chang, Y. (2026d). Evidence for a structured token-generation system in the Voynich Manuscript. Zenodo. https://doi.org/10.5281/zenodo.19858094</w:t>
      </w:r>
    </w:p>
    <w:p>
      <w:pPr>
        <w:spacing w:after="120" w:line="252" w:lineRule="auto"/>
      </w:pPr>
      <w:r>
        <w:rPr>
          <w:rFonts w:ascii="Times New Roman" w:hAnsi="Times New Roman"/>
          <w:b w:val="0"/>
          <w:i w:val="0"/>
          <w:sz w:val="22"/>
        </w:rPr>
        <w:t>Chang, Y. (2026e). Beyond token generation: Inter-token structure in the Voynich Manuscript. Zenodo. https://doi.org/10.5281/zenodo.19869629</w:t>
      </w:r>
    </w:p>
    <w:p>
      <w:pPr>
        <w:spacing w:after="120" w:line="252" w:lineRule="auto"/>
      </w:pPr>
      <w:r>
        <w:rPr>
          <w:rFonts w:ascii="Times New Roman" w:hAnsi="Times New Roman"/>
          <w:b w:val="0"/>
          <w:i w:val="0"/>
          <w:sz w:val="22"/>
        </w:rPr>
        <w:t>Currier, P. H. (1976). Some important new statistical findings. In M. D'Imperio (Ed.), New research on the Voynich Manuscript: Proceedings of a seminar (pp. 1-10). National Security Agency.</w:t>
      </w:r>
    </w:p>
    <w:p>
      <w:pPr>
        <w:spacing w:after="120" w:line="252" w:lineRule="auto"/>
      </w:pPr>
      <w:r>
        <w:rPr>
          <w:rFonts w:ascii="Times New Roman" w:hAnsi="Times New Roman"/>
          <w:b w:val="0"/>
          <w:i w:val="0"/>
          <w:sz w:val="22"/>
        </w:rPr>
        <w:t>Landini, G. (2001). Evidence of linguistic structure in the Voynich Manuscript using spectral analysis. Cryptologia, 25(4), 275-295.</w:t>
      </w:r>
    </w:p>
    <w:p>
      <w:pPr>
        <w:spacing w:after="120" w:line="252" w:lineRule="auto"/>
      </w:pPr>
      <w:r>
        <w:rPr>
          <w:rFonts w:ascii="Times New Roman" w:hAnsi="Times New Roman"/>
          <w:b w:val="0"/>
          <w:i w:val="0"/>
          <w:sz w:val="22"/>
        </w:rPr>
        <w:t>Montemurro, M. A., &amp; Zanette, D. H. (2013). Keywords and co-occurrence patterns in the Voynich Manuscript: An information-theoretic analysis. PLOS ONE, 8(6), e66344.</w:t>
      </w:r>
    </w:p>
    <w:p>
      <w:pPr>
        <w:spacing w:after="120" w:line="252" w:lineRule="auto"/>
      </w:pPr>
      <w:r>
        <w:rPr>
          <w:rFonts w:ascii="Times New Roman" w:hAnsi="Times New Roman"/>
          <w:b w:val="0"/>
          <w:i w:val="0"/>
          <w:sz w:val="22"/>
        </w:rPr>
        <w:t>Parisel, O. (2026). Evidence of layered positional and directional constraints in the Voynich Manuscript: Implications for cipher-like structure. arXiv preprint arXiv:2604.19762.</w:t>
      </w:r>
    </w:p>
    <w:p>
      <w:pPr>
        <w:spacing w:after="120" w:line="252" w:lineRule="auto"/>
      </w:pPr>
      <w:r>
        <w:rPr>
          <w:rFonts w:ascii="Times New Roman" w:hAnsi="Times New Roman"/>
          <w:b w:val="0"/>
          <w:i w:val="0"/>
          <w:sz w:val="22"/>
        </w:rPr>
        <w:t>Reddy, S., &amp; Knight, K. (2011). What we know about the Voynich Manuscript. Proceedings of the 5th ACL-HLT Workshop on Language Technology for Cultural Heritage, Social Sciences, and Humanities, 78-85.</w:t>
      </w:r>
    </w:p>
    <w:p>
      <w:pPr>
        <w:spacing w:after="120" w:line="252" w:lineRule="auto"/>
      </w:pPr>
      <w:r>
        <w:rPr>
          <w:rFonts w:ascii="Times New Roman" w:hAnsi="Times New Roman"/>
          <w:b w:val="0"/>
          <w:i w:val="0"/>
          <w:sz w:val="22"/>
        </w:rPr>
        <w:t>Rugg, G. (2004). An elegant hoax? A possible solution to the Voynich Manuscript. Cryptologia, 28(1), 31-46.</w:t>
      </w:r>
    </w:p>
    <w:p>
      <w:pPr>
        <w:spacing w:after="120" w:line="252" w:lineRule="auto"/>
      </w:pPr>
      <w:r>
        <w:rPr>
          <w:rFonts w:ascii="Times New Roman" w:hAnsi="Times New Roman"/>
          <w:b w:val="0"/>
          <w:i w:val="0"/>
          <w:sz w:val="22"/>
        </w:rPr>
        <w:t>Stolfi, J. (1997). A morphological analysis of Voynich text. Unpublished manuscript. https://www.ic.unicamp.br/~stolfi/voynich/</w:t>
      </w:r>
    </w:p>
    <w:p>
      <w:pPr>
        <w:spacing w:after="120" w:line="252" w:lineRule="auto"/>
      </w:pPr>
      <w:r>
        <w:rPr>
          <w:rFonts w:ascii="Times New Roman" w:hAnsi="Times New Roman"/>
          <w:b w:val="0"/>
          <w:i w:val="0"/>
          <w:sz w:val="22"/>
        </w:rPr>
        <w:t>Timm, T., &amp; Schinner, A. (2020). A possible generating algorithm of the Voynich manuscript. Cryptologia, 44(1), 1-19. https://doi.org/10.1080/01611194.2019.1596999</w:t>
      </w:r>
    </w:p>
    <w:p>
      <w:pPr>
        <w:spacing w:after="120" w:line="252" w:lineRule="auto"/>
      </w:pPr>
      <w:r>
        <w:rPr>
          <w:rFonts w:ascii="Times New Roman" w:hAnsi="Times New Roman"/>
          <w:b w:val="0"/>
          <w:i w:val="0"/>
          <w:sz w:val="22"/>
        </w:rPr>
        <w:t>Zandbergen, R. (2025). ZL3b EVA transcription files. Voynich.nu. https://www.voynich.nu</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Multi-Level Statistical Constraints in the Voynich Manuscript: From Token Structure to Sequential Organization</dc:title>
  <dc:subject>Cryptologia submission manuscript</dc:subject>
  <dc:creator>Youngsan Chang</dc:creator>
  <cp:keywords>Voynich Manuscript; statistical constraints; Cryptologia</cp:keywords>
  <dc:description>generated by python-docx</dc:description>
  <cp:lastModifiedBy/>
  <cp:revision>1</cp:revision>
  <dcterms:created xsi:type="dcterms:W3CDTF">2013-12-23T23:15:00Z</dcterms:created>
  <dcterms:modified xsi:type="dcterms:W3CDTF">2013-12-23T23:15:00Z</dcterms:modified>
  <cp:category/>
</cp:coreProperties>
</file>