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78556" w14:textId="77777777" w:rsidR="00D2559A" w:rsidRDefault="00F0205F">
      <w:pPr>
        <w:spacing w:after="168" w:line="259" w:lineRule="auto"/>
        <w:ind w:left="1086" w:right="1086" w:firstLine="0"/>
        <w:jc w:val="center"/>
      </w:pPr>
      <w:r>
        <w:rPr>
          <w:b/>
          <w:sz w:val="34"/>
        </w:rPr>
        <w:t>Impact of COVID-19 on jobs in Ohio’s Healthcare Sector</w:t>
      </w:r>
    </w:p>
    <w:p w14:paraId="2CA2DBF5" w14:textId="01469FB2" w:rsidR="00D2559A" w:rsidRDefault="00F0205F">
      <w:pPr>
        <w:spacing w:after="0" w:line="265" w:lineRule="auto"/>
        <w:jc w:val="center"/>
      </w:pPr>
      <w:proofErr w:type="spellStart"/>
      <w:r>
        <w:rPr>
          <w:sz w:val="24"/>
        </w:rPr>
        <w:t>Saannidhya</w:t>
      </w:r>
      <w:proofErr w:type="spellEnd"/>
      <w:r>
        <w:rPr>
          <w:sz w:val="24"/>
        </w:rPr>
        <w:t xml:space="preserve"> Rawat</w:t>
      </w:r>
      <w:r w:rsidR="00F86D41">
        <w:rPr>
          <w:rStyle w:val="FootnoteReference"/>
          <w:sz w:val="24"/>
        </w:rPr>
        <w:footnoteReference w:id="1"/>
      </w:r>
    </w:p>
    <w:p w14:paraId="7EDD03D1" w14:textId="77777777" w:rsidR="00D2559A" w:rsidRDefault="00F0205F">
      <w:pPr>
        <w:spacing w:after="857" w:line="265" w:lineRule="auto"/>
        <w:jc w:val="center"/>
      </w:pPr>
      <w:r>
        <w:rPr>
          <w:sz w:val="24"/>
        </w:rPr>
        <w:t>University of Cincinnati</w:t>
      </w:r>
    </w:p>
    <w:p w14:paraId="7FE86381" w14:textId="77777777" w:rsidR="00D2559A" w:rsidRPr="003973AF" w:rsidRDefault="00F0205F">
      <w:pPr>
        <w:pStyle w:val="Heading1"/>
        <w:numPr>
          <w:ilvl w:val="0"/>
          <w:numId w:val="0"/>
        </w:numPr>
        <w:spacing w:after="65"/>
        <w:jc w:val="center"/>
        <w:rPr>
          <w:sz w:val="22"/>
        </w:rPr>
      </w:pPr>
      <w:r w:rsidRPr="003973AF">
        <w:rPr>
          <w:rFonts w:ascii="Cambria" w:eastAsia="Cambria" w:hAnsi="Cambria" w:cs="Cambria"/>
          <w:sz w:val="22"/>
        </w:rPr>
        <w:t>Abstract</w:t>
      </w:r>
    </w:p>
    <w:p w14:paraId="113E525D" w14:textId="77777777" w:rsidR="00D2559A" w:rsidRPr="003973AF" w:rsidRDefault="00F0205F">
      <w:pPr>
        <w:spacing w:after="239" w:line="244" w:lineRule="auto"/>
        <w:ind w:left="540" w:right="531"/>
      </w:pPr>
      <w:r w:rsidRPr="003973AF">
        <w:t>Background: This study seeks to measure the impact of COVID-19 on healthcare jobs in Ohio. We check whether healthcare sector workers were similarly affected compared to workers in other industries in Ohio and if there were any significant differences in job categories within the healthcare sector.</w:t>
      </w:r>
    </w:p>
    <w:p w14:paraId="1EEA6F10" w14:textId="77777777" w:rsidR="00D2559A" w:rsidRPr="003973AF" w:rsidRDefault="00F0205F">
      <w:pPr>
        <w:spacing w:after="239" w:line="244" w:lineRule="auto"/>
        <w:ind w:left="540" w:right="531"/>
      </w:pPr>
      <w:r w:rsidRPr="003973AF">
        <w:t>Methods: Using a rich dataset provided by the Ohio Department of Job and Family Services (ODJFS), we study the employment levels for different healthcare sub-sectors in Ohio by calculating job creation, destruction &amp; reallocation rates and analyze the disruption in labor markets caused by COVID-19.</w:t>
      </w:r>
    </w:p>
    <w:p w14:paraId="22B371E9" w14:textId="34B71FD7" w:rsidR="00D2559A" w:rsidRPr="003973AF" w:rsidRDefault="00F0205F">
      <w:pPr>
        <w:spacing w:after="239" w:line="244" w:lineRule="auto"/>
        <w:ind w:left="540" w:right="531"/>
      </w:pPr>
      <w:r w:rsidRPr="003973AF">
        <w:t>Results: Certain healthcare sectors such as Ambulatory Healthcare Services and Hospitals recovered almost immediately after the lockdown but are still below their pre</w:t>
      </w:r>
      <w:r w:rsidR="003973AF">
        <w:t>-</w:t>
      </w:r>
      <w:r w:rsidRPr="003973AF">
        <w:t>COVID employment levels. Social Assistance also eventually recovered but also has not reached its pre-COVID employment level. Nursing and Residential Care sector experienced permanent decline in jobs. Although both job creation and destruction rates reached their relative peaks for all healthcare subcategories, the gap between pre- and post-COVID levels was higher for job destruction rate.</w:t>
      </w:r>
    </w:p>
    <w:p w14:paraId="5925BADB" w14:textId="02A1E085" w:rsidR="00D2559A" w:rsidRPr="003973AF" w:rsidRDefault="00F0205F">
      <w:pPr>
        <w:spacing w:after="461" w:line="244" w:lineRule="auto"/>
        <w:ind w:left="540" w:right="531"/>
      </w:pPr>
      <w:r w:rsidRPr="003973AF">
        <w:t>Conclusion: Ohio’s healthcare sector has not yet fully recovered from the COVID</w:t>
      </w:r>
      <w:r w:rsidR="00A36426">
        <w:t>-</w:t>
      </w:r>
      <w:bookmarkStart w:id="0" w:name="_GoBack"/>
      <w:bookmarkEnd w:id="0"/>
      <w:r w:rsidRPr="003973AF">
        <w:t>19 lockdown imposed in 2020.</w:t>
      </w:r>
    </w:p>
    <w:p w14:paraId="177E3AC7" w14:textId="77777777" w:rsidR="00D2559A" w:rsidRPr="003973AF" w:rsidRDefault="00F0205F">
      <w:pPr>
        <w:spacing w:after="536"/>
        <w:ind w:left="-5"/>
      </w:pPr>
      <w:r w:rsidRPr="003973AF">
        <w:rPr>
          <w:i/>
        </w:rPr>
        <w:t xml:space="preserve">Keywords: </w:t>
      </w:r>
      <w:r w:rsidRPr="003973AF">
        <w:t>COVID-19; Healthcare; Labor Economics.</w:t>
      </w:r>
    </w:p>
    <w:p w14:paraId="60A1A840" w14:textId="77777777" w:rsidR="00D2559A" w:rsidRDefault="00F0205F">
      <w:pPr>
        <w:pStyle w:val="Heading1"/>
        <w:ind w:left="481" w:hanging="496"/>
      </w:pPr>
      <w:r>
        <w:t>Introduction</w:t>
      </w:r>
    </w:p>
    <w:p w14:paraId="34C095CA" w14:textId="77777777" w:rsidR="00D2559A" w:rsidRDefault="00F0205F">
      <w:pPr>
        <w:ind w:left="-5"/>
      </w:pPr>
      <w:r>
        <w:t xml:space="preserve">Centers for Disease Control and Prevention (CDC) confirmed the first case of coronavirus disease 2019 (COVID-19) on January 28th, 2020 (CDC, 2020). Since then, there have been more than 82,000,000 cases and 995,000 deaths in the U.S due to COVID-19 as of May 2022 (CDC, 2022). To contain the deadly virus in the U.S, states implemented various safety </w:t>
      </w:r>
      <w:r>
        <w:lastRenderedPageBreak/>
        <w:t>measures such as stay-at-home orders and mask mandates. These events led to a nationwide shock as people struggled to accept this new reality.</w:t>
      </w:r>
    </w:p>
    <w:p w14:paraId="5B3F277F" w14:textId="77777777" w:rsidR="00D2559A" w:rsidRDefault="00F0205F">
      <w:pPr>
        <w:spacing w:after="155" w:line="259" w:lineRule="auto"/>
        <w:ind w:left="0" w:firstLine="0"/>
        <w:jc w:val="right"/>
      </w:pPr>
      <w:r>
        <w:t>Along with being a global health crisis, COVID-19 has also been an economic crisis</w:t>
      </w:r>
    </w:p>
    <w:p w14:paraId="20DB070F" w14:textId="77777777" w:rsidR="00D2559A" w:rsidRDefault="00F0205F">
      <w:pPr>
        <w:ind w:left="-5"/>
      </w:pPr>
      <w:r>
        <w:t>(Adams-</w:t>
      </w:r>
      <w:proofErr w:type="spellStart"/>
      <w:r>
        <w:t>Prassl</w:t>
      </w:r>
      <w:proofErr w:type="spellEnd"/>
      <w:r>
        <w:t xml:space="preserve">, Cloyne, Costa Dias, </w:t>
      </w:r>
      <w:proofErr w:type="spellStart"/>
      <w:r>
        <w:t>Parey</w:t>
      </w:r>
      <w:proofErr w:type="spellEnd"/>
      <w:r>
        <w:t xml:space="preserve">, &amp; </w:t>
      </w:r>
      <w:proofErr w:type="spellStart"/>
      <w:r>
        <w:t>Ziliak</w:t>
      </w:r>
      <w:proofErr w:type="spellEnd"/>
      <w:r>
        <w:t>, 2020). The U.S Gross Domestic Product (GDP) declined by record 32</w:t>
      </w:r>
      <w:r>
        <w:rPr>
          <w:i/>
        </w:rPr>
        <w:t>.</w:t>
      </w:r>
      <w:r>
        <w:t>9% in the second quarter of 2020 (Bureau of Economic</w:t>
      </w:r>
    </w:p>
    <w:p w14:paraId="0DAA8EB6" w14:textId="77777777" w:rsidR="00D2559A" w:rsidRDefault="00F0205F">
      <w:pPr>
        <w:spacing w:after="128" w:line="259" w:lineRule="auto"/>
        <w:ind w:left="-5"/>
      </w:pPr>
      <w:r>
        <w:t>Analysis, 2020) and unemployment rate reached 15% (Bureau of Labor Statistics, 2020).</w:t>
      </w:r>
    </w:p>
    <w:p w14:paraId="6331A1CC" w14:textId="77777777" w:rsidR="00D2559A" w:rsidRDefault="00F0205F">
      <w:pPr>
        <w:spacing w:after="128" w:line="259" w:lineRule="auto"/>
        <w:ind w:left="-5"/>
      </w:pPr>
      <w:r>
        <w:t>Federal government announced CARES ACT with an aim to provide economic support to</w:t>
      </w:r>
    </w:p>
    <w:p w14:paraId="02190C78" w14:textId="77777777" w:rsidR="00D2559A" w:rsidRDefault="00F0205F">
      <w:pPr>
        <w:spacing w:after="128" w:line="259" w:lineRule="auto"/>
        <w:ind w:left="-5"/>
      </w:pPr>
      <w:r>
        <w:t>U.S citizens.</w:t>
      </w:r>
    </w:p>
    <w:p w14:paraId="160006A7" w14:textId="78BE0DE0" w:rsidR="00D2559A" w:rsidRDefault="00F0205F">
      <w:pPr>
        <w:ind w:left="-15" w:firstLine="339"/>
      </w:pPr>
      <w:r>
        <w:t xml:space="preserve">On March 22nd 2020, Governor DeWine issued a stay-at-home order for all Ohioans. This required closure of all non-essential businesses and ensured a state-wide lockdown to curb the spread of the virus (Ohio Department of Health, 2020). Healthcare workers were uniquely affected by COVID-19 lockdown as it comprised of services that provided </w:t>
      </w:r>
      <w:r w:rsidR="00907CD7">
        <w:t xml:space="preserve">essential </w:t>
      </w:r>
      <w:r>
        <w:t>care i.e. the sector was not under complete lockdown. Because the healthcare workers are 14% of the total workforce in Ohio (KFF, 2021), which is one of the highest in the nation, it is important to identify the overall effect of the COVID-19 lockdown on people employed by this sector. Furthermore, even within the healthcare sector, the impact may be quite different for different groups. For instance, clinics providing outpatient services such as general practitioners, optometrists and dentists may experience a more sudden decrease when it comes to in-person interaction as compared to hospitals, which contrastingly may experience a surge in patients admitted due to coronavirus. In this paper, we analyze the rich dataset provided by ODJFS to study the dynamics of such labor markets. We observe each unique location identifier, or “unit”, which we define as a particular location or address in Ohio that provides healthcare services, and our data covers a wide spectrum of healthcare providers ranging from residential healthcare facilities to major hospitals. For a complete definition of locations covered and the associated healthcare sector and its subsectors, see the methodology section.</w:t>
      </w:r>
    </w:p>
    <w:p w14:paraId="1A0BEAD9" w14:textId="77777777" w:rsidR="00D2559A" w:rsidRDefault="00F0205F">
      <w:pPr>
        <w:ind w:left="-15" w:firstLine="339"/>
      </w:pPr>
      <w:r>
        <w:t>There were significant differences between the healthcare sector and the rest of the sectors (referred as non-healthcare) in Ohio during The Great Recession. However, these differences were not evident during the economic recession caused by COVID-19. These results are consistent with rest of the country (Wager &amp; Hughes-</w:t>
      </w:r>
      <w:proofErr w:type="spellStart"/>
      <w:r>
        <w:t>Cromwick</w:t>
      </w:r>
      <w:proofErr w:type="spellEnd"/>
      <w:r>
        <w:t>, 2021).</w:t>
      </w:r>
    </w:p>
    <w:p w14:paraId="563D3776" w14:textId="77777777" w:rsidR="00A1370D" w:rsidRDefault="00A1370D">
      <w:pPr>
        <w:ind w:left="-15" w:firstLine="339"/>
      </w:pPr>
    </w:p>
    <w:p w14:paraId="05857F4A" w14:textId="77777777" w:rsidR="00A1370D" w:rsidRDefault="00A1370D">
      <w:pPr>
        <w:ind w:left="-15" w:firstLine="339"/>
      </w:pPr>
    </w:p>
    <w:p w14:paraId="6D70F00E" w14:textId="77777777" w:rsidR="00A1370D" w:rsidRDefault="00A1370D">
      <w:pPr>
        <w:ind w:left="-15" w:firstLine="339"/>
      </w:pPr>
    </w:p>
    <w:p w14:paraId="20B62F71" w14:textId="77777777" w:rsidR="00D2559A" w:rsidRDefault="00F0205F">
      <w:pPr>
        <w:spacing w:after="0" w:line="259" w:lineRule="auto"/>
        <w:ind w:left="728" w:right="718"/>
        <w:jc w:val="center"/>
      </w:pPr>
      <w:r>
        <w:t>Figure 1: Healthcare vs Non-Healthcare sectors in Ohio</w:t>
      </w:r>
      <w:r w:rsidR="00A1370D">
        <w:br/>
      </w:r>
    </w:p>
    <w:p w14:paraId="0846BA53" w14:textId="77777777" w:rsidR="00D2559A" w:rsidRDefault="00F0205F">
      <w:pPr>
        <w:spacing w:after="873" w:line="259" w:lineRule="auto"/>
        <w:ind w:left="0" w:right="-27" w:firstLine="0"/>
        <w:jc w:val="left"/>
      </w:pPr>
      <w:r>
        <w:rPr>
          <w:noProof/>
        </w:rPr>
        <w:drawing>
          <wp:inline distT="0" distB="0" distL="0" distR="0" wp14:anchorId="717E4993" wp14:editId="14D97082">
            <wp:extent cx="5486400" cy="4114800"/>
            <wp:effectExtent l="0" t="0" r="0" b="0"/>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11"/>
                    <a:stretch>
                      <a:fillRect/>
                    </a:stretch>
                  </pic:blipFill>
                  <pic:spPr>
                    <a:xfrm>
                      <a:off x="0" y="0"/>
                      <a:ext cx="5486400" cy="4114800"/>
                    </a:xfrm>
                    <a:prstGeom prst="rect">
                      <a:avLst/>
                    </a:prstGeom>
                  </pic:spPr>
                </pic:pic>
              </a:graphicData>
            </a:graphic>
          </wp:inline>
        </w:drawing>
      </w:r>
    </w:p>
    <w:p w14:paraId="1C66C571" w14:textId="77777777" w:rsidR="00D2559A" w:rsidRDefault="00F0205F">
      <w:pPr>
        <w:ind w:left="-15" w:firstLine="339"/>
      </w:pPr>
      <w:r>
        <w:t>Figure 1 shows year-over-year percentage change in the number of employed workers in healthcare and non-healthcare sectors in Ohio. The healthcare sector employment levels did not fall greatly during The Great Recession, even though other sectors saw a significant reduction in job levels. Contrastingly, COVID-19 recession led to a sharp reduction in healthcare workforce and this decline mimicked the reduction in non-healthcare sectors, although the decline in healthcare was not as steep.</w:t>
      </w:r>
    </w:p>
    <w:p w14:paraId="2DB137E0" w14:textId="77777777" w:rsidR="00D2559A" w:rsidRDefault="00F0205F">
      <w:pPr>
        <w:ind w:left="-15" w:firstLine="339"/>
      </w:pPr>
      <w:r>
        <w:t xml:space="preserve">The unit-level data allows us to look further than just observing aggregate employment patterns and observe more deeply how people may be affected by the changing state of the </w:t>
      </w:r>
      <w:r>
        <w:lastRenderedPageBreak/>
        <w:t>economy. Whenever a representative unit hires a new person and adds them to their payroll, a new job is created and whenever a person is removed from the payroll, a job is destroyed. Even within Ohio, thousands of jobs are added and destroyed every day.</w:t>
      </w:r>
    </w:p>
    <w:p w14:paraId="02B94C38" w14:textId="77777777" w:rsidR="00D2559A" w:rsidRDefault="00F0205F">
      <w:pPr>
        <w:spacing w:after="512"/>
        <w:ind w:left="-5"/>
      </w:pPr>
      <w:r>
        <w:t>These new jobs can either be created by existing firms which are expanding their workforce or by new firms entering the market. Analyzing the number of jobs created by new and existing firms in Ohio can tell us how likely is a person to get a job. Similarly, when firms downsize their workforce or exit the market, they destroy jobs. Analyzing the number of jobs destroyed by surviving and exiting firms in Ohio can tell us how likely a person is to lose a job. Together, these variables can tell us about the ongoing shifts in the labor markets.</w:t>
      </w:r>
    </w:p>
    <w:p w14:paraId="19ADAA88" w14:textId="77777777" w:rsidR="00D2559A" w:rsidRDefault="00F0205F">
      <w:pPr>
        <w:pStyle w:val="Heading1"/>
        <w:ind w:left="481" w:hanging="496"/>
      </w:pPr>
      <w:r>
        <w:t>Methodology</w:t>
      </w:r>
    </w:p>
    <w:p w14:paraId="2A5905B7" w14:textId="77777777" w:rsidR="00B22F9E" w:rsidRDefault="00B22F9E">
      <w:pPr>
        <w:pStyle w:val="Heading2"/>
      </w:pPr>
    </w:p>
    <w:p w14:paraId="3673E100" w14:textId="5BFA3F3E" w:rsidR="00D2559A" w:rsidRDefault="00C308E0">
      <w:pPr>
        <w:pStyle w:val="Heading2"/>
      </w:pPr>
      <w:r>
        <w:t>Setting and Design</w:t>
      </w:r>
    </w:p>
    <w:p w14:paraId="0B83D7CB" w14:textId="77777777" w:rsidR="00B22F9E" w:rsidRDefault="00B22F9E">
      <w:pPr>
        <w:spacing w:after="128" w:line="259" w:lineRule="auto"/>
        <w:ind w:left="-5"/>
      </w:pPr>
    </w:p>
    <w:p w14:paraId="168B9352" w14:textId="038474DC" w:rsidR="00D2559A" w:rsidRDefault="00F0205F">
      <w:pPr>
        <w:spacing w:after="128" w:line="259" w:lineRule="auto"/>
        <w:ind w:left="-5"/>
      </w:pPr>
      <w:r>
        <w:t>The data for this study comes from the Ohio Department of Job and Family Services</w:t>
      </w:r>
    </w:p>
    <w:p w14:paraId="039F6DDC" w14:textId="77777777" w:rsidR="00D2559A" w:rsidRDefault="00F0205F">
      <w:pPr>
        <w:ind w:left="-5"/>
      </w:pPr>
      <w:r>
        <w:t>(ODJFS) and ranges from January 2006 to June 2021. Ohio Revised Code (ORC) Section 4141.13 (G) requires the ODJFS to collect information from all Ohio employers to determine if they are subject to the state’s unemployment insurance laws. According to ODJFS website, unemployment benefits are financed by taxes paid by employers to the federal and state governments (Ohio Department of Job and Family Services, 2021). The federal taxes cover most of the program’s administrative costs, and the state taxes fund the actual benefits. Unemployment benefits provide short-term income to workers who lose their jobs through no fault of their own and who are actively seeking work. ODJFS collects this data via their State of Ohio Unemployment Resource for Claimants and Employers (SOURCE) application. The employers report to ODJFS the number of employees on their payroll and the wages paid to these employees. Each employer has a unique Employer Identification Number (EIN) and is classified as per North American Industry Classification System (NAICS). Data on the number of employees is available at a monthly level, and data on wages is available at a quarterly level. For this study, we use data on number of employees.</w:t>
      </w:r>
    </w:p>
    <w:p w14:paraId="164645D3" w14:textId="77777777" w:rsidR="00D2559A" w:rsidRDefault="00F0205F">
      <w:pPr>
        <w:spacing w:after="538"/>
        <w:ind w:left="-15" w:firstLine="339"/>
      </w:pPr>
      <w:r>
        <w:lastRenderedPageBreak/>
        <w:t>Now, we define the NAICS category and major healthcare subcategories considered for this study. NAICS records category 62 as healthcare and social assistance (U.S Census, 2022). One important thing to note is that NAICS does not distinguish between healthcare and social assistance services, citing difficulties in identifying the boundaries of these activities. We follow the same delineation and consider the four highest categories under this sector: Ambulatory Healthcare (621), Hospitals (622), Nursing and Residential Care (623) and Social Assistance (624).</w:t>
      </w:r>
    </w:p>
    <w:p w14:paraId="20F16C46" w14:textId="1B04B940" w:rsidR="00D2559A" w:rsidRDefault="00F0205F">
      <w:pPr>
        <w:ind w:left="-15" w:firstLine="339"/>
      </w:pPr>
      <w:r>
        <w:t xml:space="preserve">Ambulatory Healthcare sector serves patients who do not require inpatient services and are generally associated with outpatient services i.e. they do not require the patient to be admitted overnight. Offices of physicians, dentists, optometrists, mental health practitioners, occupational &amp; speech therapists and outpatient care </w:t>
      </w:r>
      <w:r w:rsidR="00A16303">
        <w:t>centers</w:t>
      </w:r>
      <w:r>
        <w:t xml:space="preserve"> fall under this category.</w:t>
      </w:r>
    </w:p>
    <w:p w14:paraId="68D36AE1" w14:textId="77777777" w:rsidR="00D2559A" w:rsidRDefault="00F0205F">
      <w:pPr>
        <w:ind w:left="-15" w:firstLine="339"/>
      </w:pPr>
      <w:r>
        <w:t>Hospitals form the majority of the healthcare sector and mainly provide medical, diagnostic and treatment services to inpatients but can also have small-scale outpatient services. These healthcare institutions are generally much larger in size than units under other sectors and provide specialized facilities that are essential for the region.</w:t>
      </w:r>
    </w:p>
    <w:p w14:paraId="11B83573" w14:textId="77777777" w:rsidR="00D2559A" w:rsidRDefault="00F0205F">
      <w:pPr>
        <w:ind w:left="-15" w:firstLine="339"/>
      </w:pPr>
      <w:r>
        <w:t>Nursing and residential care sector provides nursing, supervisory, residential or any other type of care required by its patients, who are sometimes referred as residents.</w:t>
      </w:r>
    </w:p>
    <w:p w14:paraId="68E91418" w14:textId="5723DD47" w:rsidR="00C308E0" w:rsidRDefault="00F0205F" w:rsidP="00C308E0">
      <w:pPr>
        <w:spacing w:after="105"/>
        <w:ind w:left="-15" w:firstLine="339"/>
      </w:pPr>
      <w:r>
        <w:t>Social assistance sector provides a wide variety of social assistance services directly to their clients which include but are not limited to individual and family services, childcare services, community food services and temporary shelters &amp; housing services.</w:t>
      </w:r>
    </w:p>
    <w:p w14:paraId="598F26A8" w14:textId="77777777" w:rsidR="00D2559A" w:rsidRDefault="00F0205F">
      <w:pPr>
        <w:pStyle w:val="Heading2"/>
        <w:ind w:left="334"/>
      </w:pPr>
      <w:r>
        <w:t>Variables</w:t>
      </w:r>
    </w:p>
    <w:p w14:paraId="63CAD924" w14:textId="3079AEB9" w:rsidR="00D2559A" w:rsidRDefault="00F0205F">
      <w:pPr>
        <w:numPr>
          <w:ilvl w:val="0"/>
          <w:numId w:val="1"/>
        </w:numPr>
      </w:pPr>
      <w:r>
        <w:t>Number of employed persons is the variable of interest and is defined as the number of</w:t>
      </w:r>
      <w:r w:rsidR="00907CD7">
        <w:t xml:space="preserve"> </w:t>
      </w:r>
      <w:r>
        <w:t>workers that were reported to ODJFS by a unit and were part of its payroll</w:t>
      </w:r>
    </w:p>
    <w:p w14:paraId="77F9194F" w14:textId="2E27306E" w:rsidR="00D2559A" w:rsidRDefault="00F0205F">
      <w:pPr>
        <w:numPr>
          <w:ilvl w:val="0"/>
          <w:numId w:val="1"/>
        </w:numPr>
      </w:pPr>
      <w:r>
        <w:t>NAICS code variable identifies the specific industrial category of a unit as per North</w:t>
      </w:r>
      <w:r w:rsidR="00907CD7">
        <w:t xml:space="preserve"> </w:t>
      </w:r>
      <w:r>
        <w:t>American Industry Classification System</w:t>
      </w:r>
    </w:p>
    <w:p w14:paraId="2A4CE6BC" w14:textId="77777777" w:rsidR="00D2559A" w:rsidRDefault="00F0205F">
      <w:pPr>
        <w:numPr>
          <w:ilvl w:val="0"/>
          <w:numId w:val="1"/>
        </w:numPr>
      </w:pPr>
      <w:r>
        <w:t>Sub-categories variable uses NAICS code and separates sectors into healthcare and non-healthcare</w:t>
      </w:r>
    </w:p>
    <w:p w14:paraId="784AE3DB" w14:textId="0EA8209C" w:rsidR="00B22F9E" w:rsidRDefault="00F0205F" w:rsidP="00B22F9E">
      <w:pPr>
        <w:numPr>
          <w:ilvl w:val="0"/>
          <w:numId w:val="1"/>
        </w:numPr>
        <w:spacing w:after="105"/>
      </w:pPr>
      <w:r>
        <w:t>Unique</w:t>
      </w:r>
      <w:r w:rsidR="00907CD7">
        <w:t xml:space="preserve"> </w:t>
      </w:r>
      <w:r>
        <w:t>location identifier, known as “unit” throughout</w:t>
      </w:r>
      <w:r w:rsidR="00907CD7">
        <w:t xml:space="preserve"> </w:t>
      </w:r>
      <w:r>
        <w:t>this paper, was used to identify</w:t>
      </w:r>
      <w:r w:rsidR="00907CD7">
        <w:t xml:space="preserve"> </w:t>
      </w:r>
      <w:r>
        <w:t>a particular location or address related to healthcare sector</w:t>
      </w:r>
    </w:p>
    <w:p w14:paraId="21C78588" w14:textId="4101ACB1" w:rsidR="00D2559A" w:rsidRDefault="00F0205F">
      <w:pPr>
        <w:pStyle w:val="Heading2"/>
        <w:ind w:left="334"/>
      </w:pPr>
      <w:r>
        <w:lastRenderedPageBreak/>
        <w:t>Measures</w:t>
      </w:r>
    </w:p>
    <w:p w14:paraId="7E5A84E6" w14:textId="055D511D" w:rsidR="00D2559A" w:rsidRDefault="00F0205F" w:rsidP="00B22F9E">
      <w:pPr>
        <w:ind w:left="0" w:firstLine="0"/>
      </w:pPr>
      <w:r>
        <w:t>In order to truly understand the jobs related to Ohio’s healthcare sector, we need to study the dynamics of Ohio’s healthcare labor market. In this paper, we do this by analyzing job flows, that is, the creation and destruction of jobs within the healthcare sector, and its subsectors. Job creation rate represents the sum of job gains measured at a unit over one month due to either opening of new units or expansion of jobs within an existing unit.</w:t>
      </w:r>
    </w:p>
    <w:p w14:paraId="71A96B3B" w14:textId="77777777" w:rsidR="00D2559A" w:rsidRDefault="00F0205F">
      <w:pPr>
        <w:spacing w:after="440"/>
        <w:ind w:left="-5"/>
      </w:pPr>
      <w:r>
        <w:t>Job destruction rate represents the sum of job losses resulting from either closing of a production unit or contraction in the number of jobs by an existing unit. Job reallocation rate is equal to the sum of job creation rate and job destruction rate. Net employment rate is equal to the difference between job creation rate and job destruction rate. All the rates were based on monthly data and were calculated on an annual or year-over-year basis. Below, we mathematically define each of these measures.</w:t>
      </w:r>
    </w:p>
    <w:p w14:paraId="0B83A40F" w14:textId="3EFA69DE" w:rsidR="00D2559A" w:rsidRDefault="00F0205F">
      <w:pPr>
        <w:spacing w:line="450" w:lineRule="auto"/>
        <w:ind w:left="-5"/>
      </w:pPr>
      <w:r>
        <w:t>Let</w:t>
      </w:r>
      <w:r w:rsidR="004B308E">
        <w:t xml:space="preserve"> </w:t>
      </w:r>
      <m:oMath>
        <m:sSub>
          <m:sSubPr>
            <m:ctrlPr>
              <w:rPr>
                <w:rFonts w:ascii="Cambria Math" w:hAnsi="Cambria Math"/>
                <w:i/>
              </w:rPr>
            </m:ctrlPr>
          </m:sSubPr>
          <m:e>
            <m:r>
              <w:rPr>
                <w:rFonts w:ascii="Cambria Math" w:hAnsi="Cambria Math"/>
              </w:rPr>
              <m:t>E</m:t>
            </m:r>
          </m:e>
          <m:sub>
            <m:r>
              <w:rPr>
                <w:rFonts w:ascii="Cambria Math" w:hAnsi="Cambria Math"/>
              </w:rPr>
              <m:t>it</m:t>
            </m:r>
          </m:sub>
        </m:sSub>
      </m:oMath>
      <w:r>
        <w:rPr>
          <w:i/>
          <w:vertAlign w:val="subscript"/>
        </w:rPr>
        <w:t xml:space="preserve"> </w:t>
      </w:r>
      <w:r>
        <w:t>be defined as the number of people on</w:t>
      </w:r>
      <w:r w:rsidR="004B308E">
        <w:t xml:space="preserv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Pr>
          <w:i/>
          <w:vertAlign w:val="superscript"/>
        </w:rPr>
        <w:t xml:space="preserve"> </w:t>
      </w:r>
      <w:r>
        <w:t xml:space="preserve">company’s payroll during </w:t>
      </w:r>
      <m:oMath>
        <m:sSup>
          <m:sSupPr>
            <m:ctrlPr>
              <w:rPr>
                <w:rFonts w:ascii="Cambria Math" w:hAnsi="Cambria Math"/>
                <w:i/>
              </w:rPr>
            </m:ctrlPr>
          </m:sSupPr>
          <m:e>
            <m:r>
              <w:rPr>
                <w:rFonts w:ascii="Cambria Math" w:hAnsi="Cambria Math"/>
              </w:rPr>
              <m:t>t</m:t>
            </m:r>
          </m:e>
          <m:sup>
            <m:r>
              <w:rPr>
                <w:rFonts w:ascii="Cambria Math" w:hAnsi="Cambria Math"/>
              </w:rPr>
              <m:t>th</m:t>
            </m:r>
          </m:sup>
        </m:sSup>
      </m:oMath>
      <w:r w:rsidR="004B308E">
        <w:rPr>
          <w:i/>
          <w:vertAlign w:val="superscript"/>
        </w:rPr>
        <w:t xml:space="preserve"> </w:t>
      </w:r>
      <w:r w:rsidR="004B308E">
        <w:t>t</w:t>
      </w:r>
      <w:r>
        <w:t xml:space="preserve">ime period, where </w:t>
      </w:r>
      <m:oMath>
        <m:r>
          <w:rPr>
            <w:rFonts w:ascii="Cambria Math" w:hAnsi="Cambria Math"/>
          </w:rPr>
          <m:t>i∈{1,2, …, N}</m:t>
        </m:r>
      </m:oMath>
      <w:r w:rsidR="004B308E">
        <w:t xml:space="preserve"> </w:t>
      </w:r>
      <w:r>
        <w:t>for some</w:t>
      </w:r>
      <w:r w:rsidR="00014B9F">
        <w:t xml:space="preserve"> </w:t>
      </w:r>
      <m:oMath>
        <m:r>
          <w:rPr>
            <w:rFonts w:ascii="Cambria Math" w:hAnsi="Cambria Math"/>
          </w:rPr>
          <m:t>N∈N</m:t>
        </m:r>
      </m:oMath>
      <w:r>
        <w:rPr>
          <w:rFonts w:ascii="Calibri" w:eastAsia="Calibri" w:hAnsi="Calibri" w:cs="Calibri"/>
        </w:rPr>
        <w:t xml:space="preserve"> </w:t>
      </w:r>
      <w:r>
        <w:t xml:space="preserve">and </w:t>
      </w:r>
      <m:oMath>
        <m:r>
          <w:rPr>
            <w:rFonts w:ascii="Cambria Math" w:hAnsi="Cambria Math"/>
          </w:rPr>
          <m:t>t∈{1,2,…, N}</m:t>
        </m:r>
      </m:oMath>
      <w:r w:rsidR="004B308E">
        <w:t xml:space="preserve"> </w:t>
      </w:r>
      <w:r>
        <w:t xml:space="preserve">for some </w:t>
      </w:r>
      <m:oMath>
        <m:r>
          <w:rPr>
            <w:rFonts w:ascii="Cambria Math" w:eastAsia="Calibri" w:hAnsi="Cambria Math" w:cs="Calibri"/>
          </w:rPr>
          <m:t>T∈N</m:t>
        </m:r>
      </m:oMath>
    </w:p>
    <w:p w14:paraId="54397D09" w14:textId="77777777" w:rsidR="00D2559A" w:rsidRDefault="00F0205F">
      <w:pPr>
        <w:spacing w:after="79" w:line="259" w:lineRule="auto"/>
        <w:ind w:left="-5"/>
      </w:pPr>
      <w:r>
        <w:t>Then,</w:t>
      </w:r>
    </w:p>
    <w:p w14:paraId="3C7E94D7" w14:textId="72AED616" w:rsidR="00D2559A" w:rsidRDefault="00F0205F">
      <w:pPr>
        <w:spacing w:after="234" w:line="259" w:lineRule="auto"/>
        <w:ind w:left="349"/>
      </w:pPr>
      <w:r>
        <w:t>Let monthly job creation be</w:t>
      </w:r>
      <w:r w:rsidR="004B308E">
        <w:t xml:space="preserve">  </w:t>
      </w:r>
      <m:oMath>
        <m:r>
          <w:rPr>
            <w:rFonts w:ascii="Cambria Math" w:hAnsi="Cambria Math"/>
          </w:rPr>
          <m:t>J</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J</m:t>
            </m:r>
            <m:sSub>
              <m:sSubPr>
                <m:ctrlPr>
                  <w:rPr>
                    <w:rFonts w:ascii="Cambria Math" w:hAnsi="Cambria Math"/>
                    <w:i/>
                  </w:rPr>
                </m:ctrlPr>
              </m:sSubPr>
              <m:e>
                <m:r>
                  <w:rPr>
                    <w:rFonts w:ascii="Cambria Math" w:hAnsi="Cambria Math"/>
                  </w:rPr>
                  <m:t>C</m:t>
                </m:r>
              </m:e>
              <m:sub>
                <m:r>
                  <w:rPr>
                    <w:rFonts w:ascii="Cambria Math" w:hAnsi="Cambria Math"/>
                  </w:rPr>
                  <m:t>it</m:t>
                </m:r>
              </m:sub>
            </m:sSub>
          </m:e>
        </m:nary>
        <m:r>
          <w:rPr>
            <w:rFonts w:ascii="Cambria Math" w:hAnsi="Cambria Math"/>
          </w:rPr>
          <m:t xml:space="preserve"> </m:t>
        </m:r>
      </m:oMath>
      <w:r w:rsidR="004B308E">
        <w:t xml:space="preserve"> </w:t>
      </w:r>
      <w:r>
        <w:t xml:space="preserve"> where</w:t>
      </w:r>
    </w:p>
    <w:p w14:paraId="3858113D" w14:textId="7C51D06C" w:rsidR="00150B4B" w:rsidRDefault="00150B4B">
      <w:pPr>
        <w:spacing w:after="234" w:line="259" w:lineRule="auto"/>
        <w:ind w:left="349"/>
      </w:pPr>
      <m:oMathPara>
        <m:oMath>
          <m:r>
            <w:rPr>
              <w:rFonts w:ascii="Cambria Math" w:hAnsi="Cambria Math"/>
            </w:rPr>
            <m:t>J</m:t>
          </m:r>
          <m:sSub>
            <m:sSubPr>
              <m:ctrlPr>
                <w:rPr>
                  <w:rFonts w:ascii="Cambria Math" w:hAnsi="Cambria Math"/>
                  <w:i/>
                </w:rPr>
              </m:ctrlPr>
            </m:sSubPr>
            <m:e>
              <m:r>
                <w:rPr>
                  <w:rFonts w:ascii="Cambria Math" w:hAnsi="Cambria Math"/>
                </w:rPr>
                <m:t>C</m:t>
              </m:r>
            </m:e>
            <m:sub>
              <m:r>
                <w:rPr>
                  <w:rFonts w:ascii="Cambria Math" w:hAnsi="Cambria Math"/>
                </w:rPr>
                <m:t>it</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it-1</m:t>
                      </m:r>
                    </m:sub>
                  </m:sSub>
                  <m:r>
                    <w:rPr>
                      <w:rFonts w:ascii="Cambria Math" w:hAnsi="Cambria Math"/>
                    </w:rPr>
                    <m:t xml:space="preserve"> ,  if </m:t>
                  </m:r>
                  <m:sSub>
                    <m:sSubPr>
                      <m:ctrlPr>
                        <w:rPr>
                          <w:rFonts w:ascii="Cambria Math" w:hAnsi="Cambria Math"/>
                          <w:i/>
                        </w:rPr>
                      </m:ctrlPr>
                    </m:sSubPr>
                    <m:e>
                      <m:r>
                        <w:rPr>
                          <w:rFonts w:ascii="Cambria Math" w:hAnsi="Cambria Math"/>
                        </w:rPr>
                        <m:t>E</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it-1</m:t>
                      </m:r>
                    </m:sub>
                  </m:sSub>
                  <m:r>
                    <w:rPr>
                      <w:rFonts w:ascii="Cambria Math" w:hAnsi="Cambria Math"/>
                    </w:rPr>
                    <m:t xml:space="preserve"> ≥0</m:t>
                  </m:r>
                </m:e>
                <m:e>
                  <m:r>
                    <w:rPr>
                      <w:rFonts w:ascii="Cambria Math" w:hAnsi="Cambria Math"/>
                    </w:rPr>
                    <m:t xml:space="preserve">0                     ,         if </m:t>
                  </m:r>
                  <m:sSub>
                    <m:sSubPr>
                      <m:ctrlPr>
                        <w:rPr>
                          <w:rFonts w:ascii="Cambria Math" w:hAnsi="Cambria Math"/>
                          <w:i/>
                        </w:rPr>
                      </m:ctrlPr>
                    </m:sSubPr>
                    <m:e>
                      <m:r>
                        <w:rPr>
                          <w:rFonts w:ascii="Cambria Math" w:hAnsi="Cambria Math"/>
                        </w:rPr>
                        <m:t>E</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it-1</m:t>
                      </m:r>
                    </m:sub>
                  </m:sSub>
                  <m:r>
                    <w:rPr>
                      <w:rFonts w:ascii="Cambria Math" w:hAnsi="Cambria Math"/>
                    </w:rPr>
                    <m:t xml:space="preserve"> &lt;0 </m:t>
                  </m:r>
                </m:e>
              </m:eqArr>
            </m:e>
          </m:d>
          <m:r>
            <w:rPr>
              <w:rFonts w:ascii="Cambria Math" w:hAnsi="Cambria Math"/>
            </w:rPr>
            <m:t xml:space="preserve"> </m:t>
          </m:r>
        </m:oMath>
      </m:oMathPara>
    </w:p>
    <w:p w14:paraId="0AB3AB78" w14:textId="2F7D6BE1" w:rsidR="00D2559A" w:rsidRDefault="00F0205F" w:rsidP="00150B4B">
      <w:pPr>
        <w:tabs>
          <w:tab w:val="center" w:pos="3291"/>
          <w:tab w:val="center" w:pos="5391"/>
        </w:tabs>
        <w:spacing w:after="0" w:line="259" w:lineRule="auto"/>
        <w:ind w:left="0" w:firstLine="0"/>
        <w:jc w:val="left"/>
      </w:pPr>
      <w:r>
        <w:rPr>
          <w:rFonts w:ascii="Calibri" w:eastAsia="Calibri" w:hAnsi="Calibri" w:cs="Calibri"/>
        </w:rPr>
        <w:tab/>
      </w:r>
    </w:p>
    <w:p w14:paraId="29C5C47B" w14:textId="0C85EE15" w:rsidR="00D2559A" w:rsidRDefault="00F0205F">
      <w:pPr>
        <w:spacing w:after="112" w:line="259" w:lineRule="auto"/>
        <w:ind w:left="349"/>
      </w:pPr>
      <w:r>
        <w:t>Let monthly job destruction be</w:t>
      </w:r>
      <w:r w:rsidR="00150B4B">
        <w:rPr>
          <w:noProof/>
        </w:rPr>
        <w:t xml:space="preserve"> </w:t>
      </w:r>
      <m:oMath>
        <m:sSub>
          <m:sSubPr>
            <m:ctrlPr>
              <w:rPr>
                <w:rFonts w:ascii="Cambria Math" w:hAnsi="Cambria Math"/>
                <w:i/>
              </w:rPr>
            </m:ctrlPr>
          </m:sSubPr>
          <m:e>
            <m:r>
              <w:rPr>
                <w:rFonts w:ascii="Cambria Math" w:hAnsi="Cambria Math"/>
              </w:rPr>
              <m:t>JD</m:t>
            </m:r>
          </m:e>
          <m:sub>
            <m:r>
              <w:rPr>
                <w:rFonts w:ascii="Cambria Math" w:hAnsi="Cambria Math"/>
              </w:rPr>
              <m:t>t</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JD</m:t>
                </m:r>
              </m:e>
              <m:sub>
                <m:r>
                  <w:rPr>
                    <w:rFonts w:ascii="Cambria Math" w:hAnsi="Cambria Math"/>
                  </w:rPr>
                  <m:t>it</m:t>
                </m:r>
              </m:sub>
            </m:sSub>
          </m:e>
        </m:nary>
        <m:r>
          <w:rPr>
            <w:rFonts w:ascii="Cambria Math" w:hAnsi="Cambria Math"/>
          </w:rPr>
          <m:t xml:space="preserve"> </m:t>
        </m:r>
      </m:oMath>
      <w:r w:rsidR="00150B4B">
        <w:t xml:space="preserve">  </w:t>
      </w:r>
      <w:r>
        <w:t>, where</w:t>
      </w:r>
    </w:p>
    <w:p w14:paraId="04EA22FD" w14:textId="3AAA390B" w:rsidR="00150B4B" w:rsidRDefault="00150B4B">
      <w:pPr>
        <w:spacing w:after="112" w:line="259" w:lineRule="auto"/>
        <w:ind w:left="349"/>
      </w:pPr>
    </w:p>
    <w:p w14:paraId="5773A04B" w14:textId="1632F40E" w:rsidR="00150B4B" w:rsidRDefault="00150B4B" w:rsidP="00150B4B">
      <w:pPr>
        <w:spacing w:after="234" w:line="259" w:lineRule="auto"/>
        <w:ind w:left="349"/>
      </w:pPr>
      <m:oMathPara>
        <m:oMath>
          <m:r>
            <w:rPr>
              <w:rFonts w:ascii="Cambria Math" w:hAnsi="Cambria Math"/>
            </w:rPr>
            <m:t>J</m:t>
          </m:r>
          <m:sSub>
            <m:sSubPr>
              <m:ctrlPr>
                <w:rPr>
                  <w:rFonts w:ascii="Cambria Math" w:hAnsi="Cambria Math"/>
                  <w:i/>
                </w:rPr>
              </m:ctrlPr>
            </m:sSubPr>
            <m:e>
              <m:r>
                <w:rPr>
                  <w:rFonts w:ascii="Cambria Math" w:hAnsi="Cambria Math"/>
                </w:rPr>
                <m:t>D</m:t>
              </m:r>
            </m:e>
            <m:sub>
              <m:r>
                <w:rPr>
                  <w:rFonts w:ascii="Cambria Math" w:hAnsi="Cambria Math"/>
                </w:rPr>
                <m:t>it</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  if </m:t>
                  </m:r>
                  <m:sSub>
                    <m:sSubPr>
                      <m:ctrlPr>
                        <w:rPr>
                          <w:rFonts w:ascii="Cambria Math" w:hAnsi="Cambria Math"/>
                          <w:i/>
                        </w:rPr>
                      </m:ctrlPr>
                    </m:sSubPr>
                    <m:e>
                      <m:r>
                        <w:rPr>
                          <w:rFonts w:ascii="Cambria Math" w:hAnsi="Cambria Math"/>
                        </w:rPr>
                        <m:t>E</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it-1</m:t>
                      </m:r>
                    </m:sub>
                  </m:sSub>
                  <m:r>
                    <w:rPr>
                      <w:rFonts w:ascii="Cambria Math" w:hAnsi="Cambria Math"/>
                    </w:rPr>
                    <m:t xml:space="preserve"> ≥0</m:t>
                  </m:r>
                </m:e>
                <m:e>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it-1</m:t>
                      </m:r>
                    </m:sub>
                  </m:sSub>
                  <m:r>
                    <w:rPr>
                      <w:rFonts w:ascii="Cambria Math" w:hAnsi="Cambria Math"/>
                    </w:rPr>
                    <m:t xml:space="preserve">)  ,         if </m:t>
                  </m:r>
                  <m:sSub>
                    <m:sSubPr>
                      <m:ctrlPr>
                        <w:rPr>
                          <w:rFonts w:ascii="Cambria Math" w:hAnsi="Cambria Math"/>
                          <w:i/>
                        </w:rPr>
                      </m:ctrlPr>
                    </m:sSubPr>
                    <m:e>
                      <m:r>
                        <w:rPr>
                          <w:rFonts w:ascii="Cambria Math" w:hAnsi="Cambria Math"/>
                        </w:rPr>
                        <m:t>E</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it-1</m:t>
                      </m:r>
                    </m:sub>
                  </m:sSub>
                  <m:r>
                    <w:rPr>
                      <w:rFonts w:ascii="Cambria Math" w:hAnsi="Cambria Math"/>
                    </w:rPr>
                    <m:t xml:space="preserve"> &lt;0 </m:t>
                  </m:r>
                </m:e>
              </m:eqArr>
            </m:e>
          </m:d>
          <m:r>
            <w:rPr>
              <w:rFonts w:ascii="Cambria Math" w:hAnsi="Cambria Math"/>
            </w:rPr>
            <m:t xml:space="preserve"> </m:t>
          </m:r>
        </m:oMath>
      </m:oMathPara>
    </w:p>
    <w:p w14:paraId="11FAA409" w14:textId="77777777" w:rsidR="00150B4B" w:rsidRDefault="00150B4B" w:rsidP="00150B4B">
      <w:pPr>
        <w:spacing w:after="112" w:line="259" w:lineRule="auto"/>
        <w:ind w:left="0" w:firstLine="0"/>
      </w:pPr>
    </w:p>
    <w:p w14:paraId="3BEB7FA5" w14:textId="5D165BC1" w:rsidR="00D2559A" w:rsidRDefault="00F0205F">
      <w:pPr>
        <w:spacing w:after="36" w:line="259" w:lineRule="auto"/>
        <w:ind w:left="349"/>
      </w:pPr>
      <w:r>
        <w:t>Let annual Job creation rate be</w:t>
      </w:r>
      <w:r w:rsidR="00014B9F">
        <w:rPr>
          <w:noProof/>
        </w:rPr>
        <w:t xml:space="preserve"> </w:t>
      </w:r>
      <m:oMath>
        <m:r>
          <w:rPr>
            <w:rFonts w:ascii="Cambria Math" w:hAnsi="Cambria Math"/>
            <w:noProof/>
          </w:rPr>
          <m:t>JC</m:t>
        </m:r>
        <m:sSub>
          <m:sSubPr>
            <m:ctrlPr>
              <w:rPr>
                <w:rFonts w:ascii="Cambria Math" w:hAnsi="Cambria Math"/>
                <w:i/>
                <w:noProof/>
              </w:rPr>
            </m:ctrlPr>
          </m:sSubPr>
          <m:e>
            <m:r>
              <w:rPr>
                <w:rFonts w:ascii="Cambria Math" w:hAnsi="Cambria Math"/>
                <w:noProof/>
              </w:rPr>
              <m:t>R</m:t>
            </m:r>
          </m:e>
          <m:sub>
            <m:r>
              <w:rPr>
                <w:rFonts w:ascii="Cambria Math" w:hAnsi="Cambria Math"/>
                <w:noProof/>
              </w:rPr>
              <m:t>t</m:t>
            </m:r>
          </m:sub>
        </m:sSub>
        <m:r>
          <w:rPr>
            <w:rFonts w:ascii="Cambria Math" w:hAnsi="Cambria Math"/>
            <w:noProof/>
          </w:rPr>
          <m:t xml:space="preserve">= </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JC</m:t>
                </m:r>
              </m:e>
              <m:sub>
                <m:r>
                  <w:rPr>
                    <w:rFonts w:ascii="Cambria Math" w:hAnsi="Cambria Math"/>
                    <w:noProof/>
                  </w:rPr>
                  <m:t>t</m:t>
                </m:r>
              </m:sub>
            </m:sSub>
          </m:num>
          <m:den>
            <m:sSub>
              <m:sSubPr>
                <m:ctrlPr>
                  <w:rPr>
                    <w:rFonts w:ascii="Cambria Math" w:hAnsi="Cambria Math"/>
                    <w:i/>
                    <w:noProof/>
                  </w:rPr>
                </m:ctrlPr>
              </m:sSubPr>
              <m:e>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N</m:t>
                    </m:r>
                  </m:sup>
                  <m:e>
                    <m:r>
                      <w:rPr>
                        <w:rFonts w:ascii="Cambria Math" w:hAnsi="Cambria Math"/>
                        <w:noProof/>
                      </w:rPr>
                      <m:t>E</m:t>
                    </m:r>
                  </m:e>
                </m:nary>
              </m:e>
              <m:sub>
                <m:r>
                  <w:rPr>
                    <w:rFonts w:ascii="Cambria Math" w:hAnsi="Cambria Math"/>
                    <w:noProof/>
                  </w:rPr>
                  <m:t>it</m:t>
                </m:r>
              </m:sub>
            </m:sSub>
          </m:den>
        </m:f>
        <m:r>
          <w:rPr>
            <w:rFonts w:ascii="Cambria Math" w:hAnsi="Cambria Math"/>
            <w:noProof/>
          </w:rPr>
          <m:t xml:space="preserve">- </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JC</m:t>
                </m:r>
              </m:e>
              <m:sub>
                <m:r>
                  <w:rPr>
                    <w:rFonts w:ascii="Cambria Math" w:hAnsi="Cambria Math"/>
                    <w:noProof/>
                  </w:rPr>
                  <m:t>t-12</m:t>
                </m:r>
              </m:sub>
            </m:sSub>
          </m:num>
          <m:den>
            <m:sSub>
              <m:sSubPr>
                <m:ctrlPr>
                  <w:rPr>
                    <w:rFonts w:ascii="Cambria Math" w:hAnsi="Cambria Math"/>
                    <w:i/>
                    <w:noProof/>
                  </w:rPr>
                </m:ctrlPr>
              </m:sSubPr>
              <m:e>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N</m:t>
                    </m:r>
                  </m:sup>
                  <m:e>
                    <m:r>
                      <w:rPr>
                        <w:rFonts w:ascii="Cambria Math" w:hAnsi="Cambria Math"/>
                        <w:noProof/>
                      </w:rPr>
                      <m:t>E</m:t>
                    </m:r>
                  </m:e>
                </m:nary>
              </m:e>
              <m:sub>
                <m:r>
                  <w:rPr>
                    <w:rFonts w:ascii="Cambria Math" w:hAnsi="Cambria Math"/>
                    <w:noProof/>
                  </w:rPr>
                  <m:t>it-12</m:t>
                </m:r>
              </m:sub>
            </m:sSub>
          </m:den>
        </m:f>
      </m:oMath>
    </w:p>
    <w:p w14:paraId="548CB462" w14:textId="3578B47D" w:rsidR="00D2559A" w:rsidRDefault="00F0205F">
      <w:pPr>
        <w:spacing w:after="199" w:line="259" w:lineRule="auto"/>
        <w:ind w:left="349"/>
      </w:pPr>
      <w:r>
        <w:t>Let annual Job destruction rate be</w:t>
      </w:r>
      <w:r w:rsidR="00014B9F">
        <w:rPr>
          <w:noProof/>
        </w:rPr>
        <w:t xml:space="preserve"> </w:t>
      </w:r>
      <m:oMath>
        <m:sSub>
          <m:sSubPr>
            <m:ctrlPr>
              <w:rPr>
                <w:rFonts w:ascii="Cambria Math" w:hAnsi="Cambria Math"/>
                <w:i/>
                <w:noProof/>
              </w:rPr>
            </m:ctrlPr>
          </m:sSubPr>
          <m:e>
            <m:r>
              <w:rPr>
                <w:rFonts w:ascii="Cambria Math" w:hAnsi="Cambria Math"/>
                <w:noProof/>
              </w:rPr>
              <m:t>JDR</m:t>
            </m:r>
          </m:e>
          <m:sub>
            <m:r>
              <w:rPr>
                <w:rFonts w:ascii="Cambria Math" w:hAnsi="Cambria Math"/>
                <w:noProof/>
              </w:rPr>
              <m:t>t</m:t>
            </m:r>
          </m:sub>
        </m:sSub>
        <m:r>
          <w:rPr>
            <w:rFonts w:ascii="Cambria Math" w:hAnsi="Cambria Math"/>
            <w:noProof/>
          </w:rPr>
          <m:t xml:space="preserve">= </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JD</m:t>
                </m:r>
              </m:e>
              <m:sub>
                <m:r>
                  <w:rPr>
                    <w:rFonts w:ascii="Cambria Math" w:hAnsi="Cambria Math"/>
                    <w:noProof/>
                  </w:rPr>
                  <m:t>t</m:t>
                </m:r>
              </m:sub>
            </m:sSub>
          </m:num>
          <m:den>
            <m:sSub>
              <m:sSubPr>
                <m:ctrlPr>
                  <w:rPr>
                    <w:rFonts w:ascii="Cambria Math" w:hAnsi="Cambria Math"/>
                    <w:i/>
                    <w:noProof/>
                  </w:rPr>
                </m:ctrlPr>
              </m:sSubPr>
              <m:e>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N</m:t>
                    </m:r>
                  </m:sup>
                  <m:e>
                    <m:r>
                      <w:rPr>
                        <w:rFonts w:ascii="Cambria Math" w:hAnsi="Cambria Math"/>
                        <w:noProof/>
                      </w:rPr>
                      <m:t>E</m:t>
                    </m:r>
                  </m:e>
                </m:nary>
              </m:e>
              <m:sub>
                <m:r>
                  <w:rPr>
                    <w:rFonts w:ascii="Cambria Math" w:hAnsi="Cambria Math"/>
                    <w:noProof/>
                  </w:rPr>
                  <m:t>it</m:t>
                </m:r>
              </m:sub>
            </m:sSub>
          </m:den>
        </m:f>
        <m:r>
          <w:rPr>
            <w:rFonts w:ascii="Cambria Math" w:hAnsi="Cambria Math"/>
            <w:noProof/>
          </w:rPr>
          <m:t xml:space="preserve">- </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JD</m:t>
                </m:r>
              </m:e>
              <m:sub>
                <m:r>
                  <w:rPr>
                    <w:rFonts w:ascii="Cambria Math" w:hAnsi="Cambria Math"/>
                    <w:noProof/>
                  </w:rPr>
                  <m:t>t-12</m:t>
                </m:r>
              </m:sub>
            </m:sSub>
          </m:num>
          <m:den>
            <m:sSub>
              <m:sSubPr>
                <m:ctrlPr>
                  <w:rPr>
                    <w:rFonts w:ascii="Cambria Math" w:hAnsi="Cambria Math"/>
                    <w:i/>
                    <w:noProof/>
                  </w:rPr>
                </m:ctrlPr>
              </m:sSubPr>
              <m:e>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N</m:t>
                    </m:r>
                  </m:sup>
                  <m:e>
                    <m:r>
                      <w:rPr>
                        <w:rFonts w:ascii="Cambria Math" w:hAnsi="Cambria Math"/>
                        <w:noProof/>
                      </w:rPr>
                      <m:t>E</m:t>
                    </m:r>
                  </m:e>
                </m:nary>
              </m:e>
              <m:sub>
                <m:r>
                  <w:rPr>
                    <w:rFonts w:ascii="Cambria Math" w:hAnsi="Cambria Math"/>
                    <w:noProof/>
                  </w:rPr>
                  <m:t>it-12</m:t>
                </m:r>
              </m:sub>
            </m:sSub>
          </m:den>
        </m:f>
      </m:oMath>
    </w:p>
    <w:p w14:paraId="34F0EC78" w14:textId="3F74FFDA" w:rsidR="00D2559A" w:rsidRDefault="00F0205F">
      <w:pPr>
        <w:spacing w:after="299" w:line="259" w:lineRule="auto"/>
        <w:ind w:left="349"/>
      </w:pPr>
      <w:r>
        <w:t>Let Reallocation rate be</w:t>
      </w:r>
      <w:r w:rsidR="00014B9F">
        <w:t xml:space="preserve"> </w:t>
      </w:r>
      <m:oMath>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=JC</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JDR</m:t>
            </m:r>
          </m:e>
          <m:sub>
            <m:r>
              <w:rPr>
                <w:rFonts w:ascii="Cambria Math" w:hAnsi="Cambria Math"/>
              </w:rPr>
              <m:t>t</m:t>
            </m:r>
          </m:sub>
        </m:sSub>
      </m:oMath>
    </w:p>
    <w:p w14:paraId="19AC7B68" w14:textId="57A172F9" w:rsidR="00D2559A" w:rsidRDefault="00F0205F">
      <w:pPr>
        <w:spacing w:line="259" w:lineRule="auto"/>
        <w:ind w:left="349"/>
        <w:rPr>
          <w:i/>
          <w:vertAlign w:val="subscript"/>
        </w:rPr>
      </w:pPr>
      <w:r>
        <w:t>Let Net Employment rate be</w:t>
      </w:r>
      <w:r w:rsidR="00014B9F">
        <w:t xml:space="preserve"> </w:t>
      </w:r>
      <m:oMath>
        <m:sSub>
          <m:sSubPr>
            <m:ctrlPr>
              <w:rPr>
                <w:rFonts w:ascii="Cambria Math" w:hAnsi="Cambria Math"/>
                <w:i/>
              </w:rPr>
            </m:ctrlPr>
          </m:sSubPr>
          <m:e>
            <m:r>
              <w:rPr>
                <w:rFonts w:ascii="Cambria Math" w:hAnsi="Cambria Math"/>
              </w:rPr>
              <m:t>NER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JCR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JDR</m:t>
            </m:r>
          </m:e>
          <m:sub>
            <m:r>
              <w:rPr>
                <w:rFonts w:ascii="Cambria Math" w:hAnsi="Cambria Math"/>
              </w:rPr>
              <m:t>t</m:t>
            </m:r>
          </m:sub>
        </m:sSub>
      </m:oMath>
    </w:p>
    <w:p w14:paraId="4CCE6AE9" w14:textId="77777777" w:rsidR="00014B9F" w:rsidRDefault="00014B9F">
      <w:pPr>
        <w:spacing w:line="259" w:lineRule="auto"/>
        <w:ind w:left="349"/>
      </w:pPr>
    </w:p>
    <w:p w14:paraId="09070706" w14:textId="77777777" w:rsidR="00D2559A" w:rsidRDefault="00F0205F">
      <w:pPr>
        <w:pStyle w:val="Heading1"/>
        <w:ind w:left="481" w:hanging="496"/>
      </w:pPr>
      <w:r>
        <w:t>Results</w:t>
      </w:r>
    </w:p>
    <w:p w14:paraId="6DA5142B" w14:textId="77777777" w:rsidR="00D2559A" w:rsidRDefault="00F0205F">
      <w:pPr>
        <w:spacing w:after="218"/>
        <w:ind w:left="-5"/>
      </w:pPr>
      <w:r>
        <w:t>We first share the results related to jobs generated by each subsector within healthcare before and after COVID. Post-COVID period begins April 2020, after the announcement of the stay-at-home order by ODH.</w:t>
      </w:r>
    </w:p>
    <w:p w14:paraId="7103AF27" w14:textId="2B332B10" w:rsidR="00D2559A" w:rsidRDefault="00F0205F">
      <w:pPr>
        <w:spacing w:after="0" w:line="259" w:lineRule="auto"/>
        <w:ind w:left="728" w:right="718"/>
        <w:jc w:val="center"/>
      </w:pPr>
      <w:r>
        <w:t>Figure 2: Ohio Healthcare sector: Jobs generated per NAICS category</w:t>
      </w:r>
    </w:p>
    <w:p w14:paraId="6507C519" w14:textId="77777777" w:rsidR="00C308E0" w:rsidRDefault="00C308E0">
      <w:pPr>
        <w:spacing w:after="0" w:line="259" w:lineRule="auto"/>
        <w:ind w:left="728" w:right="718"/>
        <w:jc w:val="center"/>
      </w:pPr>
    </w:p>
    <w:p w14:paraId="35635CFC" w14:textId="77777777" w:rsidR="00D2559A" w:rsidRDefault="00F0205F">
      <w:pPr>
        <w:spacing w:after="858" w:line="259" w:lineRule="auto"/>
        <w:ind w:left="0" w:right="-27" w:firstLine="0"/>
        <w:jc w:val="left"/>
      </w:pPr>
      <w:r>
        <w:rPr>
          <w:noProof/>
        </w:rPr>
        <w:drawing>
          <wp:inline distT="0" distB="0" distL="0" distR="0" wp14:anchorId="1A0EB84F" wp14:editId="41C15D9B">
            <wp:extent cx="5486400" cy="4114800"/>
            <wp:effectExtent l="0" t="0" r="0" b="0"/>
            <wp:docPr id="420" name="Picture 420"/>
            <wp:cNvGraphicFramePr/>
            <a:graphic xmlns:a="http://schemas.openxmlformats.org/drawingml/2006/main">
              <a:graphicData uri="http://schemas.openxmlformats.org/drawingml/2006/picture">
                <pic:pic xmlns:pic="http://schemas.openxmlformats.org/drawingml/2006/picture">
                  <pic:nvPicPr>
                    <pic:cNvPr id="420" name="Picture 420"/>
                    <pic:cNvPicPr/>
                  </pic:nvPicPr>
                  <pic:blipFill>
                    <a:blip r:embed="rId12"/>
                    <a:stretch>
                      <a:fillRect/>
                    </a:stretch>
                  </pic:blipFill>
                  <pic:spPr>
                    <a:xfrm>
                      <a:off x="0" y="0"/>
                      <a:ext cx="5486400" cy="4114800"/>
                    </a:xfrm>
                    <a:prstGeom prst="rect">
                      <a:avLst/>
                    </a:prstGeom>
                  </pic:spPr>
                </pic:pic>
              </a:graphicData>
            </a:graphic>
          </wp:inline>
        </w:drawing>
      </w:r>
    </w:p>
    <w:p w14:paraId="3FF30617" w14:textId="77777777" w:rsidR="00D2559A" w:rsidRDefault="00F0205F">
      <w:pPr>
        <w:ind w:left="-15" w:firstLine="339"/>
      </w:pPr>
      <w:r>
        <w:t xml:space="preserve">Figure 2 shows monthly number of employed persons within Ohio by each major NAICS subsector under healthcare. All subsectors experienced a decline due to lockdown imposed by COVID-19, but the sharpest decline was experienced by Ambulatory Health Care Services and Social Assistance sectors. Both these sectors recovered after the shock, but have so far failed to reach the pre-COVID levels. Hospitals experienced a temporary decline but also </w:t>
      </w:r>
      <w:r>
        <w:lastRenderedPageBreak/>
        <w:t>recovered promptly. Nursing sector has experienced a constant decline since the advent of COVID crisis.</w:t>
      </w:r>
    </w:p>
    <w:p w14:paraId="693D7253" w14:textId="27BC2D76" w:rsidR="00D2559A" w:rsidRDefault="00F0205F">
      <w:pPr>
        <w:spacing w:after="0" w:line="259" w:lineRule="auto"/>
        <w:jc w:val="center"/>
      </w:pPr>
      <w:r>
        <w:t>Table 1: Job Creation &amp; Destruction Flows as a percentage of total employment</w:t>
      </w:r>
    </w:p>
    <w:p w14:paraId="7928CA1A" w14:textId="77777777" w:rsidR="00014B9F" w:rsidRDefault="00014B9F">
      <w:pPr>
        <w:spacing w:after="0" w:line="259" w:lineRule="auto"/>
        <w:jc w:val="center"/>
      </w:pPr>
    </w:p>
    <w:tbl>
      <w:tblPr>
        <w:tblStyle w:val="TableGrid"/>
        <w:tblW w:w="8514" w:type="dxa"/>
        <w:tblInd w:w="50" w:type="dxa"/>
        <w:tblCellMar>
          <w:top w:w="93" w:type="dxa"/>
          <w:right w:w="81" w:type="dxa"/>
        </w:tblCellMar>
        <w:tblLook w:val="04A0" w:firstRow="1" w:lastRow="0" w:firstColumn="1" w:lastColumn="0" w:noHBand="0" w:noVBand="1"/>
      </w:tblPr>
      <w:tblGrid>
        <w:gridCol w:w="2158"/>
        <w:gridCol w:w="995"/>
        <w:gridCol w:w="1006"/>
        <w:gridCol w:w="1202"/>
        <w:gridCol w:w="1251"/>
        <w:gridCol w:w="1269"/>
        <w:gridCol w:w="633"/>
      </w:tblGrid>
      <w:tr w:rsidR="00D2559A" w14:paraId="08168D1A" w14:textId="77777777">
        <w:trPr>
          <w:trHeight w:val="281"/>
        </w:trPr>
        <w:tc>
          <w:tcPr>
            <w:tcW w:w="2162" w:type="dxa"/>
            <w:tcBorders>
              <w:top w:val="single" w:sz="2" w:space="0" w:color="000000"/>
              <w:left w:val="nil"/>
              <w:bottom w:val="single" w:sz="2" w:space="0" w:color="000000"/>
              <w:right w:val="nil"/>
            </w:tcBorders>
            <w:shd w:val="clear" w:color="auto" w:fill="C0C0C0"/>
          </w:tcPr>
          <w:p w14:paraId="7557CF6A" w14:textId="77777777" w:rsidR="00D2559A" w:rsidRDefault="00F0205F">
            <w:pPr>
              <w:spacing w:after="0" w:line="259" w:lineRule="auto"/>
              <w:ind w:left="81" w:firstLine="0"/>
              <w:jc w:val="left"/>
            </w:pPr>
            <w:r>
              <w:rPr>
                <w:sz w:val="15"/>
              </w:rPr>
              <w:t>Category</w:t>
            </w:r>
          </w:p>
        </w:tc>
        <w:tc>
          <w:tcPr>
            <w:tcW w:w="997" w:type="dxa"/>
            <w:tcBorders>
              <w:top w:val="single" w:sz="2" w:space="0" w:color="000000"/>
              <w:left w:val="nil"/>
              <w:bottom w:val="single" w:sz="2" w:space="0" w:color="000000"/>
              <w:right w:val="nil"/>
            </w:tcBorders>
            <w:shd w:val="clear" w:color="auto" w:fill="C0C0C0"/>
          </w:tcPr>
          <w:p w14:paraId="44BCF99D" w14:textId="77777777" w:rsidR="00D2559A" w:rsidRDefault="00F0205F">
            <w:pPr>
              <w:spacing w:after="0" w:line="259" w:lineRule="auto"/>
              <w:ind w:left="0" w:firstLine="0"/>
              <w:jc w:val="left"/>
            </w:pPr>
            <w:r>
              <w:rPr>
                <w:sz w:val="15"/>
              </w:rPr>
              <w:t>Period</w:t>
            </w:r>
          </w:p>
        </w:tc>
        <w:tc>
          <w:tcPr>
            <w:tcW w:w="1007" w:type="dxa"/>
            <w:tcBorders>
              <w:top w:val="single" w:sz="2" w:space="0" w:color="000000"/>
              <w:left w:val="nil"/>
              <w:bottom w:val="single" w:sz="2" w:space="0" w:color="000000"/>
              <w:right w:val="nil"/>
            </w:tcBorders>
            <w:shd w:val="clear" w:color="auto" w:fill="C0C0C0"/>
          </w:tcPr>
          <w:p w14:paraId="20C0C94A" w14:textId="77777777" w:rsidR="00D2559A" w:rsidRDefault="00F0205F">
            <w:pPr>
              <w:spacing w:after="0" w:line="259" w:lineRule="auto"/>
              <w:ind w:left="0" w:firstLine="0"/>
              <w:jc w:val="left"/>
            </w:pPr>
            <w:r>
              <w:rPr>
                <w:sz w:val="15"/>
              </w:rPr>
              <w:t>Job Creation</w:t>
            </w:r>
          </w:p>
        </w:tc>
        <w:tc>
          <w:tcPr>
            <w:tcW w:w="1203" w:type="dxa"/>
            <w:tcBorders>
              <w:top w:val="single" w:sz="2" w:space="0" w:color="000000"/>
              <w:left w:val="nil"/>
              <w:bottom w:val="single" w:sz="2" w:space="0" w:color="000000"/>
              <w:right w:val="nil"/>
            </w:tcBorders>
            <w:shd w:val="clear" w:color="auto" w:fill="C0C0C0"/>
          </w:tcPr>
          <w:p w14:paraId="1EF6D9C7" w14:textId="77777777" w:rsidR="00D2559A" w:rsidRDefault="00F0205F">
            <w:pPr>
              <w:spacing w:after="0" w:line="259" w:lineRule="auto"/>
              <w:ind w:left="0" w:firstLine="0"/>
              <w:jc w:val="left"/>
            </w:pPr>
            <w:r>
              <w:rPr>
                <w:sz w:val="15"/>
              </w:rPr>
              <w:t>Job Destruction</w:t>
            </w:r>
          </w:p>
        </w:tc>
        <w:tc>
          <w:tcPr>
            <w:tcW w:w="1252" w:type="dxa"/>
            <w:tcBorders>
              <w:top w:val="single" w:sz="2" w:space="0" w:color="000000"/>
              <w:left w:val="nil"/>
              <w:bottom w:val="single" w:sz="2" w:space="0" w:color="000000"/>
              <w:right w:val="nil"/>
            </w:tcBorders>
            <w:shd w:val="clear" w:color="auto" w:fill="C0C0C0"/>
          </w:tcPr>
          <w:p w14:paraId="7F0D5C1D" w14:textId="77777777" w:rsidR="00D2559A" w:rsidRDefault="00F0205F">
            <w:pPr>
              <w:spacing w:after="0" w:line="259" w:lineRule="auto"/>
              <w:ind w:left="0" w:firstLine="0"/>
              <w:jc w:val="left"/>
            </w:pPr>
            <w:r>
              <w:rPr>
                <w:sz w:val="15"/>
              </w:rPr>
              <w:t>Job Reallocation</w:t>
            </w:r>
          </w:p>
        </w:tc>
        <w:tc>
          <w:tcPr>
            <w:tcW w:w="1270" w:type="dxa"/>
            <w:tcBorders>
              <w:top w:val="single" w:sz="2" w:space="0" w:color="000000"/>
              <w:left w:val="nil"/>
              <w:bottom w:val="single" w:sz="2" w:space="0" w:color="000000"/>
              <w:right w:val="nil"/>
            </w:tcBorders>
            <w:shd w:val="clear" w:color="auto" w:fill="C0C0C0"/>
          </w:tcPr>
          <w:p w14:paraId="3E93C6E9" w14:textId="77777777" w:rsidR="00D2559A" w:rsidRDefault="00F0205F">
            <w:pPr>
              <w:spacing w:after="0" w:line="259" w:lineRule="auto"/>
              <w:ind w:left="0" w:firstLine="0"/>
              <w:jc w:val="left"/>
            </w:pPr>
            <w:r>
              <w:rPr>
                <w:sz w:val="15"/>
              </w:rPr>
              <w:t>Net Employment</w:t>
            </w:r>
          </w:p>
        </w:tc>
        <w:tc>
          <w:tcPr>
            <w:tcW w:w="623" w:type="dxa"/>
            <w:tcBorders>
              <w:top w:val="single" w:sz="2" w:space="0" w:color="000000"/>
              <w:left w:val="nil"/>
              <w:bottom w:val="single" w:sz="2" w:space="0" w:color="000000"/>
              <w:right w:val="nil"/>
            </w:tcBorders>
            <w:shd w:val="clear" w:color="auto" w:fill="C0C0C0"/>
          </w:tcPr>
          <w:p w14:paraId="4642B495" w14:textId="77777777" w:rsidR="00D2559A" w:rsidRDefault="00F0205F">
            <w:pPr>
              <w:spacing w:after="0" w:line="259" w:lineRule="auto"/>
              <w:ind w:left="0" w:firstLine="0"/>
              <w:jc w:val="left"/>
            </w:pPr>
            <w:r>
              <w:rPr>
                <w:sz w:val="15"/>
              </w:rPr>
              <w:t>Measure</w:t>
            </w:r>
          </w:p>
        </w:tc>
      </w:tr>
      <w:tr w:rsidR="00D2559A" w14:paraId="2707788A" w14:textId="77777777">
        <w:trPr>
          <w:trHeight w:val="283"/>
        </w:trPr>
        <w:tc>
          <w:tcPr>
            <w:tcW w:w="2162" w:type="dxa"/>
            <w:tcBorders>
              <w:top w:val="single" w:sz="2" w:space="0" w:color="000000"/>
              <w:left w:val="nil"/>
              <w:bottom w:val="single" w:sz="2" w:space="0" w:color="000000"/>
              <w:right w:val="nil"/>
            </w:tcBorders>
          </w:tcPr>
          <w:p w14:paraId="642FD12B" w14:textId="77777777" w:rsidR="00D2559A" w:rsidRDefault="00F0205F">
            <w:pPr>
              <w:spacing w:after="0" w:line="259" w:lineRule="auto"/>
              <w:ind w:left="81" w:firstLine="0"/>
              <w:jc w:val="left"/>
            </w:pPr>
            <w:r>
              <w:rPr>
                <w:sz w:val="15"/>
              </w:rPr>
              <w:t>Ambulatory Healthcare</w:t>
            </w:r>
          </w:p>
        </w:tc>
        <w:tc>
          <w:tcPr>
            <w:tcW w:w="997" w:type="dxa"/>
            <w:tcBorders>
              <w:top w:val="single" w:sz="2" w:space="0" w:color="000000"/>
              <w:left w:val="nil"/>
              <w:bottom w:val="single" w:sz="2" w:space="0" w:color="000000"/>
              <w:right w:val="nil"/>
            </w:tcBorders>
          </w:tcPr>
          <w:p w14:paraId="19785DB4" w14:textId="77777777" w:rsidR="00D2559A" w:rsidRDefault="00F0205F">
            <w:pPr>
              <w:spacing w:after="0" w:line="259" w:lineRule="auto"/>
              <w:ind w:left="0" w:firstLine="0"/>
              <w:jc w:val="left"/>
            </w:pPr>
            <w:r>
              <w:rPr>
                <w:sz w:val="15"/>
              </w:rPr>
              <w:t>Pre-COVID</w:t>
            </w:r>
          </w:p>
        </w:tc>
        <w:tc>
          <w:tcPr>
            <w:tcW w:w="1007" w:type="dxa"/>
            <w:tcBorders>
              <w:top w:val="single" w:sz="2" w:space="0" w:color="000000"/>
              <w:left w:val="nil"/>
              <w:bottom w:val="single" w:sz="2" w:space="0" w:color="000000"/>
              <w:right w:val="nil"/>
            </w:tcBorders>
          </w:tcPr>
          <w:p w14:paraId="39AF7844" w14:textId="77777777" w:rsidR="00D2559A" w:rsidRDefault="00F0205F">
            <w:pPr>
              <w:spacing w:after="0" w:line="259" w:lineRule="auto"/>
              <w:ind w:left="228" w:firstLine="0"/>
              <w:jc w:val="left"/>
            </w:pPr>
            <w:r>
              <w:rPr>
                <w:sz w:val="15"/>
              </w:rPr>
              <w:t>3.26%</w:t>
            </w:r>
          </w:p>
        </w:tc>
        <w:tc>
          <w:tcPr>
            <w:tcW w:w="1203" w:type="dxa"/>
            <w:tcBorders>
              <w:top w:val="single" w:sz="2" w:space="0" w:color="000000"/>
              <w:left w:val="nil"/>
              <w:bottom w:val="single" w:sz="2" w:space="0" w:color="000000"/>
              <w:right w:val="nil"/>
            </w:tcBorders>
          </w:tcPr>
          <w:p w14:paraId="1BA5932F" w14:textId="77777777" w:rsidR="00D2559A" w:rsidRDefault="00F0205F">
            <w:pPr>
              <w:spacing w:after="0" w:line="259" w:lineRule="auto"/>
              <w:ind w:left="327" w:firstLine="0"/>
              <w:jc w:val="left"/>
            </w:pPr>
            <w:r>
              <w:rPr>
                <w:sz w:val="15"/>
              </w:rPr>
              <w:t>3.11%</w:t>
            </w:r>
          </w:p>
        </w:tc>
        <w:tc>
          <w:tcPr>
            <w:tcW w:w="1252" w:type="dxa"/>
            <w:tcBorders>
              <w:top w:val="single" w:sz="2" w:space="0" w:color="000000"/>
              <w:left w:val="nil"/>
              <w:bottom w:val="single" w:sz="2" w:space="0" w:color="000000"/>
              <w:right w:val="nil"/>
            </w:tcBorders>
          </w:tcPr>
          <w:p w14:paraId="3A0C3AAE" w14:textId="77777777" w:rsidR="00D2559A" w:rsidRDefault="00F0205F">
            <w:pPr>
              <w:spacing w:after="0" w:line="259" w:lineRule="auto"/>
              <w:ind w:left="351" w:firstLine="0"/>
              <w:jc w:val="left"/>
            </w:pPr>
            <w:r>
              <w:rPr>
                <w:sz w:val="15"/>
              </w:rPr>
              <w:t>6.38%</w:t>
            </w:r>
          </w:p>
        </w:tc>
        <w:tc>
          <w:tcPr>
            <w:tcW w:w="1270" w:type="dxa"/>
            <w:tcBorders>
              <w:top w:val="single" w:sz="2" w:space="0" w:color="000000"/>
              <w:left w:val="nil"/>
              <w:bottom w:val="single" w:sz="2" w:space="0" w:color="000000"/>
              <w:right w:val="nil"/>
            </w:tcBorders>
          </w:tcPr>
          <w:p w14:paraId="0233FF6E" w14:textId="77777777" w:rsidR="00D2559A" w:rsidRDefault="00F0205F">
            <w:pPr>
              <w:spacing w:after="0" w:line="259" w:lineRule="auto"/>
              <w:ind w:left="360" w:firstLine="0"/>
              <w:jc w:val="left"/>
            </w:pPr>
            <w:r>
              <w:rPr>
                <w:sz w:val="15"/>
              </w:rPr>
              <w:t>0.15%</w:t>
            </w:r>
          </w:p>
        </w:tc>
        <w:tc>
          <w:tcPr>
            <w:tcW w:w="623" w:type="dxa"/>
            <w:tcBorders>
              <w:top w:val="single" w:sz="2" w:space="0" w:color="000000"/>
              <w:left w:val="nil"/>
              <w:bottom w:val="single" w:sz="2" w:space="0" w:color="000000"/>
              <w:right w:val="nil"/>
            </w:tcBorders>
          </w:tcPr>
          <w:p w14:paraId="1FDAC6C0" w14:textId="77777777" w:rsidR="00D2559A" w:rsidRDefault="00D2559A">
            <w:pPr>
              <w:spacing w:after="160" w:line="259" w:lineRule="auto"/>
              <w:ind w:left="0" w:firstLine="0"/>
              <w:jc w:val="left"/>
            </w:pPr>
          </w:p>
        </w:tc>
      </w:tr>
      <w:tr w:rsidR="00D2559A" w14:paraId="21955A98" w14:textId="77777777">
        <w:trPr>
          <w:trHeight w:val="282"/>
        </w:trPr>
        <w:tc>
          <w:tcPr>
            <w:tcW w:w="2162" w:type="dxa"/>
            <w:tcBorders>
              <w:top w:val="single" w:sz="2" w:space="0" w:color="000000"/>
              <w:left w:val="nil"/>
              <w:bottom w:val="single" w:sz="2" w:space="0" w:color="000000"/>
              <w:right w:val="nil"/>
            </w:tcBorders>
          </w:tcPr>
          <w:p w14:paraId="64A806DE" w14:textId="77777777" w:rsidR="00D2559A" w:rsidRDefault="00F0205F">
            <w:pPr>
              <w:spacing w:after="0" w:line="259" w:lineRule="auto"/>
              <w:ind w:left="81" w:firstLine="0"/>
              <w:jc w:val="left"/>
            </w:pPr>
            <w:r>
              <w:rPr>
                <w:sz w:val="15"/>
              </w:rPr>
              <w:t>Ambulatory Healthcare</w:t>
            </w:r>
          </w:p>
        </w:tc>
        <w:tc>
          <w:tcPr>
            <w:tcW w:w="997" w:type="dxa"/>
            <w:tcBorders>
              <w:top w:val="single" w:sz="2" w:space="0" w:color="000000"/>
              <w:left w:val="nil"/>
              <w:bottom w:val="single" w:sz="2" w:space="0" w:color="000000"/>
              <w:right w:val="nil"/>
            </w:tcBorders>
          </w:tcPr>
          <w:p w14:paraId="1D1C7075" w14:textId="77777777" w:rsidR="00D2559A" w:rsidRDefault="00F0205F">
            <w:pPr>
              <w:spacing w:after="0" w:line="259" w:lineRule="auto"/>
              <w:ind w:left="0" w:firstLine="0"/>
              <w:jc w:val="left"/>
            </w:pPr>
            <w:r>
              <w:rPr>
                <w:sz w:val="15"/>
              </w:rPr>
              <w:t>Post-COVID</w:t>
            </w:r>
          </w:p>
        </w:tc>
        <w:tc>
          <w:tcPr>
            <w:tcW w:w="1007" w:type="dxa"/>
            <w:tcBorders>
              <w:top w:val="single" w:sz="2" w:space="0" w:color="000000"/>
              <w:left w:val="nil"/>
              <w:bottom w:val="single" w:sz="2" w:space="0" w:color="000000"/>
              <w:right w:val="nil"/>
            </w:tcBorders>
          </w:tcPr>
          <w:p w14:paraId="6712EB01" w14:textId="77777777" w:rsidR="00D2559A" w:rsidRDefault="00F0205F">
            <w:pPr>
              <w:spacing w:after="0" w:line="259" w:lineRule="auto"/>
              <w:ind w:left="228" w:firstLine="0"/>
              <w:jc w:val="left"/>
            </w:pPr>
            <w:r>
              <w:rPr>
                <w:sz w:val="15"/>
              </w:rPr>
              <w:t>3.88%</w:t>
            </w:r>
          </w:p>
        </w:tc>
        <w:tc>
          <w:tcPr>
            <w:tcW w:w="1203" w:type="dxa"/>
            <w:tcBorders>
              <w:top w:val="single" w:sz="2" w:space="0" w:color="000000"/>
              <w:left w:val="nil"/>
              <w:bottom w:val="single" w:sz="2" w:space="0" w:color="000000"/>
              <w:right w:val="nil"/>
            </w:tcBorders>
          </w:tcPr>
          <w:p w14:paraId="5BCE6F89" w14:textId="77777777" w:rsidR="00D2559A" w:rsidRDefault="00F0205F">
            <w:pPr>
              <w:spacing w:after="0" w:line="259" w:lineRule="auto"/>
              <w:ind w:left="327" w:firstLine="0"/>
              <w:jc w:val="left"/>
            </w:pPr>
            <w:r>
              <w:rPr>
                <w:sz w:val="15"/>
              </w:rPr>
              <w:t>4.15%</w:t>
            </w:r>
          </w:p>
        </w:tc>
        <w:tc>
          <w:tcPr>
            <w:tcW w:w="1252" w:type="dxa"/>
            <w:tcBorders>
              <w:top w:val="single" w:sz="2" w:space="0" w:color="000000"/>
              <w:left w:val="nil"/>
              <w:bottom w:val="single" w:sz="2" w:space="0" w:color="000000"/>
              <w:right w:val="nil"/>
            </w:tcBorders>
          </w:tcPr>
          <w:p w14:paraId="1999C35F" w14:textId="77777777" w:rsidR="00D2559A" w:rsidRDefault="00F0205F">
            <w:pPr>
              <w:spacing w:after="0" w:line="259" w:lineRule="auto"/>
              <w:ind w:left="351" w:firstLine="0"/>
              <w:jc w:val="left"/>
            </w:pPr>
            <w:r>
              <w:rPr>
                <w:sz w:val="15"/>
              </w:rPr>
              <w:t>8.02%</w:t>
            </w:r>
          </w:p>
        </w:tc>
        <w:tc>
          <w:tcPr>
            <w:tcW w:w="1270" w:type="dxa"/>
            <w:tcBorders>
              <w:top w:val="single" w:sz="2" w:space="0" w:color="000000"/>
              <w:left w:val="nil"/>
              <w:bottom w:val="single" w:sz="2" w:space="0" w:color="000000"/>
              <w:right w:val="nil"/>
            </w:tcBorders>
          </w:tcPr>
          <w:p w14:paraId="3AE8DCDE" w14:textId="77777777" w:rsidR="00D2559A" w:rsidRDefault="00F0205F">
            <w:pPr>
              <w:spacing w:after="0" w:line="259" w:lineRule="auto"/>
              <w:ind w:left="302" w:firstLine="0"/>
              <w:jc w:val="left"/>
            </w:pPr>
            <w:r>
              <w:rPr>
                <w:sz w:val="15"/>
              </w:rPr>
              <w:t>(0.27%)</w:t>
            </w:r>
          </w:p>
        </w:tc>
        <w:tc>
          <w:tcPr>
            <w:tcW w:w="623" w:type="dxa"/>
            <w:tcBorders>
              <w:top w:val="single" w:sz="2" w:space="0" w:color="000000"/>
              <w:left w:val="nil"/>
              <w:bottom w:val="single" w:sz="2" w:space="0" w:color="000000"/>
              <w:right w:val="nil"/>
            </w:tcBorders>
          </w:tcPr>
          <w:p w14:paraId="126E03D2" w14:textId="77777777" w:rsidR="00D2559A" w:rsidRDefault="00D2559A">
            <w:pPr>
              <w:spacing w:after="160" w:line="259" w:lineRule="auto"/>
              <w:ind w:left="0" w:firstLine="0"/>
              <w:jc w:val="left"/>
            </w:pPr>
          </w:p>
        </w:tc>
      </w:tr>
      <w:tr w:rsidR="00D2559A" w14:paraId="69754232" w14:textId="77777777">
        <w:trPr>
          <w:trHeight w:val="282"/>
        </w:trPr>
        <w:tc>
          <w:tcPr>
            <w:tcW w:w="2162" w:type="dxa"/>
            <w:tcBorders>
              <w:top w:val="single" w:sz="2" w:space="0" w:color="000000"/>
              <w:left w:val="nil"/>
              <w:bottom w:val="single" w:sz="2" w:space="0" w:color="000000"/>
              <w:right w:val="nil"/>
            </w:tcBorders>
          </w:tcPr>
          <w:p w14:paraId="79C141BF" w14:textId="77777777" w:rsidR="00D2559A" w:rsidRDefault="00D2559A">
            <w:pPr>
              <w:spacing w:after="160" w:line="259" w:lineRule="auto"/>
              <w:ind w:left="0" w:firstLine="0"/>
              <w:jc w:val="left"/>
            </w:pPr>
          </w:p>
        </w:tc>
        <w:tc>
          <w:tcPr>
            <w:tcW w:w="997" w:type="dxa"/>
            <w:tcBorders>
              <w:top w:val="single" w:sz="2" w:space="0" w:color="000000"/>
              <w:left w:val="nil"/>
              <w:bottom w:val="single" w:sz="2" w:space="0" w:color="000000"/>
              <w:right w:val="nil"/>
            </w:tcBorders>
          </w:tcPr>
          <w:p w14:paraId="06043600" w14:textId="77777777" w:rsidR="00D2559A" w:rsidRDefault="00D2559A">
            <w:pPr>
              <w:spacing w:after="160" w:line="259" w:lineRule="auto"/>
              <w:ind w:left="0" w:firstLine="0"/>
              <w:jc w:val="left"/>
            </w:pPr>
          </w:p>
        </w:tc>
        <w:tc>
          <w:tcPr>
            <w:tcW w:w="1007" w:type="dxa"/>
            <w:tcBorders>
              <w:top w:val="single" w:sz="2" w:space="0" w:color="000000"/>
              <w:left w:val="nil"/>
              <w:bottom w:val="single" w:sz="2" w:space="0" w:color="000000"/>
              <w:right w:val="nil"/>
            </w:tcBorders>
          </w:tcPr>
          <w:p w14:paraId="6A9849FB" w14:textId="77777777" w:rsidR="00D2559A" w:rsidRDefault="00F0205F">
            <w:pPr>
              <w:spacing w:after="0" w:line="259" w:lineRule="auto"/>
              <w:ind w:left="290" w:firstLine="0"/>
              <w:jc w:val="left"/>
            </w:pPr>
            <w:r>
              <w:rPr>
                <w:sz w:val="15"/>
              </w:rPr>
              <w:t>0.61</w:t>
            </w:r>
          </w:p>
        </w:tc>
        <w:tc>
          <w:tcPr>
            <w:tcW w:w="1203" w:type="dxa"/>
            <w:tcBorders>
              <w:top w:val="single" w:sz="2" w:space="0" w:color="000000"/>
              <w:left w:val="nil"/>
              <w:bottom w:val="single" w:sz="2" w:space="0" w:color="000000"/>
              <w:right w:val="nil"/>
            </w:tcBorders>
          </w:tcPr>
          <w:p w14:paraId="6F5B13EC" w14:textId="77777777" w:rsidR="00D2559A" w:rsidRDefault="00F0205F">
            <w:pPr>
              <w:spacing w:after="0" w:line="259" w:lineRule="auto"/>
              <w:ind w:left="388" w:firstLine="0"/>
              <w:jc w:val="left"/>
            </w:pPr>
            <w:r>
              <w:rPr>
                <w:sz w:val="15"/>
              </w:rPr>
              <w:t>1.04</w:t>
            </w:r>
          </w:p>
        </w:tc>
        <w:tc>
          <w:tcPr>
            <w:tcW w:w="1252" w:type="dxa"/>
            <w:tcBorders>
              <w:top w:val="single" w:sz="2" w:space="0" w:color="000000"/>
              <w:left w:val="nil"/>
              <w:bottom w:val="single" w:sz="2" w:space="0" w:color="000000"/>
              <w:right w:val="nil"/>
            </w:tcBorders>
          </w:tcPr>
          <w:p w14:paraId="14183A99" w14:textId="77777777" w:rsidR="00D2559A" w:rsidRDefault="00D2559A">
            <w:pPr>
              <w:spacing w:after="160" w:line="259" w:lineRule="auto"/>
              <w:ind w:left="0" w:firstLine="0"/>
              <w:jc w:val="left"/>
            </w:pPr>
          </w:p>
        </w:tc>
        <w:tc>
          <w:tcPr>
            <w:tcW w:w="1270" w:type="dxa"/>
            <w:tcBorders>
              <w:top w:val="single" w:sz="2" w:space="0" w:color="000000"/>
              <w:left w:val="nil"/>
              <w:bottom w:val="single" w:sz="2" w:space="0" w:color="000000"/>
              <w:right w:val="nil"/>
            </w:tcBorders>
          </w:tcPr>
          <w:p w14:paraId="008CCEC9" w14:textId="77777777" w:rsidR="00D2559A" w:rsidRDefault="00D2559A">
            <w:pPr>
              <w:spacing w:after="160" w:line="259" w:lineRule="auto"/>
              <w:ind w:left="0" w:firstLine="0"/>
              <w:jc w:val="left"/>
            </w:pPr>
          </w:p>
        </w:tc>
        <w:tc>
          <w:tcPr>
            <w:tcW w:w="623" w:type="dxa"/>
            <w:tcBorders>
              <w:top w:val="single" w:sz="2" w:space="0" w:color="000000"/>
              <w:left w:val="nil"/>
              <w:bottom w:val="single" w:sz="2" w:space="0" w:color="000000"/>
              <w:right w:val="nil"/>
            </w:tcBorders>
          </w:tcPr>
          <w:p w14:paraId="34E5A846" w14:textId="77777777" w:rsidR="00D2559A" w:rsidRDefault="00F0205F">
            <w:pPr>
              <w:spacing w:after="0" w:line="259" w:lineRule="auto"/>
              <w:ind w:left="119" w:firstLine="0"/>
              <w:jc w:val="left"/>
            </w:pPr>
            <w:r>
              <w:rPr>
                <w:b/>
                <w:sz w:val="15"/>
              </w:rPr>
              <w:t>0.42</w:t>
            </w:r>
          </w:p>
        </w:tc>
      </w:tr>
      <w:tr w:rsidR="00D2559A" w14:paraId="4FAC570C" w14:textId="77777777">
        <w:trPr>
          <w:trHeight w:val="282"/>
        </w:trPr>
        <w:tc>
          <w:tcPr>
            <w:tcW w:w="2162" w:type="dxa"/>
            <w:tcBorders>
              <w:top w:val="single" w:sz="2" w:space="0" w:color="000000"/>
              <w:left w:val="nil"/>
              <w:bottom w:val="single" w:sz="2" w:space="0" w:color="000000"/>
              <w:right w:val="nil"/>
            </w:tcBorders>
          </w:tcPr>
          <w:p w14:paraId="5279696B" w14:textId="77777777" w:rsidR="00D2559A" w:rsidRDefault="00F0205F">
            <w:pPr>
              <w:spacing w:after="0" w:line="259" w:lineRule="auto"/>
              <w:ind w:left="81" w:firstLine="0"/>
              <w:jc w:val="left"/>
            </w:pPr>
            <w:r>
              <w:rPr>
                <w:sz w:val="15"/>
              </w:rPr>
              <w:t>Hospitals</w:t>
            </w:r>
          </w:p>
        </w:tc>
        <w:tc>
          <w:tcPr>
            <w:tcW w:w="997" w:type="dxa"/>
            <w:tcBorders>
              <w:top w:val="single" w:sz="2" w:space="0" w:color="000000"/>
              <w:left w:val="nil"/>
              <w:bottom w:val="single" w:sz="2" w:space="0" w:color="000000"/>
              <w:right w:val="nil"/>
            </w:tcBorders>
          </w:tcPr>
          <w:p w14:paraId="16CE0996" w14:textId="77777777" w:rsidR="00D2559A" w:rsidRDefault="00F0205F">
            <w:pPr>
              <w:spacing w:after="0" w:line="259" w:lineRule="auto"/>
              <w:ind w:left="0" w:firstLine="0"/>
              <w:jc w:val="left"/>
            </w:pPr>
            <w:r>
              <w:rPr>
                <w:sz w:val="15"/>
              </w:rPr>
              <w:t>Pre-COVID</w:t>
            </w:r>
          </w:p>
        </w:tc>
        <w:tc>
          <w:tcPr>
            <w:tcW w:w="1007" w:type="dxa"/>
            <w:tcBorders>
              <w:top w:val="single" w:sz="2" w:space="0" w:color="000000"/>
              <w:left w:val="nil"/>
              <w:bottom w:val="single" w:sz="2" w:space="0" w:color="000000"/>
              <w:right w:val="nil"/>
            </w:tcBorders>
          </w:tcPr>
          <w:p w14:paraId="79527F8D" w14:textId="77777777" w:rsidR="00D2559A" w:rsidRDefault="00F0205F">
            <w:pPr>
              <w:spacing w:after="0" w:line="259" w:lineRule="auto"/>
              <w:ind w:left="228" w:firstLine="0"/>
              <w:jc w:val="left"/>
            </w:pPr>
            <w:r>
              <w:rPr>
                <w:sz w:val="15"/>
              </w:rPr>
              <w:t>1.09%</w:t>
            </w:r>
          </w:p>
        </w:tc>
        <w:tc>
          <w:tcPr>
            <w:tcW w:w="1203" w:type="dxa"/>
            <w:tcBorders>
              <w:top w:val="single" w:sz="2" w:space="0" w:color="000000"/>
              <w:left w:val="nil"/>
              <w:bottom w:val="single" w:sz="2" w:space="0" w:color="000000"/>
              <w:right w:val="nil"/>
            </w:tcBorders>
          </w:tcPr>
          <w:p w14:paraId="6CF45009" w14:textId="77777777" w:rsidR="00D2559A" w:rsidRDefault="00F0205F">
            <w:pPr>
              <w:spacing w:after="0" w:line="259" w:lineRule="auto"/>
              <w:ind w:left="327" w:firstLine="0"/>
              <w:jc w:val="left"/>
            </w:pPr>
            <w:r>
              <w:rPr>
                <w:sz w:val="15"/>
              </w:rPr>
              <w:t>1.01%</w:t>
            </w:r>
          </w:p>
        </w:tc>
        <w:tc>
          <w:tcPr>
            <w:tcW w:w="1252" w:type="dxa"/>
            <w:tcBorders>
              <w:top w:val="single" w:sz="2" w:space="0" w:color="000000"/>
              <w:left w:val="nil"/>
              <w:bottom w:val="single" w:sz="2" w:space="0" w:color="000000"/>
              <w:right w:val="nil"/>
            </w:tcBorders>
          </w:tcPr>
          <w:p w14:paraId="73AF675F" w14:textId="77777777" w:rsidR="00D2559A" w:rsidRDefault="00F0205F">
            <w:pPr>
              <w:spacing w:after="0" w:line="259" w:lineRule="auto"/>
              <w:ind w:left="351" w:firstLine="0"/>
              <w:jc w:val="left"/>
            </w:pPr>
            <w:r>
              <w:rPr>
                <w:sz w:val="15"/>
              </w:rPr>
              <w:t>2.11%</w:t>
            </w:r>
          </w:p>
        </w:tc>
        <w:tc>
          <w:tcPr>
            <w:tcW w:w="1270" w:type="dxa"/>
            <w:tcBorders>
              <w:top w:val="single" w:sz="2" w:space="0" w:color="000000"/>
              <w:left w:val="nil"/>
              <w:bottom w:val="single" w:sz="2" w:space="0" w:color="000000"/>
              <w:right w:val="nil"/>
            </w:tcBorders>
          </w:tcPr>
          <w:p w14:paraId="2B1D9C54" w14:textId="77777777" w:rsidR="00D2559A" w:rsidRDefault="00F0205F">
            <w:pPr>
              <w:spacing w:after="0" w:line="259" w:lineRule="auto"/>
              <w:ind w:left="360" w:firstLine="0"/>
              <w:jc w:val="left"/>
            </w:pPr>
            <w:r>
              <w:rPr>
                <w:sz w:val="15"/>
              </w:rPr>
              <w:t>0.08%</w:t>
            </w:r>
          </w:p>
        </w:tc>
        <w:tc>
          <w:tcPr>
            <w:tcW w:w="623" w:type="dxa"/>
            <w:tcBorders>
              <w:top w:val="single" w:sz="2" w:space="0" w:color="000000"/>
              <w:left w:val="nil"/>
              <w:bottom w:val="single" w:sz="2" w:space="0" w:color="000000"/>
              <w:right w:val="nil"/>
            </w:tcBorders>
          </w:tcPr>
          <w:p w14:paraId="2A02FCE3" w14:textId="77777777" w:rsidR="00D2559A" w:rsidRDefault="00D2559A">
            <w:pPr>
              <w:spacing w:after="160" w:line="259" w:lineRule="auto"/>
              <w:ind w:left="0" w:firstLine="0"/>
              <w:jc w:val="left"/>
            </w:pPr>
          </w:p>
        </w:tc>
      </w:tr>
      <w:tr w:rsidR="00D2559A" w14:paraId="7506BD6F" w14:textId="77777777">
        <w:trPr>
          <w:trHeight w:val="282"/>
        </w:trPr>
        <w:tc>
          <w:tcPr>
            <w:tcW w:w="2162" w:type="dxa"/>
            <w:tcBorders>
              <w:top w:val="single" w:sz="2" w:space="0" w:color="000000"/>
              <w:left w:val="nil"/>
              <w:bottom w:val="single" w:sz="2" w:space="0" w:color="000000"/>
              <w:right w:val="nil"/>
            </w:tcBorders>
          </w:tcPr>
          <w:p w14:paraId="2194453F" w14:textId="77777777" w:rsidR="00D2559A" w:rsidRDefault="00F0205F">
            <w:pPr>
              <w:spacing w:after="0" w:line="259" w:lineRule="auto"/>
              <w:ind w:left="81" w:firstLine="0"/>
              <w:jc w:val="left"/>
            </w:pPr>
            <w:r>
              <w:rPr>
                <w:sz w:val="15"/>
              </w:rPr>
              <w:t>Hospitals</w:t>
            </w:r>
          </w:p>
        </w:tc>
        <w:tc>
          <w:tcPr>
            <w:tcW w:w="997" w:type="dxa"/>
            <w:tcBorders>
              <w:top w:val="single" w:sz="2" w:space="0" w:color="000000"/>
              <w:left w:val="nil"/>
              <w:bottom w:val="single" w:sz="2" w:space="0" w:color="000000"/>
              <w:right w:val="nil"/>
            </w:tcBorders>
          </w:tcPr>
          <w:p w14:paraId="50314C37" w14:textId="77777777" w:rsidR="00D2559A" w:rsidRDefault="00F0205F">
            <w:pPr>
              <w:spacing w:after="0" w:line="259" w:lineRule="auto"/>
              <w:ind w:left="0" w:firstLine="0"/>
              <w:jc w:val="left"/>
            </w:pPr>
            <w:r>
              <w:rPr>
                <w:sz w:val="15"/>
              </w:rPr>
              <w:t>Post-COVID</w:t>
            </w:r>
          </w:p>
        </w:tc>
        <w:tc>
          <w:tcPr>
            <w:tcW w:w="1007" w:type="dxa"/>
            <w:tcBorders>
              <w:top w:val="single" w:sz="2" w:space="0" w:color="000000"/>
              <w:left w:val="nil"/>
              <w:bottom w:val="single" w:sz="2" w:space="0" w:color="000000"/>
              <w:right w:val="nil"/>
            </w:tcBorders>
          </w:tcPr>
          <w:p w14:paraId="0E45BB04" w14:textId="77777777" w:rsidR="00D2559A" w:rsidRDefault="00F0205F">
            <w:pPr>
              <w:spacing w:after="0" w:line="259" w:lineRule="auto"/>
              <w:ind w:left="228" w:firstLine="0"/>
              <w:jc w:val="left"/>
            </w:pPr>
            <w:r>
              <w:rPr>
                <w:sz w:val="15"/>
              </w:rPr>
              <w:t>1.13%</w:t>
            </w:r>
          </w:p>
        </w:tc>
        <w:tc>
          <w:tcPr>
            <w:tcW w:w="1203" w:type="dxa"/>
            <w:tcBorders>
              <w:top w:val="single" w:sz="2" w:space="0" w:color="000000"/>
              <w:left w:val="nil"/>
              <w:bottom w:val="single" w:sz="2" w:space="0" w:color="000000"/>
              <w:right w:val="nil"/>
            </w:tcBorders>
          </w:tcPr>
          <w:p w14:paraId="2424448C" w14:textId="77777777" w:rsidR="00D2559A" w:rsidRDefault="00F0205F">
            <w:pPr>
              <w:spacing w:after="0" w:line="259" w:lineRule="auto"/>
              <w:ind w:left="327" w:firstLine="0"/>
              <w:jc w:val="left"/>
            </w:pPr>
            <w:r>
              <w:rPr>
                <w:sz w:val="15"/>
              </w:rPr>
              <w:t>1.19%</w:t>
            </w:r>
          </w:p>
        </w:tc>
        <w:tc>
          <w:tcPr>
            <w:tcW w:w="1252" w:type="dxa"/>
            <w:tcBorders>
              <w:top w:val="single" w:sz="2" w:space="0" w:color="000000"/>
              <w:left w:val="nil"/>
              <w:bottom w:val="single" w:sz="2" w:space="0" w:color="000000"/>
              <w:right w:val="nil"/>
            </w:tcBorders>
          </w:tcPr>
          <w:p w14:paraId="1E667C43" w14:textId="77777777" w:rsidR="00D2559A" w:rsidRDefault="00F0205F">
            <w:pPr>
              <w:spacing w:after="0" w:line="259" w:lineRule="auto"/>
              <w:ind w:left="351" w:firstLine="0"/>
              <w:jc w:val="left"/>
            </w:pPr>
            <w:r>
              <w:rPr>
                <w:sz w:val="15"/>
              </w:rPr>
              <w:t>2.33%</w:t>
            </w:r>
          </w:p>
        </w:tc>
        <w:tc>
          <w:tcPr>
            <w:tcW w:w="1270" w:type="dxa"/>
            <w:tcBorders>
              <w:top w:val="single" w:sz="2" w:space="0" w:color="000000"/>
              <w:left w:val="nil"/>
              <w:bottom w:val="single" w:sz="2" w:space="0" w:color="000000"/>
              <w:right w:val="nil"/>
            </w:tcBorders>
          </w:tcPr>
          <w:p w14:paraId="5CB9E22A" w14:textId="77777777" w:rsidR="00D2559A" w:rsidRDefault="00F0205F">
            <w:pPr>
              <w:spacing w:after="0" w:line="259" w:lineRule="auto"/>
              <w:ind w:left="302" w:firstLine="0"/>
              <w:jc w:val="left"/>
            </w:pPr>
            <w:r>
              <w:rPr>
                <w:sz w:val="15"/>
              </w:rPr>
              <w:t>(0.06%)</w:t>
            </w:r>
          </w:p>
        </w:tc>
        <w:tc>
          <w:tcPr>
            <w:tcW w:w="623" w:type="dxa"/>
            <w:tcBorders>
              <w:top w:val="single" w:sz="2" w:space="0" w:color="000000"/>
              <w:left w:val="nil"/>
              <w:bottom w:val="single" w:sz="2" w:space="0" w:color="000000"/>
              <w:right w:val="nil"/>
            </w:tcBorders>
          </w:tcPr>
          <w:p w14:paraId="62265E91" w14:textId="77777777" w:rsidR="00D2559A" w:rsidRDefault="00D2559A">
            <w:pPr>
              <w:spacing w:after="160" w:line="259" w:lineRule="auto"/>
              <w:ind w:left="0" w:firstLine="0"/>
              <w:jc w:val="left"/>
            </w:pPr>
          </w:p>
        </w:tc>
      </w:tr>
      <w:tr w:rsidR="00D2559A" w14:paraId="39C813A8" w14:textId="77777777">
        <w:trPr>
          <w:trHeight w:val="282"/>
        </w:trPr>
        <w:tc>
          <w:tcPr>
            <w:tcW w:w="2162" w:type="dxa"/>
            <w:tcBorders>
              <w:top w:val="single" w:sz="2" w:space="0" w:color="000000"/>
              <w:left w:val="nil"/>
              <w:bottom w:val="single" w:sz="2" w:space="0" w:color="000000"/>
              <w:right w:val="nil"/>
            </w:tcBorders>
          </w:tcPr>
          <w:p w14:paraId="1E9E4695" w14:textId="77777777" w:rsidR="00D2559A" w:rsidRDefault="00D2559A">
            <w:pPr>
              <w:spacing w:after="160" w:line="259" w:lineRule="auto"/>
              <w:ind w:left="0" w:firstLine="0"/>
              <w:jc w:val="left"/>
            </w:pPr>
          </w:p>
        </w:tc>
        <w:tc>
          <w:tcPr>
            <w:tcW w:w="997" w:type="dxa"/>
            <w:tcBorders>
              <w:top w:val="single" w:sz="2" w:space="0" w:color="000000"/>
              <w:left w:val="nil"/>
              <w:bottom w:val="single" w:sz="2" w:space="0" w:color="000000"/>
              <w:right w:val="nil"/>
            </w:tcBorders>
          </w:tcPr>
          <w:p w14:paraId="39069453" w14:textId="77777777" w:rsidR="00D2559A" w:rsidRDefault="00D2559A">
            <w:pPr>
              <w:spacing w:after="160" w:line="259" w:lineRule="auto"/>
              <w:ind w:left="0" w:firstLine="0"/>
              <w:jc w:val="left"/>
            </w:pPr>
          </w:p>
        </w:tc>
        <w:tc>
          <w:tcPr>
            <w:tcW w:w="1007" w:type="dxa"/>
            <w:tcBorders>
              <w:top w:val="single" w:sz="2" w:space="0" w:color="000000"/>
              <w:left w:val="nil"/>
              <w:bottom w:val="single" w:sz="2" w:space="0" w:color="000000"/>
              <w:right w:val="nil"/>
            </w:tcBorders>
          </w:tcPr>
          <w:p w14:paraId="4C7517F5" w14:textId="77777777" w:rsidR="00D2559A" w:rsidRDefault="00F0205F">
            <w:pPr>
              <w:spacing w:after="0" w:line="259" w:lineRule="auto"/>
              <w:ind w:left="290" w:firstLine="0"/>
              <w:jc w:val="left"/>
            </w:pPr>
            <w:r>
              <w:rPr>
                <w:sz w:val="15"/>
              </w:rPr>
              <w:t>0.04</w:t>
            </w:r>
          </w:p>
        </w:tc>
        <w:tc>
          <w:tcPr>
            <w:tcW w:w="1203" w:type="dxa"/>
            <w:tcBorders>
              <w:top w:val="single" w:sz="2" w:space="0" w:color="000000"/>
              <w:left w:val="nil"/>
              <w:bottom w:val="single" w:sz="2" w:space="0" w:color="000000"/>
              <w:right w:val="nil"/>
            </w:tcBorders>
          </w:tcPr>
          <w:p w14:paraId="4324E9BF" w14:textId="77777777" w:rsidR="00D2559A" w:rsidRDefault="00F0205F">
            <w:pPr>
              <w:spacing w:after="0" w:line="259" w:lineRule="auto"/>
              <w:ind w:left="388" w:firstLine="0"/>
              <w:jc w:val="left"/>
            </w:pPr>
            <w:r>
              <w:rPr>
                <w:sz w:val="15"/>
              </w:rPr>
              <w:t>0.18</w:t>
            </w:r>
          </w:p>
        </w:tc>
        <w:tc>
          <w:tcPr>
            <w:tcW w:w="1252" w:type="dxa"/>
            <w:tcBorders>
              <w:top w:val="single" w:sz="2" w:space="0" w:color="000000"/>
              <w:left w:val="nil"/>
              <w:bottom w:val="single" w:sz="2" w:space="0" w:color="000000"/>
              <w:right w:val="nil"/>
            </w:tcBorders>
          </w:tcPr>
          <w:p w14:paraId="7A2812C2" w14:textId="77777777" w:rsidR="00D2559A" w:rsidRDefault="00D2559A">
            <w:pPr>
              <w:spacing w:after="160" w:line="259" w:lineRule="auto"/>
              <w:ind w:left="0" w:firstLine="0"/>
              <w:jc w:val="left"/>
            </w:pPr>
          </w:p>
        </w:tc>
        <w:tc>
          <w:tcPr>
            <w:tcW w:w="1270" w:type="dxa"/>
            <w:tcBorders>
              <w:top w:val="single" w:sz="2" w:space="0" w:color="000000"/>
              <w:left w:val="nil"/>
              <w:bottom w:val="single" w:sz="2" w:space="0" w:color="000000"/>
              <w:right w:val="nil"/>
            </w:tcBorders>
          </w:tcPr>
          <w:p w14:paraId="6E649C87" w14:textId="77777777" w:rsidR="00D2559A" w:rsidRDefault="00D2559A">
            <w:pPr>
              <w:spacing w:after="160" w:line="259" w:lineRule="auto"/>
              <w:ind w:left="0" w:firstLine="0"/>
              <w:jc w:val="left"/>
            </w:pPr>
          </w:p>
        </w:tc>
        <w:tc>
          <w:tcPr>
            <w:tcW w:w="623" w:type="dxa"/>
            <w:tcBorders>
              <w:top w:val="single" w:sz="2" w:space="0" w:color="000000"/>
              <w:left w:val="nil"/>
              <w:bottom w:val="single" w:sz="2" w:space="0" w:color="000000"/>
              <w:right w:val="nil"/>
            </w:tcBorders>
          </w:tcPr>
          <w:p w14:paraId="24D5D138" w14:textId="77777777" w:rsidR="00D2559A" w:rsidRDefault="00F0205F">
            <w:pPr>
              <w:spacing w:after="0" w:line="259" w:lineRule="auto"/>
              <w:ind w:left="119" w:firstLine="0"/>
              <w:jc w:val="left"/>
            </w:pPr>
            <w:r>
              <w:rPr>
                <w:b/>
                <w:sz w:val="15"/>
              </w:rPr>
              <w:t>0.14</w:t>
            </w:r>
          </w:p>
        </w:tc>
      </w:tr>
      <w:tr w:rsidR="00D2559A" w14:paraId="7BC2B876" w14:textId="77777777">
        <w:trPr>
          <w:trHeight w:val="282"/>
        </w:trPr>
        <w:tc>
          <w:tcPr>
            <w:tcW w:w="2162" w:type="dxa"/>
            <w:tcBorders>
              <w:top w:val="single" w:sz="2" w:space="0" w:color="000000"/>
              <w:left w:val="nil"/>
              <w:bottom w:val="single" w:sz="2" w:space="0" w:color="000000"/>
              <w:right w:val="nil"/>
            </w:tcBorders>
          </w:tcPr>
          <w:p w14:paraId="4BA6E45B" w14:textId="77777777" w:rsidR="00D2559A" w:rsidRDefault="00F0205F">
            <w:pPr>
              <w:spacing w:after="0" w:line="259" w:lineRule="auto"/>
              <w:ind w:left="81" w:firstLine="0"/>
              <w:jc w:val="left"/>
            </w:pPr>
            <w:r>
              <w:rPr>
                <w:sz w:val="15"/>
              </w:rPr>
              <w:t>Nursing and Residential Care</w:t>
            </w:r>
          </w:p>
        </w:tc>
        <w:tc>
          <w:tcPr>
            <w:tcW w:w="997" w:type="dxa"/>
            <w:tcBorders>
              <w:top w:val="single" w:sz="2" w:space="0" w:color="000000"/>
              <w:left w:val="nil"/>
              <w:bottom w:val="single" w:sz="2" w:space="0" w:color="000000"/>
              <w:right w:val="nil"/>
            </w:tcBorders>
          </w:tcPr>
          <w:p w14:paraId="5C93461B" w14:textId="77777777" w:rsidR="00D2559A" w:rsidRDefault="00F0205F">
            <w:pPr>
              <w:spacing w:after="0" w:line="259" w:lineRule="auto"/>
              <w:ind w:left="0" w:firstLine="0"/>
              <w:jc w:val="left"/>
            </w:pPr>
            <w:r>
              <w:rPr>
                <w:sz w:val="15"/>
              </w:rPr>
              <w:t>Pre-COVID</w:t>
            </w:r>
          </w:p>
        </w:tc>
        <w:tc>
          <w:tcPr>
            <w:tcW w:w="1007" w:type="dxa"/>
            <w:tcBorders>
              <w:top w:val="single" w:sz="2" w:space="0" w:color="000000"/>
              <w:left w:val="nil"/>
              <w:bottom w:val="single" w:sz="2" w:space="0" w:color="000000"/>
              <w:right w:val="nil"/>
            </w:tcBorders>
          </w:tcPr>
          <w:p w14:paraId="18F56BDA" w14:textId="77777777" w:rsidR="00D2559A" w:rsidRDefault="00F0205F">
            <w:pPr>
              <w:spacing w:after="0" w:line="259" w:lineRule="auto"/>
              <w:ind w:left="228" w:firstLine="0"/>
              <w:jc w:val="left"/>
            </w:pPr>
            <w:r>
              <w:rPr>
                <w:sz w:val="15"/>
              </w:rPr>
              <w:t>2.53%</w:t>
            </w:r>
          </w:p>
        </w:tc>
        <w:tc>
          <w:tcPr>
            <w:tcW w:w="1203" w:type="dxa"/>
            <w:tcBorders>
              <w:top w:val="single" w:sz="2" w:space="0" w:color="000000"/>
              <w:left w:val="nil"/>
              <w:bottom w:val="single" w:sz="2" w:space="0" w:color="000000"/>
              <w:right w:val="nil"/>
            </w:tcBorders>
          </w:tcPr>
          <w:p w14:paraId="1A374F35" w14:textId="77777777" w:rsidR="00D2559A" w:rsidRDefault="00F0205F">
            <w:pPr>
              <w:spacing w:after="0" w:line="259" w:lineRule="auto"/>
              <w:ind w:left="326" w:firstLine="0"/>
              <w:jc w:val="left"/>
            </w:pPr>
            <w:r>
              <w:rPr>
                <w:sz w:val="15"/>
              </w:rPr>
              <w:t>2.52%</w:t>
            </w:r>
          </w:p>
        </w:tc>
        <w:tc>
          <w:tcPr>
            <w:tcW w:w="1252" w:type="dxa"/>
            <w:tcBorders>
              <w:top w:val="single" w:sz="2" w:space="0" w:color="000000"/>
              <w:left w:val="nil"/>
              <w:bottom w:val="single" w:sz="2" w:space="0" w:color="000000"/>
              <w:right w:val="nil"/>
            </w:tcBorders>
          </w:tcPr>
          <w:p w14:paraId="56E662E5" w14:textId="77777777" w:rsidR="00D2559A" w:rsidRDefault="00F0205F">
            <w:pPr>
              <w:spacing w:after="0" w:line="259" w:lineRule="auto"/>
              <w:ind w:left="351" w:firstLine="0"/>
              <w:jc w:val="left"/>
            </w:pPr>
            <w:r>
              <w:rPr>
                <w:sz w:val="15"/>
              </w:rPr>
              <w:t>5.05%</w:t>
            </w:r>
          </w:p>
        </w:tc>
        <w:tc>
          <w:tcPr>
            <w:tcW w:w="1270" w:type="dxa"/>
            <w:tcBorders>
              <w:top w:val="single" w:sz="2" w:space="0" w:color="000000"/>
              <w:left w:val="nil"/>
              <w:bottom w:val="single" w:sz="2" w:space="0" w:color="000000"/>
              <w:right w:val="nil"/>
            </w:tcBorders>
          </w:tcPr>
          <w:p w14:paraId="5F6CBF56" w14:textId="77777777" w:rsidR="00D2559A" w:rsidRDefault="00F0205F">
            <w:pPr>
              <w:spacing w:after="0" w:line="259" w:lineRule="auto"/>
              <w:ind w:left="360" w:firstLine="0"/>
              <w:jc w:val="left"/>
            </w:pPr>
            <w:r>
              <w:rPr>
                <w:sz w:val="15"/>
              </w:rPr>
              <w:t>0.01%</w:t>
            </w:r>
          </w:p>
        </w:tc>
        <w:tc>
          <w:tcPr>
            <w:tcW w:w="623" w:type="dxa"/>
            <w:tcBorders>
              <w:top w:val="single" w:sz="2" w:space="0" w:color="000000"/>
              <w:left w:val="nil"/>
              <w:bottom w:val="single" w:sz="2" w:space="0" w:color="000000"/>
              <w:right w:val="nil"/>
            </w:tcBorders>
          </w:tcPr>
          <w:p w14:paraId="69F51F68" w14:textId="77777777" w:rsidR="00D2559A" w:rsidRDefault="00D2559A">
            <w:pPr>
              <w:spacing w:after="160" w:line="259" w:lineRule="auto"/>
              <w:ind w:left="0" w:firstLine="0"/>
              <w:jc w:val="left"/>
            </w:pPr>
          </w:p>
        </w:tc>
      </w:tr>
      <w:tr w:rsidR="00D2559A" w14:paraId="192E89A3" w14:textId="77777777">
        <w:trPr>
          <w:trHeight w:val="282"/>
        </w:trPr>
        <w:tc>
          <w:tcPr>
            <w:tcW w:w="2162" w:type="dxa"/>
            <w:tcBorders>
              <w:top w:val="single" w:sz="2" w:space="0" w:color="000000"/>
              <w:left w:val="nil"/>
              <w:bottom w:val="single" w:sz="2" w:space="0" w:color="000000"/>
              <w:right w:val="nil"/>
            </w:tcBorders>
          </w:tcPr>
          <w:p w14:paraId="782B8558" w14:textId="77777777" w:rsidR="00D2559A" w:rsidRDefault="00F0205F">
            <w:pPr>
              <w:spacing w:after="0" w:line="259" w:lineRule="auto"/>
              <w:ind w:left="81" w:firstLine="0"/>
              <w:jc w:val="left"/>
            </w:pPr>
            <w:r>
              <w:rPr>
                <w:sz w:val="15"/>
              </w:rPr>
              <w:t>Nursing and Residential Care</w:t>
            </w:r>
          </w:p>
        </w:tc>
        <w:tc>
          <w:tcPr>
            <w:tcW w:w="997" w:type="dxa"/>
            <w:tcBorders>
              <w:top w:val="single" w:sz="2" w:space="0" w:color="000000"/>
              <w:left w:val="nil"/>
              <w:bottom w:val="single" w:sz="2" w:space="0" w:color="000000"/>
              <w:right w:val="nil"/>
            </w:tcBorders>
          </w:tcPr>
          <w:p w14:paraId="38A77230" w14:textId="77777777" w:rsidR="00D2559A" w:rsidRDefault="00F0205F">
            <w:pPr>
              <w:spacing w:after="0" w:line="259" w:lineRule="auto"/>
              <w:ind w:left="0" w:firstLine="0"/>
              <w:jc w:val="left"/>
            </w:pPr>
            <w:r>
              <w:rPr>
                <w:sz w:val="15"/>
              </w:rPr>
              <w:t>Post-COVID</w:t>
            </w:r>
          </w:p>
        </w:tc>
        <w:tc>
          <w:tcPr>
            <w:tcW w:w="1007" w:type="dxa"/>
            <w:tcBorders>
              <w:top w:val="single" w:sz="2" w:space="0" w:color="000000"/>
              <w:left w:val="nil"/>
              <w:bottom w:val="single" w:sz="2" w:space="0" w:color="000000"/>
              <w:right w:val="nil"/>
            </w:tcBorders>
          </w:tcPr>
          <w:p w14:paraId="0AD4609A" w14:textId="77777777" w:rsidR="00D2559A" w:rsidRDefault="00F0205F">
            <w:pPr>
              <w:spacing w:after="0" w:line="259" w:lineRule="auto"/>
              <w:ind w:left="228" w:firstLine="0"/>
              <w:jc w:val="left"/>
            </w:pPr>
            <w:r>
              <w:rPr>
                <w:sz w:val="15"/>
              </w:rPr>
              <w:t>2.84%</w:t>
            </w:r>
          </w:p>
        </w:tc>
        <w:tc>
          <w:tcPr>
            <w:tcW w:w="1203" w:type="dxa"/>
            <w:tcBorders>
              <w:top w:val="single" w:sz="2" w:space="0" w:color="000000"/>
              <w:left w:val="nil"/>
              <w:bottom w:val="single" w:sz="2" w:space="0" w:color="000000"/>
              <w:right w:val="nil"/>
            </w:tcBorders>
          </w:tcPr>
          <w:p w14:paraId="108A9A29" w14:textId="77777777" w:rsidR="00D2559A" w:rsidRDefault="00F0205F">
            <w:pPr>
              <w:spacing w:after="0" w:line="259" w:lineRule="auto"/>
              <w:ind w:left="326" w:firstLine="0"/>
              <w:jc w:val="left"/>
            </w:pPr>
            <w:r>
              <w:rPr>
                <w:sz w:val="15"/>
              </w:rPr>
              <w:t>3.68%</w:t>
            </w:r>
          </w:p>
        </w:tc>
        <w:tc>
          <w:tcPr>
            <w:tcW w:w="1252" w:type="dxa"/>
            <w:tcBorders>
              <w:top w:val="single" w:sz="2" w:space="0" w:color="000000"/>
              <w:left w:val="nil"/>
              <w:bottom w:val="single" w:sz="2" w:space="0" w:color="000000"/>
              <w:right w:val="nil"/>
            </w:tcBorders>
          </w:tcPr>
          <w:p w14:paraId="3048E2CC" w14:textId="77777777" w:rsidR="00D2559A" w:rsidRDefault="00F0205F">
            <w:pPr>
              <w:spacing w:after="0" w:line="259" w:lineRule="auto"/>
              <w:ind w:left="351" w:firstLine="0"/>
              <w:jc w:val="left"/>
            </w:pPr>
            <w:r>
              <w:rPr>
                <w:sz w:val="15"/>
              </w:rPr>
              <w:t>6.52%</w:t>
            </w:r>
          </w:p>
        </w:tc>
        <w:tc>
          <w:tcPr>
            <w:tcW w:w="1270" w:type="dxa"/>
            <w:tcBorders>
              <w:top w:val="single" w:sz="2" w:space="0" w:color="000000"/>
              <w:left w:val="nil"/>
              <w:bottom w:val="single" w:sz="2" w:space="0" w:color="000000"/>
              <w:right w:val="nil"/>
            </w:tcBorders>
          </w:tcPr>
          <w:p w14:paraId="77318605" w14:textId="77777777" w:rsidR="00D2559A" w:rsidRDefault="00F0205F">
            <w:pPr>
              <w:spacing w:after="0" w:line="259" w:lineRule="auto"/>
              <w:ind w:left="302" w:firstLine="0"/>
              <w:jc w:val="left"/>
            </w:pPr>
            <w:r>
              <w:rPr>
                <w:sz w:val="15"/>
              </w:rPr>
              <w:t>(0.83%)</w:t>
            </w:r>
          </w:p>
        </w:tc>
        <w:tc>
          <w:tcPr>
            <w:tcW w:w="623" w:type="dxa"/>
            <w:tcBorders>
              <w:top w:val="single" w:sz="2" w:space="0" w:color="000000"/>
              <w:left w:val="nil"/>
              <w:bottom w:val="single" w:sz="2" w:space="0" w:color="000000"/>
              <w:right w:val="nil"/>
            </w:tcBorders>
          </w:tcPr>
          <w:p w14:paraId="41EF6CD2" w14:textId="77777777" w:rsidR="00D2559A" w:rsidRDefault="00D2559A">
            <w:pPr>
              <w:spacing w:after="160" w:line="259" w:lineRule="auto"/>
              <w:ind w:left="0" w:firstLine="0"/>
              <w:jc w:val="left"/>
            </w:pPr>
          </w:p>
        </w:tc>
      </w:tr>
      <w:tr w:rsidR="00D2559A" w14:paraId="3EF1234F" w14:textId="77777777">
        <w:trPr>
          <w:trHeight w:val="282"/>
        </w:trPr>
        <w:tc>
          <w:tcPr>
            <w:tcW w:w="2162" w:type="dxa"/>
            <w:tcBorders>
              <w:top w:val="single" w:sz="2" w:space="0" w:color="000000"/>
              <w:left w:val="nil"/>
              <w:bottom w:val="single" w:sz="2" w:space="0" w:color="000000"/>
              <w:right w:val="nil"/>
            </w:tcBorders>
          </w:tcPr>
          <w:p w14:paraId="2962E16C" w14:textId="77777777" w:rsidR="00D2559A" w:rsidRDefault="00D2559A">
            <w:pPr>
              <w:spacing w:after="160" w:line="259" w:lineRule="auto"/>
              <w:ind w:left="0" w:firstLine="0"/>
              <w:jc w:val="left"/>
            </w:pPr>
          </w:p>
        </w:tc>
        <w:tc>
          <w:tcPr>
            <w:tcW w:w="997" w:type="dxa"/>
            <w:tcBorders>
              <w:top w:val="single" w:sz="2" w:space="0" w:color="000000"/>
              <w:left w:val="nil"/>
              <w:bottom w:val="single" w:sz="2" w:space="0" w:color="000000"/>
              <w:right w:val="nil"/>
            </w:tcBorders>
          </w:tcPr>
          <w:p w14:paraId="516EB058" w14:textId="77777777" w:rsidR="00D2559A" w:rsidRDefault="00D2559A">
            <w:pPr>
              <w:spacing w:after="160" w:line="259" w:lineRule="auto"/>
              <w:ind w:left="0" w:firstLine="0"/>
              <w:jc w:val="left"/>
            </w:pPr>
          </w:p>
        </w:tc>
        <w:tc>
          <w:tcPr>
            <w:tcW w:w="1007" w:type="dxa"/>
            <w:tcBorders>
              <w:top w:val="single" w:sz="2" w:space="0" w:color="000000"/>
              <w:left w:val="nil"/>
              <w:bottom w:val="single" w:sz="2" w:space="0" w:color="000000"/>
              <w:right w:val="nil"/>
            </w:tcBorders>
          </w:tcPr>
          <w:p w14:paraId="1E6FFE15" w14:textId="77777777" w:rsidR="00D2559A" w:rsidRDefault="00F0205F">
            <w:pPr>
              <w:spacing w:after="0" w:line="259" w:lineRule="auto"/>
              <w:ind w:left="290" w:firstLine="0"/>
              <w:jc w:val="left"/>
            </w:pPr>
            <w:r>
              <w:rPr>
                <w:sz w:val="15"/>
              </w:rPr>
              <w:t>0.31</w:t>
            </w:r>
          </w:p>
        </w:tc>
        <w:tc>
          <w:tcPr>
            <w:tcW w:w="1203" w:type="dxa"/>
            <w:tcBorders>
              <w:top w:val="single" w:sz="2" w:space="0" w:color="000000"/>
              <w:left w:val="nil"/>
              <w:bottom w:val="single" w:sz="2" w:space="0" w:color="000000"/>
              <w:right w:val="nil"/>
            </w:tcBorders>
          </w:tcPr>
          <w:p w14:paraId="49732480" w14:textId="77777777" w:rsidR="00D2559A" w:rsidRDefault="00F0205F">
            <w:pPr>
              <w:spacing w:after="0" w:line="259" w:lineRule="auto"/>
              <w:ind w:left="388" w:firstLine="0"/>
              <w:jc w:val="left"/>
            </w:pPr>
            <w:r>
              <w:rPr>
                <w:sz w:val="15"/>
              </w:rPr>
              <w:t>1.15</w:t>
            </w:r>
          </w:p>
        </w:tc>
        <w:tc>
          <w:tcPr>
            <w:tcW w:w="1252" w:type="dxa"/>
            <w:tcBorders>
              <w:top w:val="single" w:sz="2" w:space="0" w:color="000000"/>
              <w:left w:val="nil"/>
              <w:bottom w:val="single" w:sz="2" w:space="0" w:color="000000"/>
              <w:right w:val="nil"/>
            </w:tcBorders>
          </w:tcPr>
          <w:p w14:paraId="614C172B" w14:textId="77777777" w:rsidR="00D2559A" w:rsidRDefault="00D2559A">
            <w:pPr>
              <w:spacing w:after="160" w:line="259" w:lineRule="auto"/>
              <w:ind w:left="0" w:firstLine="0"/>
              <w:jc w:val="left"/>
            </w:pPr>
          </w:p>
        </w:tc>
        <w:tc>
          <w:tcPr>
            <w:tcW w:w="1270" w:type="dxa"/>
            <w:tcBorders>
              <w:top w:val="single" w:sz="2" w:space="0" w:color="000000"/>
              <w:left w:val="nil"/>
              <w:bottom w:val="single" w:sz="2" w:space="0" w:color="000000"/>
              <w:right w:val="nil"/>
            </w:tcBorders>
          </w:tcPr>
          <w:p w14:paraId="3F21B033" w14:textId="77777777" w:rsidR="00D2559A" w:rsidRDefault="00D2559A">
            <w:pPr>
              <w:spacing w:after="160" w:line="259" w:lineRule="auto"/>
              <w:ind w:left="0" w:firstLine="0"/>
              <w:jc w:val="left"/>
            </w:pPr>
          </w:p>
        </w:tc>
        <w:tc>
          <w:tcPr>
            <w:tcW w:w="623" w:type="dxa"/>
            <w:tcBorders>
              <w:top w:val="single" w:sz="2" w:space="0" w:color="000000"/>
              <w:left w:val="nil"/>
              <w:bottom w:val="single" w:sz="2" w:space="0" w:color="000000"/>
              <w:right w:val="nil"/>
            </w:tcBorders>
          </w:tcPr>
          <w:p w14:paraId="0A717DBB" w14:textId="77777777" w:rsidR="00D2559A" w:rsidRDefault="00F0205F">
            <w:pPr>
              <w:spacing w:after="0" w:line="259" w:lineRule="auto"/>
              <w:ind w:left="119" w:firstLine="0"/>
              <w:jc w:val="left"/>
            </w:pPr>
            <w:r>
              <w:rPr>
                <w:b/>
                <w:sz w:val="15"/>
              </w:rPr>
              <w:t>0.84</w:t>
            </w:r>
          </w:p>
        </w:tc>
      </w:tr>
      <w:tr w:rsidR="00D2559A" w14:paraId="4A95C608" w14:textId="77777777">
        <w:trPr>
          <w:trHeight w:val="282"/>
        </w:trPr>
        <w:tc>
          <w:tcPr>
            <w:tcW w:w="2162" w:type="dxa"/>
            <w:tcBorders>
              <w:top w:val="single" w:sz="2" w:space="0" w:color="000000"/>
              <w:left w:val="nil"/>
              <w:bottom w:val="single" w:sz="2" w:space="0" w:color="000000"/>
              <w:right w:val="nil"/>
            </w:tcBorders>
          </w:tcPr>
          <w:p w14:paraId="43E46644" w14:textId="77777777" w:rsidR="00D2559A" w:rsidRDefault="00F0205F">
            <w:pPr>
              <w:spacing w:after="0" w:line="259" w:lineRule="auto"/>
              <w:ind w:left="81" w:firstLine="0"/>
              <w:jc w:val="left"/>
            </w:pPr>
            <w:r>
              <w:rPr>
                <w:sz w:val="15"/>
              </w:rPr>
              <w:t>Social Assistance</w:t>
            </w:r>
          </w:p>
        </w:tc>
        <w:tc>
          <w:tcPr>
            <w:tcW w:w="997" w:type="dxa"/>
            <w:tcBorders>
              <w:top w:val="single" w:sz="2" w:space="0" w:color="000000"/>
              <w:left w:val="nil"/>
              <w:bottom w:val="single" w:sz="2" w:space="0" w:color="000000"/>
              <w:right w:val="nil"/>
            </w:tcBorders>
          </w:tcPr>
          <w:p w14:paraId="2C340D01" w14:textId="77777777" w:rsidR="00D2559A" w:rsidRDefault="00F0205F">
            <w:pPr>
              <w:spacing w:after="0" w:line="259" w:lineRule="auto"/>
              <w:ind w:left="0" w:firstLine="0"/>
              <w:jc w:val="left"/>
            </w:pPr>
            <w:r>
              <w:rPr>
                <w:sz w:val="15"/>
              </w:rPr>
              <w:t>Pre-COVID</w:t>
            </w:r>
          </w:p>
        </w:tc>
        <w:tc>
          <w:tcPr>
            <w:tcW w:w="1007" w:type="dxa"/>
            <w:tcBorders>
              <w:top w:val="single" w:sz="2" w:space="0" w:color="000000"/>
              <w:left w:val="nil"/>
              <w:bottom w:val="single" w:sz="2" w:space="0" w:color="000000"/>
              <w:right w:val="nil"/>
            </w:tcBorders>
          </w:tcPr>
          <w:p w14:paraId="63E3B215" w14:textId="77777777" w:rsidR="00D2559A" w:rsidRDefault="00F0205F">
            <w:pPr>
              <w:spacing w:after="0" w:line="259" w:lineRule="auto"/>
              <w:ind w:left="228" w:firstLine="0"/>
              <w:jc w:val="left"/>
            </w:pPr>
            <w:r>
              <w:rPr>
                <w:sz w:val="15"/>
              </w:rPr>
              <w:t>3.45%</w:t>
            </w:r>
          </w:p>
        </w:tc>
        <w:tc>
          <w:tcPr>
            <w:tcW w:w="1203" w:type="dxa"/>
            <w:tcBorders>
              <w:top w:val="single" w:sz="2" w:space="0" w:color="000000"/>
              <w:left w:val="nil"/>
              <w:bottom w:val="single" w:sz="2" w:space="0" w:color="000000"/>
              <w:right w:val="nil"/>
            </w:tcBorders>
          </w:tcPr>
          <w:p w14:paraId="3133BDDA" w14:textId="77777777" w:rsidR="00D2559A" w:rsidRDefault="00F0205F">
            <w:pPr>
              <w:spacing w:after="0" w:line="259" w:lineRule="auto"/>
              <w:ind w:left="327" w:firstLine="0"/>
              <w:jc w:val="left"/>
            </w:pPr>
            <w:r>
              <w:rPr>
                <w:sz w:val="15"/>
              </w:rPr>
              <w:t>3.17%</w:t>
            </w:r>
          </w:p>
        </w:tc>
        <w:tc>
          <w:tcPr>
            <w:tcW w:w="1252" w:type="dxa"/>
            <w:tcBorders>
              <w:top w:val="single" w:sz="2" w:space="0" w:color="000000"/>
              <w:left w:val="nil"/>
              <w:bottom w:val="single" w:sz="2" w:space="0" w:color="000000"/>
              <w:right w:val="nil"/>
            </w:tcBorders>
          </w:tcPr>
          <w:p w14:paraId="29070F17" w14:textId="77777777" w:rsidR="00D2559A" w:rsidRDefault="00F0205F">
            <w:pPr>
              <w:spacing w:after="0" w:line="259" w:lineRule="auto"/>
              <w:ind w:left="351" w:firstLine="0"/>
              <w:jc w:val="left"/>
            </w:pPr>
            <w:r>
              <w:rPr>
                <w:sz w:val="15"/>
              </w:rPr>
              <w:t>6.62%</w:t>
            </w:r>
          </w:p>
        </w:tc>
        <w:tc>
          <w:tcPr>
            <w:tcW w:w="1270" w:type="dxa"/>
            <w:tcBorders>
              <w:top w:val="single" w:sz="2" w:space="0" w:color="000000"/>
              <w:left w:val="nil"/>
              <w:bottom w:val="single" w:sz="2" w:space="0" w:color="000000"/>
              <w:right w:val="nil"/>
            </w:tcBorders>
          </w:tcPr>
          <w:p w14:paraId="0EDAB65B" w14:textId="77777777" w:rsidR="00D2559A" w:rsidRDefault="00F0205F">
            <w:pPr>
              <w:spacing w:after="0" w:line="259" w:lineRule="auto"/>
              <w:ind w:left="360" w:firstLine="0"/>
              <w:jc w:val="left"/>
            </w:pPr>
            <w:r>
              <w:rPr>
                <w:sz w:val="15"/>
              </w:rPr>
              <w:t>0.28%</w:t>
            </w:r>
          </w:p>
        </w:tc>
        <w:tc>
          <w:tcPr>
            <w:tcW w:w="623" w:type="dxa"/>
            <w:tcBorders>
              <w:top w:val="single" w:sz="2" w:space="0" w:color="000000"/>
              <w:left w:val="nil"/>
              <w:bottom w:val="single" w:sz="2" w:space="0" w:color="000000"/>
              <w:right w:val="nil"/>
            </w:tcBorders>
          </w:tcPr>
          <w:p w14:paraId="77928218" w14:textId="77777777" w:rsidR="00D2559A" w:rsidRDefault="00D2559A">
            <w:pPr>
              <w:spacing w:after="160" w:line="259" w:lineRule="auto"/>
              <w:ind w:left="0" w:firstLine="0"/>
              <w:jc w:val="left"/>
            </w:pPr>
          </w:p>
        </w:tc>
      </w:tr>
      <w:tr w:rsidR="00D2559A" w14:paraId="2C57B894" w14:textId="77777777">
        <w:trPr>
          <w:trHeight w:val="282"/>
        </w:trPr>
        <w:tc>
          <w:tcPr>
            <w:tcW w:w="2162" w:type="dxa"/>
            <w:tcBorders>
              <w:top w:val="single" w:sz="2" w:space="0" w:color="000000"/>
              <w:left w:val="nil"/>
              <w:bottom w:val="single" w:sz="2" w:space="0" w:color="000000"/>
              <w:right w:val="nil"/>
            </w:tcBorders>
          </w:tcPr>
          <w:p w14:paraId="6EDB0FB9" w14:textId="77777777" w:rsidR="00D2559A" w:rsidRDefault="00F0205F">
            <w:pPr>
              <w:spacing w:after="0" w:line="259" w:lineRule="auto"/>
              <w:ind w:left="81" w:firstLine="0"/>
              <w:jc w:val="left"/>
            </w:pPr>
            <w:r>
              <w:rPr>
                <w:sz w:val="15"/>
              </w:rPr>
              <w:t>Social Assistance</w:t>
            </w:r>
          </w:p>
        </w:tc>
        <w:tc>
          <w:tcPr>
            <w:tcW w:w="997" w:type="dxa"/>
            <w:tcBorders>
              <w:top w:val="single" w:sz="2" w:space="0" w:color="000000"/>
              <w:left w:val="nil"/>
              <w:bottom w:val="single" w:sz="2" w:space="0" w:color="000000"/>
              <w:right w:val="nil"/>
            </w:tcBorders>
          </w:tcPr>
          <w:p w14:paraId="64F71ED8" w14:textId="77777777" w:rsidR="00D2559A" w:rsidRDefault="00F0205F">
            <w:pPr>
              <w:spacing w:after="0" w:line="259" w:lineRule="auto"/>
              <w:ind w:left="0" w:firstLine="0"/>
              <w:jc w:val="left"/>
            </w:pPr>
            <w:r>
              <w:rPr>
                <w:sz w:val="15"/>
              </w:rPr>
              <w:t>Post-COVID</w:t>
            </w:r>
          </w:p>
        </w:tc>
        <w:tc>
          <w:tcPr>
            <w:tcW w:w="1007" w:type="dxa"/>
            <w:tcBorders>
              <w:top w:val="single" w:sz="2" w:space="0" w:color="000000"/>
              <w:left w:val="nil"/>
              <w:bottom w:val="single" w:sz="2" w:space="0" w:color="000000"/>
              <w:right w:val="nil"/>
            </w:tcBorders>
          </w:tcPr>
          <w:p w14:paraId="7767415F" w14:textId="77777777" w:rsidR="00D2559A" w:rsidRDefault="00F0205F">
            <w:pPr>
              <w:spacing w:after="0" w:line="259" w:lineRule="auto"/>
              <w:ind w:left="228" w:firstLine="0"/>
              <w:jc w:val="left"/>
            </w:pPr>
            <w:r>
              <w:rPr>
                <w:sz w:val="15"/>
              </w:rPr>
              <w:t>4.19%</w:t>
            </w:r>
          </w:p>
        </w:tc>
        <w:tc>
          <w:tcPr>
            <w:tcW w:w="1203" w:type="dxa"/>
            <w:tcBorders>
              <w:top w:val="single" w:sz="2" w:space="0" w:color="000000"/>
              <w:left w:val="nil"/>
              <w:bottom w:val="single" w:sz="2" w:space="0" w:color="000000"/>
              <w:right w:val="nil"/>
            </w:tcBorders>
          </w:tcPr>
          <w:p w14:paraId="4F43D1D9" w14:textId="77777777" w:rsidR="00D2559A" w:rsidRDefault="00F0205F">
            <w:pPr>
              <w:spacing w:after="0" w:line="259" w:lineRule="auto"/>
              <w:ind w:left="327" w:firstLine="0"/>
              <w:jc w:val="left"/>
            </w:pPr>
            <w:r>
              <w:rPr>
                <w:sz w:val="15"/>
              </w:rPr>
              <w:t>4.84%</w:t>
            </w:r>
          </w:p>
        </w:tc>
        <w:tc>
          <w:tcPr>
            <w:tcW w:w="1252" w:type="dxa"/>
            <w:tcBorders>
              <w:top w:val="single" w:sz="2" w:space="0" w:color="000000"/>
              <w:left w:val="nil"/>
              <w:bottom w:val="single" w:sz="2" w:space="0" w:color="000000"/>
              <w:right w:val="nil"/>
            </w:tcBorders>
          </w:tcPr>
          <w:p w14:paraId="77D640E1" w14:textId="77777777" w:rsidR="00D2559A" w:rsidRDefault="00F0205F">
            <w:pPr>
              <w:spacing w:after="0" w:line="259" w:lineRule="auto"/>
              <w:ind w:left="351" w:firstLine="0"/>
              <w:jc w:val="left"/>
            </w:pPr>
            <w:r>
              <w:rPr>
                <w:sz w:val="15"/>
              </w:rPr>
              <w:t>9.03%</w:t>
            </w:r>
          </w:p>
        </w:tc>
        <w:tc>
          <w:tcPr>
            <w:tcW w:w="1270" w:type="dxa"/>
            <w:tcBorders>
              <w:top w:val="single" w:sz="2" w:space="0" w:color="000000"/>
              <w:left w:val="nil"/>
              <w:bottom w:val="single" w:sz="2" w:space="0" w:color="000000"/>
              <w:right w:val="nil"/>
            </w:tcBorders>
          </w:tcPr>
          <w:p w14:paraId="7183E9C7" w14:textId="77777777" w:rsidR="00D2559A" w:rsidRDefault="00F0205F">
            <w:pPr>
              <w:spacing w:after="0" w:line="259" w:lineRule="auto"/>
              <w:ind w:left="302" w:firstLine="0"/>
              <w:jc w:val="left"/>
            </w:pPr>
            <w:r>
              <w:rPr>
                <w:sz w:val="15"/>
              </w:rPr>
              <w:t>(0.64%)</w:t>
            </w:r>
          </w:p>
        </w:tc>
        <w:tc>
          <w:tcPr>
            <w:tcW w:w="623" w:type="dxa"/>
            <w:tcBorders>
              <w:top w:val="single" w:sz="2" w:space="0" w:color="000000"/>
              <w:left w:val="nil"/>
              <w:bottom w:val="single" w:sz="2" w:space="0" w:color="000000"/>
              <w:right w:val="nil"/>
            </w:tcBorders>
          </w:tcPr>
          <w:p w14:paraId="6CAC62D0" w14:textId="77777777" w:rsidR="00D2559A" w:rsidRDefault="00D2559A">
            <w:pPr>
              <w:spacing w:after="160" w:line="259" w:lineRule="auto"/>
              <w:ind w:left="0" w:firstLine="0"/>
              <w:jc w:val="left"/>
            </w:pPr>
          </w:p>
        </w:tc>
      </w:tr>
      <w:tr w:rsidR="00D2559A" w14:paraId="68713531" w14:textId="77777777">
        <w:trPr>
          <w:trHeight w:val="282"/>
        </w:trPr>
        <w:tc>
          <w:tcPr>
            <w:tcW w:w="2162" w:type="dxa"/>
            <w:tcBorders>
              <w:top w:val="single" w:sz="2" w:space="0" w:color="000000"/>
              <w:left w:val="nil"/>
              <w:bottom w:val="single" w:sz="2" w:space="0" w:color="000000"/>
              <w:right w:val="nil"/>
            </w:tcBorders>
          </w:tcPr>
          <w:p w14:paraId="3C50D8B6" w14:textId="77777777" w:rsidR="00D2559A" w:rsidRDefault="00D2559A">
            <w:pPr>
              <w:spacing w:after="160" w:line="259" w:lineRule="auto"/>
              <w:ind w:left="0" w:firstLine="0"/>
              <w:jc w:val="left"/>
            </w:pPr>
          </w:p>
        </w:tc>
        <w:tc>
          <w:tcPr>
            <w:tcW w:w="997" w:type="dxa"/>
            <w:tcBorders>
              <w:top w:val="single" w:sz="2" w:space="0" w:color="000000"/>
              <w:left w:val="nil"/>
              <w:bottom w:val="single" w:sz="2" w:space="0" w:color="000000"/>
              <w:right w:val="nil"/>
            </w:tcBorders>
          </w:tcPr>
          <w:p w14:paraId="04969AE2" w14:textId="77777777" w:rsidR="00D2559A" w:rsidRDefault="00D2559A">
            <w:pPr>
              <w:spacing w:after="160" w:line="259" w:lineRule="auto"/>
              <w:ind w:left="0" w:firstLine="0"/>
              <w:jc w:val="left"/>
            </w:pPr>
          </w:p>
        </w:tc>
        <w:tc>
          <w:tcPr>
            <w:tcW w:w="1007" w:type="dxa"/>
            <w:tcBorders>
              <w:top w:val="single" w:sz="2" w:space="0" w:color="000000"/>
              <w:left w:val="nil"/>
              <w:bottom w:val="single" w:sz="2" w:space="0" w:color="000000"/>
              <w:right w:val="nil"/>
            </w:tcBorders>
          </w:tcPr>
          <w:p w14:paraId="20C07EA2" w14:textId="77777777" w:rsidR="00D2559A" w:rsidRDefault="00F0205F">
            <w:pPr>
              <w:spacing w:after="0" w:line="259" w:lineRule="auto"/>
              <w:ind w:left="290" w:firstLine="0"/>
              <w:jc w:val="left"/>
            </w:pPr>
            <w:r>
              <w:rPr>
                <w:sz w:val="15"/>
              </w:rPr>
              <w:t>0.74</w:t>
            </w:r>
          </w:p>
        </w:tc>
        <w:tc>
          <w:tcPr>
            <w:tcW w:w="1203" w:type="dxa"/>
            <w:tcBorders>
              <w:top w:val="single" w:sz="2" w:space="0" w:color="000000"/>
              <w:left w:val="nil"/>
              <w:bottom w:val="single" w:sz="2" w:space="0" w:color="000000"/>
              <w:right w:val="nil"/>
            </w:tcBorders>
          </w:tcPr>
          <w:p w14:paraId="13C6DEFA" w14:textId="77777777" w:rsidR="00D2559A" w:rsidRDefault="00F0205F">
            <w:pPr>
              <w:spacing w:after="0" w:line="259" w:lineRule="auto"/>
              <w:ind w:left="388" w:firstLine="0"/>
              <w:jc w:val="left"/>
            </w:pPr>
            <w:r>
              <w:rPr>
                <w:sz w:val="15"/>
              </w:rPr>
              <w:t>1.67</w:t>
            </w:r>
          </w:p>
        </w:tc>
        <w:tc>
          <w:tcPr>
            <w:tcW w:w="1252" w:type="dxa"/>
            <w:tcBorders>
              <w:top w:val="single" w:sz="2" w:space="0" w:color="000000"/>
              <w:left w:val="nil"/>
              <w:bottom w:val="single" w:sz="2" w:space="0" w:color="000000"/>
              <w:right w:val="nil"/>
            </w:tcBorders>
          </w:tcPr>
          <w:p w14:paraId="4F64D34B" w14:textId="77777777" w:rsidR="00D2559A" w:rsidRDefault="00D2559A">
            <w:pPr>
              <w:spacing w:after="160" w:line="259" w:lineRule="auto"/>
              <w:ind w:left="0" w:firstLine="0"/>
              <w:jc w:val="left"/>
            </w:pPr>
          </w:p>
        </w:tc>
        <w:tc>
          <w:tcPr>
            <w:tcW w:w="1270" w:type="dxa"/>
            <w:tcBorders>
              <w:top w:val="single" w:sz="2" w:space="0" w:color="000000"/>
              <w:left w:val="nil"/>
              <w:bottom w:val="single" w:sz="2" w:space="0" w:color="000000"/>
              <w:right w:val="nil"/>
            </w:tcBorders>
          </w:tcPr>
          <w:p w14:paraId="6A0AC01B" w14:textId="77777777" w:rsidR="00D2559A" w:rsidRDefault="00D2559A">
            <w:pPr>
              <w:spacing w:after="160" w:line="259" w:lineRule="auto"/>
              <w:ind w:left="0" w:firstLine="0"/>
              <w:jc w:val="left"/>
            </w:pPr>
          </w:p>
        </w:tc>
        <w:tc>
          <w:tcPr>
            <w:tcW w:w="623" w:type="dxa"/>
            <w:tcBorders>
              <w:top w:val="single" w:sz="2" w:space="0" w:color="000000"/>
              <w:left w:val="nil"/>
              <w:bottom w:val="single" w:sz="2" w:space="0" w:color="000000"/>
              <w:right w:val="nil"/>
            </w:tcBorders>
          </w:tcPr>
          <w:p w14:paraId="3978C02C" w14:textId="77777777" w:rsidR="00D2559A" w:rsidRDefault="00F0205F">
            <w:pPr>
              <w:spacing w:after="0" w:line="259" w:lineRule="auto"/>
              <w:ind w:left="119" w:firstLine="0"/>
              <w:jc w:val="left"/>
            </w:pPr>
            <w:r>
              <w:rPr>
                <w:b/>
                <w:sz w:val="15"/>
              </w:rPr>
              <w:t>0.93</w:t>
            </w:r>
          </w:p>
        </w:tc>
      </w:tr>
      <w:tr w:rsidR="00D2559A" w14:paraId="46F48707" w14:textId="77777777">
        <w:trPr>
          <w:trHeight w:val="282"/>
        </w:trPr>
        <w:tc>
          <w:tcPr>
            <w:tcW w:w="2162" w:type="dxa"/>
            <w:tcBorders>
              <w:top w:val="single" w:sz="2" w:space="0" w:color="000000"/>
              <w:left w:val="nil"/>
              <w:bottom w:val="single" w:sz="2" w:space="0" w:color="000000"/>
              <w:right w:val="nil"/>
            </w:tcBorders>
          </w:tcPr>
          <w:p w14:paraId="5A129781" w14:textId="77777777" w:rsidR="00D2559A" w:rsidRDefault="00F0205F">
            <w:pPr>
              <w:spacing w:after="0" w:line="259" w:lineRule="auto"/>
              <w:ind w:left="81" w:firstLine="0"/>
              <w:jc w:val="left"/>
            </w:pPr>
            <w:r>
              <w:rPr>
                <w:sz w:val="15"/>
              </w:rPr>
              <w:t>Healthcare Sector</w:t>
            </w:r>
          </w:p>
        </w:tc>
        <w:tc>
          <w:tcPr>
            <w:tcW w:w="997" w:type="dxa"/>
            <w:tcBorders>
              <w:top w:val="single" w:sz="2" w:space="0" w:color="000000"/>
              <w:left w:val="nil"/>
              <w:bottom w:val="single" w:sz="2" w:space="0" w:color="000000"/>
              <w:right w:val="nil"/>
            </w:tcBorders>
          </w:tcPr>
          <w:p w14:paraId="164B0FA0" w14:textId="77777777" w:rsidR="00D2559A" w:rsidRDefault="00F0205F">
            <w:pPr>
              <w:spacing w:after="0" w:line="259" w:lineRule="auto"/>
              <w:ind w:left="0" w:firstLine="0"/>
              <w:jc w:val="left"/>
            </w:pPr>
            <w:r>
              <w:rPr>
                <w:sz w:val="15"/>
              </w:rPr>
              <w:t>Pre-COVID</w:t>
            </w:r>
          </w:p>
        </w:tc>
        <w:tc>
          <w:tcPr>
            <w:tcW w:w="1007" w:type="dxa"/>
            <w:tcBorders>
              <w:top w:val="single" w:sz="2" w:space="0" w:color="000000"/>
              <w:left w:val="nil"/>
              <w:bottom w:val="single" w:sz="2" w:space="0" w:color="000000"/>
              <w:right w:val="nil"/>
            </w:tcBorders>
          </w:tcPr>
          <w:p w14:paraId="58A325D8" w14:textId="77777777" w:rsidR="00D2559A" w:rsidRDefault="00F0205F">
            <w:pPr>
              <w:spacing w:after="0" w:line="259" w:lineRule="auto"/>
              <w:ind w:left="228" w:firstLine="0"/>
              <w:jc w:val="left"/>
            </w:pPr>
            <w:r>
              <w:rPr>
                <w:sz w:val="15"/>
              </w:rPr>
              <w:t>2.39%</w:t>
            </w:r>
          </w:p>
        </w:tc>
        <w:tc>
          <w:tcPr>
            <w:tcW w:w="1203" w:type="dxa"/>
            <w:tcBorders>
              <w:top w:val="single" w:sz="2" w:space="0" w:color="000000"/>
              <w:left w:val="nil"/>
              <w:bottom w:val="single" w:sz="2" w:space="0" w:color="000000"/>
              <w:right w:val="nil"/>
            </w:tcBorders>
          </w:tcPr>
          <w:p w14:paraId="05EFBC91" w14:textId="77777777" w:rsidR="00D2559A" w:rsidRDefault="00F0205F">
            <w:pPr>
              <w:spacing w:after="0" w:line="259" w:lineRule="auto"/>
              <w:ind w:left="326" w:firstLine="0"/>
              <w:jc w:val="left"/>
            </w:pPr>
            <w:r>
              <w:rPr>
                <w:sz w:val="15"/>
              </w:rPr>
              <w:t>2.27%</w:t>
            </w:r>
          </w:p>
        </w:tc>
        <w:tc>
          <w:tcPr>
            <w:tcW w:w="1252" w:type="dxa"/>
            <w:tcBorders>
              <w:top w:val="single" w:sz="2" w:space="0" w:color="000000"/>
              <w:left w:val="nil"/>
              <w:bottom w:val="single" w:sz="2" w:space="0" w:color="000000"/>
              <w:right w:val="nil"/>
            </w:tcBorders>
          </w:tcPr>
          <w:p w14:paraId="5921CC22" w14:textId="77777777" w:rsidR="00D2559A" w:rsidRDefault="00F0205F">
            <w:pPr>
              <w:spacing w:after="0" w:line="259" w:lineRule="auto"/>
              <w:ind w:left="351" w:firstLine="0"/>
              <w:jc w:val="left"/>
            </w:pPr>
            <w:r>
              <w:rPr>
                <w:sz w:val="15"/>
              </w:rPr>
              <w:t>4.66%</w:t>
            </w:r>
          </w:p>
        </w:tc>
        <w:tc>
          <w:tcPr>
            <w:tcW w:w="1270" w:type="dxa"/>
            <w:tcBorders>
              <w:top w:val="single" w:sz="2" w:space="0" w:color="000000"/>
              <w:left w:val="nil"/>
              <w:bottom w:val="single" w:sz="2" w:space="0" w:color="000000"/>
              <w:right w:val="nil"/>
            </w:tcBorders>
          </w:tcPr>
          <w:p w14:paraId="00A11CCE" w14:textId="77777777" w:rsidR="00D2559A" w:rsidRDefault="00F0205F">
            <w:pPr>
              <w:spacing w:after="0" w:line="259" w:lineRule="auto"/>
              <w:ind w:left="360" w:firstLine="0"/>
              <w:jc w:val="left"/>
            </w:pPr>
            <w:r>
              <w:rPr>
                <w:sz w:val="15"/>
              </w:rPr>
              <w:t>0.12%</w:t>
            </w:r>
          </w:p>
        </w:tc>
        <w:tc>
          <w:tcPr>
            <w:tcW w:w="623" w:type="dxa"/>
            <w:tcBorders>
              <w:top w:val="single" w:sz="2" w:space="0" w:color="000000"/>
              <w:left w:val="nil"/>
              <w:bottom w:val="single" w:sz="2" w:space="0" w:color="000000"/>
              <w:right w:val="nil"/>
            </w:tcBorders>
          </w:tcPr>
          <w:p w14:paraId="3FDAC641" w14:textId="77777777" w:rsidR="00D2559A" w:rsidRDefault="00D2559A">
            <w:pPr>
              <w:spacing w:after="160" w:line="259" w:lineRule="auto"/>
              <w:ind w:left="0" w:firstLine="0"/>
              <w:jc w:val="left"/>
            </w:pPr>
          </w:p>
        </w:tc>
      </w:tr>
      <w:tr w:rsidR="00D2559A" w14:paraId="38FF741B" w14:textId="77777777">
        <w:trPr>
          <w:trHeight w:val="282"/>
        </w:trPr>
        <w:tc>
          <w:tcPr>
            <w:tcW w:w="2162" w:type="dxa"/>
            <w:tcBorders>
              <w:top w:val="single" w:sz="2" w:space="0" w:color="000000"/>
              <w:left w:val="nil"/>
              <w:bottom w:val="single" w:sz="2" w:space="0" w:color="000000"/>
              <w:right w:val="nil"/>
            </w:tcBorders>
          </w:tcPr>
          <w:p w14:paraId="2DECED90" w14:textId="77777777" w:rsidR="00D2559A" w:rsidRDefault="00F0205F">
            <w:pPr>
              <w:spacing w:after="0" w:line="259" w:lineRule="auto"/>
              <w:ind w:left="81" w:firstLine="0"/>
              <w:jc w:val="left"/>
            </w:pPr>
            <w:r>
              <w:rPr>
                <w:sz w:val="15"/>
              </w:rPr>
              <w:t>Healthcare Sector</w:t>
            </w:r>
          </w:p>
        </w:tc>
        <w:tc>
          <w:tcPr>
            <w:tcW w:w="997" w:type="dxa"/>
            <w:tcBorders>
              <w:top w:val="single" w:sz="2" w:space="0" w:color="000000"/>
              <w:left w:val="nil"/>
              <w:bottom w:val="single" w:sz="2" w:space="0" w:color="000000"/>
              <w:right w:val="nil"/>
            </w:tcBorders>
          </w:tcPr>
          <w:p w14:paraId="756274DE" w14:textId="77777777" w:rsidR="00D2559A" w:rsidRDefault="00F0205F">
            <w:pPr>
              <w:spacing w:after="0" w:line="259" w:lineRule="auto"/>
              <w:ind w:left="0" w:firstLine="0"/>
              <w:jc w:val="left"/>
            </w:pPr>
            <w:r>
              <w:rPr>
                <w:sz w:val="15"/>
              </w:rPr>
              <w:t>Post-COVID</w:t>
            </w:r>
          </w:p>
        </w:tc>
        <w:tc>
          <w:tcPr>
            <w:tcW w:w="1007" w:type="dxa"/>
            <w:tcBorders>
              <w:top w:val="single" w:sz="2" w:space="0" w:color="000000"/>
              <w:left w:val="nil"/>
              <w:bottom w:val="single" w:sz="2" w:space="0" w:color="000000"/>
              <w:right w:val="nil"/>
            </w:tcBorders>
          </w:tcPr>
          <w:p w14:paraId="5D2A5465" w14:textId="77777777" w:rsidR="00D2559A" w:rsidRDefault="00F0205F">
            <w:pPr>
              <w:spacing w:after="0" w:line="259" w:lineRule="auto"/>
              <w:ind w:left="228" w:firstLine="0"/>
              <w:jc w:val="left"/>
            </w:pPr>
            <w:r>
              <w:rPr>
                <w:sz w:val="15"/>
              </w:rPr>
              <w:t>2.77%</w:t>
            </w:r>
          </w:p>
        </w:tc>
        <w:tc>
          <w:tcPr>
            <w:tcW w:w="1203" w:type="dxa"/>
            <w:tcBorders>
              <w:top w:val="single" w:sz="2" w:space="0" w:color="000000"/>
              <w:left w:val="nil"/>
              <w:bottom w:val="single" w:sz="2" w:space="0" w:color="000000"/>
              <w:right w:val="nil"/>
            </w:tcBorders>
          </w:tcPr>
          <w:p w14:paraId="3BF48853" w14:textId="77777777" w:rsidR="00D2559A" w:rsidRDefault="00F0205F">
            <w:pPr>
              <w:spacing w:after="0" w:line="259" w:lineRule="auto"/>
              <w:ind w:left="326" w:firstLine="0"/>
              <w:jc w:val="left"/>
            </w:pPr>
            <w:r>
              <w:rPr>
                <w:sz w:val="15"/>
              </w:rPr>
              <w:t>3.10%</w:t>
            </w:r>
          </w:p>
        </w:tc>
        <w:tc>
          <w:tcPr>
            <w:tcW w:w="1252" w:type="dxa"/>
            <w:tcBorders>
              <w:top w:val="single" w:sz="2" w:space="0" w:color="000000"/>
              <w:left w:val="nil"/>
              <w:bottom w:val="single" w:sz="2" w:space="0" w:color="000000"/>
              <w:right w:val="nil"/>
            </w:tcBorders>
          </w:tcPr>
          <w:p w14:paraId="2F1EA5A1" w14:textId="77777777" w:rsidR="00D2559A" w:rsidRDefault="00F0205F">
            <w:pPr>
              <w:spacing w:after="0" w:line="259" w:lineRule="auto"/>
              <w:ind w:left="351" w:firstLine="0"/>
              <w:jc w:val="left"/>
            </w:pPr>
            <w:r>
              <w:rPr>
                <w:sz w:val="15"/>
              </w:rPr>
              <w:t>5.87%</w:t>
            </w:r>
          </w:p>
        </w:tc>
        <w:tc>
          <w:tcPr>
            <w:tcW w:w="1270" w:type="dxa"/>
            <w:tcBorders>
              <w:top w:val="single" w:sz="2" w:space="0" w:color="000000"/>
              <w:left w:val="nil"/>
              <w:bottom w:val="single" w:sz="2" w:space="0" w:color="000000"/>
              <w:right w:val="nil"/>
            </w:tcBorders>
          </w:tcPr>
          <w:p w14:paraId="45C4E449" w14:textId="77777777" w:rsidR="00D2559A" w:rsidRDefault="00F0205F">
            <w:pPr>
              <w:spacing w:after="0" w:line="259" w:lineRule="auto"/>
              <w:ind w:left="302" w:firstLine="0"/>
              <w:jc w:val="left"/>
            </w:pPr>
            <w:r>
              <w:rPr>
                <w:sz w:val="15"/>
              </w:rPr>
              <w:t>(0.33%)</w:t>
            </w:r>
          </w:p>
        </w:tc>
        <w:tc>
          <w:tcPr>
            <w:tcW w:w="623" w:type="dxa"/>
            <w:tcBorders>
              <w:top w:val="single" w:sz="2" w:space="0" w:color="000000"/>
              <w:left w:val="nil"/>
              <w:bottom w:val="single" w:sz="2" w:space="0" w:color="000000"/>
              <w:right w:val="nil"/>
            </w:tcBorders>
          </w:tcPr>
          <w:p w14:paraId="2D769358" w14:textId="77777777" w:rsidR="00D2559A" w:rsidRDefault="00D2559A">
            <w:pPr>
              <w:spacing w:after="160" w:line="259" w:lineRule="auto"/>
              <w:ind w:left="0" w:firstLine="0"/>
              <w:jc w:val="left"/>
            </w:pPr>
          </w:p>
        </w:tc>
      </w:tr>
      <w:tr w:rsidR="00D2559A" w14:paraId="235AB1A5" w14:textId="77777777">
        <w:trPr>
          <w:trHeight w:val="282"/>
        </w:trPr>
        <w:tc>
          <w:tcPr>
            <w:tcW w:w="2162" w:type="dxa"/>
            <w:tcBorders>
              <w:top w:val="single" w:sz="2" w:space="0" w:color="000000"/>
              <w:left w:val="nil"/>
              <w:bottom w:val="single" w:sz="2" w:space="0" w:color="000000"/>
              <w:right w:val="nil"/>
            </w:tcBorders>
          </w:tcPr>
          <w:p w14:paraId="3B16012E" w14:textId="77777777" w:rsidR="00D2559A" w:rsidRDefault="00D2559A">
            <w:pPr>
              <w:spacing w:after="160" w:line="259" w:lineRule="auto"/>
              <w:ind w:left="0" w:firstLine="0"/>
              <w:jc w:val="left"/>
            </w:pPr>
          </w:p>
        </w:tc>
        <w:tc>
          <w:tcPr>
            <w:tcW w:w="997" w:type="dxa"/>
            <w:tcBorders>
              <w:top w:val="single" w:sz="2" w:space="0" w:color="000000"/>
              <w:left w:val="nil"/>
              <w:bottom w:val="single" w:sz="2" w:space="0" w:color="000000"/>
              <w:right w:val="nil"/>
            </w:tcBorders>
          </w:tcPr>
          <w:p w14:paraId="56382597" w14:textId="77777777" w:rsidR="00D2559A" w:rsidRDefault="00D2559A">
            <w:pPr>
              <w:spacing w:after="160" w:line="259" w:lineRule="auto"/>
              <w:ind w:left="0" w:firstLine="0"/>
              <w:jc w:val="left"/>
            </w:pPr>
          </w:p>
        </w:tc>
        <w:tc>
          <w:tcPr>
            <w:tcW w:w="1007" w:type="dxa"/>
            <w:tcBorders>
              <w:top w:val="single" w:sz="2" w:space="0" w:color="000000"/>
              <w:left w:val="nil"/>
              <w:bottom w:val="single" w:sz="2" w:space="0" w:color="000000"/>
              <w:right w:val="nil"/>
            </w:tcBorders>
          </w:tcPr>
          <w:p w14:paraId="4306F091" w14:textId="77777777" w:rsidR="00D2559A" w:rsidRDefault="00F0205F">
            <w:pPr>
              <w:spacing w:after="0" w:line="259" w:lineRule="auto"/>
              <w:ind w:left="290" w:firstLine="0"/>
              <w:jc w:val="left"/>
            </w:pPr>
            <w:r>
              <w:rPr>
                <w:sz w:val="15"/>
              </w:rPr>
              <w:t>0.39</w:t>
            </w:r>
          </w:p>
        </w:tc>
        <w:tc>
          <w:tcPr>
            <w:tcW w:w="1203" w:type="dxa"/>
            <w:tcBorders>
              <w:top w:val="single" w:sz="2" w:space="0" w:color="000000"/>
              <w:left w:val="nil"/>
              <w:bottom w:val="single" w:sz="2" w:space="0" w:color="000000"/>
              <w:right w:val="nil"/>
            </w:tcBorders>
          </w:tcPr>
          <w:p w14:paraId="7C47B4ED" w14:textId="77777777" w:rsidR="00D2559A" w:rsidRDefault="00F0205F">
            <w:pPr>
              <w:spacing w:after="0" w:line="259" w:lineRule="auto"/>
              <w:ind w:left="388" w:firstLine="0"/>
              <w:jc w:val="left"/>
            </w:pPr>
            <w:r>
              <w:rPr>
                <w:sz w:val="15"/>
              </w:rPr>
              <w:t>0.83</w:t>
            </w:r>
          </w:p>
        </w:tc>
        <w:tc>
          <w:tcPr>
            <w:tcW w:w="1252" w:type="dxa"/>
            <w:tcBorders>
              <w:top w:val="single" w:sz="2" w:space="0" w:color="000000"/>
              <w:left w:val="nil"/>
              <w:bottom w:val="single" w:sz="2" w:space="0" w:color="000000"/>
              <w:right w:val="nil"/>
            </w:tcBorders>
          </w:tcPr>
          <w:p w14:paraId="65F4E886" w14:textId="77777777" w:rsidR="00D2559A" w:rsidRDefault="00D2559A">
            <w:pPr>
              <w:spacing w:after="160" w:line="259" w:lineRule="auto"/>
              <w:ind w:left="0" w:firstLine="0"/>
              <w:jc w:val="left"/>
            </w:pPr>
          </w:p>
        </w:tc>
        <w:tc>
          <w:tcPr>
            <w:tcW w:w="1270" w:type="dxa"/>
            <w:tcBorders>
              <w:top w:val="single" w:sz="2" w:space="0" w:color="000000"/>
              <w:left w:val="nil"/>
              <w:bottom w:val="single" w:sz="2" w:space="0" w:color="000000"/>
              <w:right w:val="nil"/>
            </w:tcBorders>
          </w:tcPr>
          <w:p w14:paraId="7F894367" w14:textId="77777777" w:rsidR="00D2559A" w:rsidRDefault="00D2559A">
            <w:pPr>
              <w:spacing w:after="160" w:line="259" w:lineRule="auto"/>
              <w:ind w:left="0" w:firstLine="0"/>
              <w:jc w:val="left"/>
            </w:pPr>
          </w:p>
        </w:tc>
        <w:tc>
          <w:tcPr>
            <w:tcW w:w="623" w:type="dxa"/>
            <w:tcBorders>
              <w:top w:val="single" w:sz="2" w:space="0" w:color="000000"/>
              <w:left w:val="nil"/>
              <w:bottom w:val="single" w:sz="2" w:space="0" w:color="000000"/>
              <w:right w:val="nil"/>
            </w:tcBorders>
          </w:tcPr>
          <w:p w14:paraId="4FEBC7BE" w14:textId="77777777" w:rsidR="00D2559A" w:rsidRDefault="00F0205F">
            <w:pPr>
              <w:spacing w:after="0" w:line="259" w:lineRule="auto"/>
              <w:ind w:left="119" w:firstLine="0"/>
              <w:jc w:val="left"/>
            </w:pPr>
            <w:r>
              <w:rPr>
                <w:b/>
                <w:sz w:val="15"/>
              </w:rPr>
              <w:t>0.44</w:t>
            </w:r>
          </w:p>
        </w:tc>
      </w:tr>
    </w:tbl>
    <w:p w14:paraId="63F71980" w14:textId="77777777" w:rsidR="00014B9F" w:rsidRDefault="00014B9F">
      <w:pPr>
        <w:ind w:left="-15" w:firstLine="339"/>
      </w:pPr>
    </w:p>
    <w:p w14:paraId="695DD6D0" w14:textId="199A3C23" w:rsidR="00D2559A" w:rsidRDefault="00F0205F">
      <w:pPr>
        <w:ind w:left="-15" w:firstLine="339"/>
      </w:pPr>
      <w:r>
        <w:t>Table 1 shows average pre- and post-COVID-19 lockdown levels for job creation, destruction, reallocation and net employment rates for healthcare and its subsectors. Pre-COVID period is up to March 2020 and post-COVID period begins April 2020 i.e. once the stay-at</w:t>
      </w:r>
      <w:r w:rsidR="00014B9F">
        <w:t>-</w:t>
      </w:r>
      <w:r>
        <w:t xml:space="preserve">home order was announced. Each sector had a positive net employment rate before COVID but had a negative net employment rate after COVID. For example, Ambulatory Healthcare </w:t>
      </w:r>
      <w:r>
        <w:lastRenderedPageBreak/>
        <w:t>sector had a net employment rate of 0</w:t>
      </w:r>
      <w:r>
        <w:rPr>
          <w:i/>
        </w:rPr>
        <w:t>.</w:t>
      </w:r>
      <w:r>
        <w:t>15% before COVID but had a net employment rate of −0</w:t>
      </w:r>
      <w:r>
        <w:rPr>
          <w:i/>
        </w:rPr>
        <w:t>.</w:t>
      </w:r>
      <w:r>
        <w:t>27% after COVID.</w:t>
      </w:r>
    </w:p>
    <w:p w14:paraId="5006DB87" w14:textId="77777777" w:rsidR="00D2559A" w:rsidRDefault="00F0205F">
      <w:pPr>
        <w:ind w:left="-5"/>
      </w:pPr>
      <w:r>
        <w:t>All sectors had a higher job creation rate post-COVID than pre-COVID. Similarly, all sectors had a higher job destruction rate post-COVID than pre-COVID. However, the difference between job destruction rate before and after COVID was much higher than the difference between job creation rate before and after COVID. For instance, Social Assistance sector had a pre-COVID job creation rate of 3</w:t>
      </w:r>
      <w:r>
        <w:rPr>
          <w:i/>
        </w:rPr>
        <w:t>.</w:t>
      </w:r>
      <w:r>
        <w:t>45% and a post-COVID job creation rate of 4</w:t>
      </w:r>
      <w:r>
        <w:rPr>
          <w:i/>
        </w:rPr>
        <w:t>.</w:t>
      </w:r>
      <w:r>
        <w:t>19% which lead to an increase of 0</w:t>
      </w:r>
      <w:r>
        <w:rPr>
          <w:i/>
        </w:rPr>
        <w:t>.</w:t>
      </w:r>
      <w:r>
        <w:t>74 percentage points (pp). Similarly, it had a pre-COVID job destruction rate of 3</w:t>
      </w:r>
      <w:r>
        <w:rPr>
          <w:i/>
        </w:rPr>
        <w:t>.</w:t>
      </w:r>
      <w:r>
        <w:t>17% and a post-COVID job destruction rate of 4</w:t>
      </w:r>
      <w:r>
        <w:rPr>
          <w:i/>
        </w:rPr>
        <w:t>.</w:t>
      </w:r>
      <w:r>
        <w:t>84% resulting in an increase of 1</w:t>
      </w:r>
      <w:r>
        <w:rPr>
          <w:i/>
        </w:rPr>
        <w:t>.</w:t>
      </w:r>
      <w:r>
        <w:t>67 pp. Note that job destruction rate between the two periods is more than double the job creation rate. In other words, the difference between 1</w:t>
      </w:r>
      <w:r>
        <w:rPr>
          <w:i/>
        </w:rPr>
        <w:t>.</w:t>
      </w:r>
      <w:r>
        <w:t>67 pp and 0</w:t>
      </w:r>
      <w:r>
        <w:rPr>
          <w:i/>
        </w:rPr>
        <w:t>.</w:t>
      </w:r>
      <w:r>
        <w:t>74 pp is 0</w:t>
      </w:r>
      <w:r>
        <w:rPr>
          <w:i/>
        </w:rPr>
        <w:t>.</w:t>
      </w:r>
      <w:r>
        <w:t>93, and this number is our measure of jobs lost in Social Assistance sector due to COVID-19. This difference measure reveals that newer jobs created after the advent of COVID-imposed restrictions were not able to fully compensate for the jobs destroyed by these restrictions. In this way, when we compute difference measures for all the healthcare subsectors provided in Table 1, we find that none of the sectors have been able to recover from the high job destruction rates caused by COVID-19.</w:t>
      </w:r>
    </w:p>
    <w:p w14:paraId="3220AE73" w14:textId="77777777" w:rsidR="00D2559A" w:rsidRDefault="00F0205F">
      <w:pPr>
        <w:spacing w:after="512"/>
        <w:ind w:left="-5"/>
      </w:pPr>
      <w:r>
        <w:t>All sectors also had a higher job reallocation rate post-COVID than pre-COVID, which suggests that healthcare workers were more likely to switch their jobs after Ohio declared a state of emergency due to COVID.</w:t>
      </w:r>
    </w:p>
    <w:p w14:paraId="2AD1348A" w14:textId="77777777" w:rsidR="00D2559A" w:rsidRDefault="00F0205F">
      <w:pPr>
        <w:pStyle w:val="Heading1"/>
        <w:ind w:left="481" w:hanging="496"/>
      </w:pPr>
      <w:r>
        <w:t>Discussion</w:t>
      </w:r>
    </w:p>
    <w:p w14:paraId="4D272B9B" w14:textId="6A9B74AD" w:rsidR="00D2559A" w:rsidRDefault="00F0205F" w:rsidP="00475E7C">
      <w:pPr>
        <w:ind w:left="-5"/>
      </w:pPr>
      <w:r>
        <w:t>COVID-19 recession was different from The Great Recession in terms of its impact on the healthcare sector. While other sectors in Ohio experienced a decrease in workforce during The Great Recession, the healthcare sector experienced no such decline. However, COVID had a very similar impact on both these broad sectors as all employers were forced to take safety measures. COVID-19 also had a dissimilar impact on different healthcare sub-sectors. Ambulatory Healthcare sector experienced the sharpest decline due to lockdown imposed by COVID-19. This seems reasonable given that all outpatient services were temporarily halted by the stay-at-home order imposed by Ohio’s Department of Health. Soon after the stay-at-</w:t>
      </w:r>
      <w:r>
        <w:lastRenderedPageBreak/>
        <w:t>home order was lifted, the sector recovered from the temporary shock as units in this sector were allowed to reopen, albeit with COVID restrictions and policies in place. Hospitals were the most stable and were least impacted, at least in terms of payroll jobs, out of all healthcare subcategories, as they were allowed to operate during the lockdown. The relatively small decline in this sector can possibly be attributed to closure of certain non-essential services or increased COVID-19 spread forcing the workers to stay at home and as a result, out of the payroll system. On the other hand, one would imagine that hospitals should have experienced a surge in new workforce as there were cases of extreme labor market tightening during the pandemic. However, even when they were the most important institutions during the pandemic, hospitals experienced a moderate decline in net employment rate. Social Assistance sector had an average post-COVID job reallocation rate of 9% and was the highest among the healthcare subsectors, along with the highest gap between job destruction and job creation rates. This suggests a lot of movement of healthcare workers away from this sector, as a number of people in this sector were laid off during lockdown and had to find other jobs. Nursing sector had the lowest post-COVID net employment rate and is experiencing a continuous decline in workforce. This suggests a deeper problem than a one-time shock. One possible explanation is the decline in demand of such services due to shift in demographics caused by COVID-19. Because the elderly and the disabled were disproportionately affected by COVID-19, this possibly resulted in a higher death rate among these groups and ultimately led to a lower demand for nursing</w:t>
      </w:r>
      <w:r w:rsidR="00475E7C">
        <w:t xml:space="preserve"> </w:t>
      </w:r>
      <w:r>
        <w:t>and residential care facilities.</w:t>
      </w:r>
    </w:p>
    <w:p w14:paraId="68D80D00" w14:textId="77777777" w:rsidR="008375F4" w:rsidRDefault="008375F4" w:rsidP="00475E7C">
      <w:pPr>
        <w:ind w:left="-5"/>
      </w:pPr>
    </w:p>
    <w:p w14:paraId="72C0A73B" w14:textId="77777777" w:rsidR="00D2559A" w:rsidRDefault="00F0205F">
      <w:pPr>
        <w:pStyle w:val="Heading1"/>
        <w:ind w:left="481" w:hanging="496"/>
      </w:pPr>
      <w:r>
        <w:t>Public Health Implications</w:t>
      </w:r>
    </w:p>
    <w:p w14:paraId="63DC7F0A" w14:textId="77777777" w:rsidR="00D2559A" w:rsidRDefault="00F0205F">
      <w:pPr>
        <w:spacing w:after="482"/>
        <w:ind w:left="-5"/>
      </w:pPr>
      <w:r>
        <w:t xml:space="preserve">Healthcare sector in Ohio experienced a tremendous increase in labor market activity due to the effects of COVID-19 and stay-at-home order issued in March 2020. New jobs were created throughout the healthcare industry as demand for telehealth, telemedicine and COVID-related healthcare services increased employment levels. However, this demand was more than offset by the decrease in jobs at some of the existing healthcare institutions, as they were forced to cut costs by eliminating non-essential services from their payrolls. Contrary to the common misconception that healthcare sector is expanding due to increased demand for healthcare workers caused by COVID-19, the payroll data from ODJFS shows us a decrease in </w:t>
      </w:r>
      <w:r>
        <w:lastRenderedPageBreak/>
        <w:t>overall healthcare employment as of June 2021. In the future, some sectors such as Hospitals may create new jobs as they seem to have relatively stable job creation and destruction rates, whereas other sectors such as Nursing and Residential Care may be on their way towards permanent decline in job opportunities.</w:t>
      </w:r>
    </w:p>
    <w:p w14:paraId="1D027F2C" w14:textId="77777777" w:rsidR="00D2559A" w:rsidRDefault="00F0205F">
      <w:pPr>
        <w:pStyle w:val="Heading1"/>
        <w:numPr>
          <w:ilvl w:val="0"/>
          <w:numId w:val="0"/>
        </w:numPr>
        <w:ind w:left="-5"/>
      </w:pPr>
      <w:r>
        <w:t>Acknowledgements</w:t>
      </w:r>
    </w:p>
    <w:p w14:paraId="03D57AFA" w14:textId="77777777" w:rsidR="00D2559A" w:rsidRDefault="00F0205F">
      <w:pPr>
        <w:spacing w:after="482"/>
        <w:ind w:left="-5"/>
      </w:pPr>
      <w:r>
        <w:t xml:space="preserve">This project was supported by Wolfgang Mayer Fellowship provided by University of Cincinnati. We acknowledge and thank Dr. Michael Jones, Professor at University of Cincinnati, for his help with procurement of data. The data was provided via quarterly csv files uploaded by the Office of Workforce Development at ODJFS on </w:t>
      </w:r>
      <w:proofErr w:type="spellStart"/>
      <w:r>
        <w:t>Axway</w:t>
      </w:r>
      <w:proofErr w:type="spellEnd"/>
      <w:r>
        <w:t xml:space="preserve"> Server maintained by the department. The opinions, findings, and conclusions expressed in this publication are those of the author and do not necessarily reflect the official views of any other parties involved. To assess the quality of the data used in this study, ODJFS payroll data was benchmarked against BLS employment data for healthcare sector. This comparison confirmed the quality of data, and the benchmarking analysis is available upon request.</w:t>
      </w:r>
    </w:p>
    <w:p w14:paraId="2FDB80F1" w14:textId="0DFF3606" w:rsidR="00D2559A" w:rsidRDefault="00F0205F">
      <w:pPr>
        <w:pStyle w:val="Heading1"/>
        <w:numPr>
          <w:ilvl w:val="0"/>
          <w:numId w:val="0"/>
        </w:numPr>
        <w:ind w:left="-5"/>
      </w:pPr>
      <w:r>
        <w:t>References</w:t>
      </w:r>
    </w:p>
    <w:p w14:paraId="12C84200" w14:textId="77777777" w:rsidR="00D65923" w:rsidRPr="00D65923" w:rsidRDefault="00D65923" w:rsidP="00D65923"/>
    <w:p w14:paraId="12EE7944" w14:textId="318AC05D" w:rsidR="00D2559A" w:rsidRDefault="00F0205F" w:rsidP="00B22F9E">
      <w:pPr>
        <w:pStyle w:val="ListParagraph"/>
        <w:numPr>
          <w:ilvl w:val="0"/>
          <w:numId w:val="3"/>
        </w:numPr>
        <w:spacing w:after="155" w:line="259" w:lineRule="auto"/>
      </w:pPr>
      <w:r>
        <w:t>Adams-</w:t>
      </w:r>
      <w:proofErr w:type="spellStart"/>
      <w:r>
        <w:t>Prassl</w:t>
      </w:r>
      <w:proofErr w:type="spellEnd"/>
      <w:r>
        <w:t xml:space="preserve">, A., Cloyne, J., Costa Dias, M., </w:t>
      </w:r>
      <w:proofErr w:type="spellStart"/>
      <w:r>
        <w:t>Parey</w:t>
      </w:r>
      <w:proofErr w:type="spellEnd"/>
      <w:r>
        <w:t xml:space="preserve">, M., &amp; </w:t>
      </w:r>
      <w:proofErr w:type="spellStart"/>
      <w:r>
        <w:t>Ziliak</w:t>
      </w:r>
      <w:proofErr w:type="spellEnd"/>
      <w:r>
        <w:t>, J. P. (2020, September).</w:t>
      </w:r>
    </w:p>
    <w:p w14:paraId="61AEE5C4" w14:textId="56BC10C9" w:rsidR="00D2559A" w:rsidRDefault="00F0205F">
      <w:pPr>
        <w:spacing w:after="166" w:line="259" w:lineRule="auto"/>
        <w:ind w:left="555"/>
      </w:pPr>
      <w:r>
        <w:t xml:space="preserve">The COVID-19 economic crisis. </w:t>
      </w:r>
      <w:proofErr w:type="spellStart"/>
      <w:r>
        <w:rPr>
          <w:i/>
        </w:rPr>
        <w:t>Fisc</w:t>
      </w:r>
      <w:proofErr w:type="spellEnd"/>
      <w:r>
        <w:rPr>
          <w:i/>
        </w:rPr>
        <w:t>. Stud.</w:t>
      </w:r>
      <w:r>
        <w:t xml:space="preserve">, </w:t>
      </w:r>
      <w:r>
        <w:rPr>
          <w:i/>
        </w:rPr>
        <w:t>41</w:t>
      </w:r>
      <w:r>
        <w:t>(3), 489–492.</w:t>
      </w:r>
    </w:p>
    <w:p w14:paraId="58847391" w14:textId="77777777" w:rsidR="00014B9F" w:rsidRDefault="00014B9F">
      <w:pPr>
        <w:spacing w:after="12" w:line="383" w:lineRule="auto"/>
        <w:ind w:left="545" w:hanging="545"/>
        <w:jc w:val="left"/>
      </w:pPr>
    </w:p>
    <w:p w14:paraId="6BFB859F" w14:textId="444C1997" w:rsidR="00D2559A" w:rsidRDefault="00F0205F" w:rsidP="00A545CC">
      <w:pPr>
        <w:pStyle w:val="ListParagraph"/>
        <w:numPr>
          <w:ilvl w:val="0"/>
          <w:numId w:val="3"/>
        </w:numPr>
        <w:spacing w:after="12" w:line="383" w:lineRule="auto"/>
        <w:jc w:val="left"/>
      </w:pPr>
      <w:r>
        <w:t>Bureau of Economic Analysis.</w:t>
      </w:r>
      <w:r w:rsidR="00A545CC">
        <w:t xml:space="preserve"> </w:t>
      </w:r>
      <w:r>
        <w:t>(2020).</w:t>
      </w:r>
      <w:r w:rsidR="00A545CC">
        <w:t xml:space="preserve"> </w:t>
      </w:r>
      <w:r w:rsidRPr="00B22F9E">
        <w:rPr>
          <w:i/>
        </w:rPr>
        <w:t xml:space="preserve">Gross Domestic Product, 2nd Quarter 2020. </w:t>
      </w:r>
      <w:r w:rsidRPr="00B22F9E">
        <w:rPr>
          <w:rFonts w:ascii="Calibri" w:eastAsia="Calibri" w:hAnsi="Calibri" w:cs="Calibri"/>
        </w:rPr>
        <w:t>https://www.bea.gov/news/2020/gross-domestic-product-2nd-quarter-2020</w:t>
      </w:r>
      <w:r w:rsidRPr="00A545CC">
        <w:rPr>
          <w:rFonts w:ascii="Calibri" w:eastAsia="Calibri" w:hAnsi="Calibri" w:cs="Calibri"/>
        </w:rPr>
        <w:t>-advance-estimate-and-annual-update#:~:text=Real%20gross%20domestic%20product%20(GDP,the%20Bureau%20of%20Economic%20Analysis</w:t>
      </w:r>
      <w:r>
        <w:t>.</w:t>
      </w:r>
    </w:p>
    <w:p w14:paraId="2F42C07B" w14:textId="77777777" w:rsidR="00014B9F" w:rsidRDefault="00014B9F">
      <w:pPr>
        <w:spacing w:after="177" w:line="259" w:lineRule="auto"/>
        <w:ind w:left="-5" w:right="-15"/>
        <w:jc w:val="left"/>
      </w:pPr>
    </w:p>
    <w:p w14:paraId="1FC2753F" w14:textId="0D1AFF21" w:rsidR="00D2559A" w:rsidRDefault="00F0205F" w:rsidP="00A545CC">
      <w:pPr>
        <w:pStyle w:val="ListParagraph"/>
        <w:numPr>
          <w:ilvl w:val="0"/>
          <w:numId w:val="3"/>
        </w:numPr>
        <w:spacing w:after="177" w:line="360" w:lineRule="auto"/>
        <w:ind w:right="-15"/>
        <w:jc w:val="left"/>
      </w:pPr>
      <w:r>
        <w:lastRenderedPageBreak/>
        <w:t xml:space="preserve">Bureau of Labor Statistics. (2020). </w:t>
      </w:r>
      <w:r w:rsidRPr="00B22F9E">
        <w:rPr>
          <w:i/>
        </w:rPr>
        <w:t>Unemployment rate rises to record high 14.7 percent in</w:t>
      </w:r>
      <w:r w:rsidR="00B22F9E">
        <w:rPr>
          <w:i/>
        </w:rPr>
        <w:t xml:space="preserve"> </w:t>
      </w:r>
      <w:r w:rsidRPr="00B22F9E">
        <w:rPr>
          <w:i/>
        </w:rPr>
        <w:t>April 2020</w:t>
      </w:r>
      <w:r w:rsidR="00A545CC">
        <w:rPr>
          <w:i/>
        </w:rPr>
        <w:t>.</w:t>
      </w:r>
      <w:r w:rsidR="00A545CC" w:rsidRPr="00A545CC">
        <w:t xml:space="preserve"> </w:t>
      </w:r>
      <w:r w:rsidR="00A545CC" w:rsidRPr="00A545CC">
        <w:rPr>
          <w:rFonts w:ascii="Calibri" w:eastAsia="Calibri" w:hAnsi="Calibri" w:cs="Calibri"/>
        </w:rPr>
        <w:t>https://www.bls.gov/opub/ted/2020/unemployment-rate-rises-to-record-high-14-point-7-percent-in-april-2020.htm</w:t>
      </w:r>
      <w:r w:rsidRPr="00A545CC">
        <w:rPr>
          <w:rFonts w:ascii="Calibri" w:eastAsia="Calibri" w:hAnsi="Calibri" w:cs="Calibri"/>
        </w:rPr>
        <w:t>.</w:t>
      </w:r>
    </w:p>
    <w:p w14:paraId="38DEC1D3" w14:textId="77777777" w:rsidR="00014B9F" w:rsidRDefault="00014B9F">
      <w:pPr>
        <w:spacing w:after="145" w:line="259" w:lineRule="auto"/>
        <w:ind w:left="-5" w:right="-15"/>
        <w:jc w:val="left"/>
      </w:pPr>
    </w:p>
    <w:p w14:paraId="0218B4E0" w14:textId="2EDEEAB4" w:rsidR="00D2559A" w:rsidRDefault="00F0205F" w:rsidP="00B22F9E">
      <w:pPr>
        <w:pStyle w:val="ListParagraph"/>
        <w:numPr>
          <w:ilvl w:val="0"/>
          <w:numId w:val="3"/>
        </w:numPr>
        <w:spacing w:after="145" w:line="259" w:lineRule="auto"/>
        <w:ind w:right="-15"/>
        <w:jc w:val="left"/>
      </w:pPr>
      <w:r>
        <w:t xml:space="preserve">CDC. (2020). </w:t>
      </w:r>
      <w:r w:rsidRPr="00B22F9E">
        <w:rPr>
          <w:i/>
        </w:rPr>
        <w:t xml:space="preserve">First travel-related case of COVID-19 in United States. </w:t>
      </w:r>
      <w:r w:rsidRPr="00B22F9E">
        <w:rPr>
          <w:rFonts w:ascii="Calibri" w:eastAsia="Calibri" w:hAnsi="Calibri" w:cs="Calibri"/>
        </w:rPr>
        <w:t>https://www.cdc</w:t>
      </w:r>
    </w:p>
    <w:p w14:paraId="08DFB7B1" w14:textId="1D0E8E71" w:rsidR="00D2559A" w:rsidRDefault="00F0205F">
      <w:pPr>
        <w:spacing w:after="12" w:line="383" w:lineRule="auto"/>
        <w:ind w:left="540"/>
        <w:jc w:val="left"/>
      </w:pPr>
      <w:r>
        <w:rPr>
          <w:rFonts w:ascii="Calibri" w:eastAsia="Calibri" w:hAnsi="Calibri" w:cs="Calibri"/>
        </w:rPr>
        <w:t>.gov/media/releases/2020/p0121-novel-coronavirus-travel-case.html</w:t>
      </w:r>
      <w:r>
        <w:t>. (Accessed: 2022-06-22)</w:t>
      </w:r>
      <w:r w:rsidR="00A545CC">
        <w:br/>
      </w:r>
    </w:p>
    <w:p w14:paraId="0996AB44" w14:textId="0E3AA470" w:rsidR="00D2559A" w:rsidRDefault="00F0205F" w:rsidP="00B22F9E">
      <w:pPr>
        <w:pStyle w:val="ListParagraph"/>
        <w:numPr>
          <w:ilvl w:val="0"/>
          <w:numId w:val="3"/>
        </w:numPr>
        <w:spacing w:after="12" w:line="383" w:lineRule="auto"/>
        <w:jc w:val="left"/>
      </w:pPr>
      <w:r>
        <w:t xml:space="preserve">CDC. (2022). </w:t>
      </w:r>
      <w:r w:rsidRPr="00B22F9E">
        <w:rPr>
          <w:i/>
        </w:rPr>
        <w:t xml:space="preserve">CDC COVID Data Tracker. </w:t>
      </w:r>
      <w:r w:rsidR="00A545CC" w:rsidRPr="00A545CC">
        <w:rPr>
          <w:rFonts w:ascii="Calibri" w:eastAsia="Calibri" w:hAnsi="Calibri" w:cs="Calibri"/>
        </w:rPr>
        <w:t>https://covid.cdc.gov/covid-data-tracker/#datatracker-home</w:t>
      </w:r>
      <w:r>
        <w:t>. (Accessed: 2022-06-22)</w:t>
      </w:r>
    </w:p>
    <w:p w14:paraId="713BCA7A" w14:textId="77777777" w:rsidR="00014B9F" w:rsidRDefault="00014B9F">
      <w:pPr>
        <w:spacing w:after="12" w:line="383" w:lineRule="auto"/>
        <w:ind w:left="545" w:hanging="545"/>
        <w:jc w:val="left"/>
      </w:pPr>
    </w:p>
    <w:p w14:paraId="74350F61" w14:textId="3346567A" w:rsidR="00D2559A" w:rsidRDefault="00F0205F" w:rsidP="00B22F9E">
      <w:pPr>
        <w:pStyle w:val="ListParagraph"/>
        <w:numPr>
          <w:ilvl w:val="0"/>
          <w:numId w:val="3"/>
        </w:numPr>
        <w:spacing w:after="12" w:line="383" w:lineRule="auto"/>
        <w:jc w:val="left"/>
      </w:pPr>
      <w:r>
        <w:t xml:space="preserve">KFF. (2021). </w:t>
      </w:r>
      <w:r w:rsidRPr="00B22F9E">
        <w:rPr>
          <w:i/>
        </w:rPr>
        <w:t>Health Care Employment as a Percent of Total Employment.</w:t>
      </w:r>
      <w:r w:rsidR="00A545CC" w:rsidRPr="00A545CC">
        <w:t xml:space="preserve"> </w:t>
      </w:r>
      <w:r w:rsidR="00A545CC" w:rsidRPr="00D65923">
        <w:rPr>
          <w:rFonts w:ascii="Calibri" w:eastAsia="Calibri" w:hAnsi="Calibri" w:cs="Calibri"/>
        </w:rPr>
        <w:t>https://www.kff.org/other/state-indicator/health-care-employment-as-total/?currentTimeframe=0&amp;sortModel=%7B%22colId%22:%22Location%22,%22sort%22:%22asc%22%7D</w:t>
      </w:r>
      <w:r>
        <w:t>.</w:t>
      </w:r>
    </w:p>
    <w:p w14:paraId="6A1CA60C" w14:textId="77777777" w:rsidR="00014B9F" w:rsidRDefault="00014B9F">
      <w:pPr>
        <w:spacing w:after="12" w:line="383" w:lineRule="auto"/>
        <w:ind w:left="545" w:hanging="545"/>
        <w:jc w:val="left"/>
      </w:pPr>
    </w:p>
    <w:p w14:paraId="252BA0F2" w14:textId="6DECC05D" w:rsidR="00D2559A" w:rsidRDefault="00F0205F" w:rsidP="00A545CC">
      <w:pPr>
        <w:pStyle w:val="ListParagraph"/>
        <w:numPr>
          <w:ilvl w:val="0"/>
          <w:numId w:val="3"/>
        </w:numPr>
        <w:spacing w:after="12" w:line="383" w:lineRule="auto"/>
        <w:jc w:val="left"/>
      </w:pPr>
      <w:r>
        <w:t>Ohio Department of Health.</w:t>
      </w:r>
      <w:r w:rsidR="00A545CC">
        <w:t xml:space="preserve"> </w:t>
      </w:r>
      <w:r>
        <w:t>(2020).</w:t>
      </w:r>
      <w:r w:rsidR="00A545CC">
        <w:t xml:space="preserve"> </w:t>
      </w:r>
      <w:r w:rsidRPr="00B22F9E">
        <w:rPr>
          <w:i/>
        </w:rPr>
        <w:t xml:space="preserve">Director’s Stay Safe Ohio Order. </w:t>
      </w:r>
      <w:r w:rsidRPr="00B22F9E">
        <w:rPr>
          <w:rFonts w:ascii="Calibri" w:eastAsia="Calibri" w:hAnsi="Calibri" w:cs="Calibri"/>
        </w:rPr>
        <w:t>https://coronavirus.ohio.gov/static/publicorders/Directors-Stay-Safe-Ohio</w:t>
      </w:r>
      <w:r w:rsidRPr="00A545CC">
        <w:rPr>
          <w:rFonts w:ascii="Calibri" w:eastAsia="Calibri" w:hAnsi="Calibri" w:cs="Calibri"/>
        </w:rPr>
        <w:t>-Order.pdf</w:t>
      </w:r>
      <w:r>
        <w:t>.</w:t>
      </w:r>
    </w:p>
    <w:p w14:paraId="103A153A" w14:textId="77777777" w:rsidR="00014B9F" w:rsidRDefault="00014B9F">
      <w:pPr>
        <w:spacing w:after="12" w:line="383" w:lineRule="auto"/>
        <w:ind w:left="545" w:hanging="545"/>
        <w:jc w:val="left"/>
      </w:pPr>
    </w:p>
    <w:p w14:paraId="15CA1E83" w14:textId="36EB3EB0" w:rsidR="00D2559A" w:rsidRDefault="00F0205F" w:rsidP="00B22F9E">
      <w:pPr>
        <w:pStyle w:val="ListParagraph"/>
        <w:numPr>
          <w:ilvl w:val="0"/>
          <w:numId w:val="3"/>
        </w:numPr>
        <w:spacing w:after="12" w:line="383" w:lineRule="auto"/>
        <w:jc w:val="left"/>
      </w:pPr>
      <w:r>
        <w:t xml:space="preserve">Ohio Department of Job and Family Services. (2021). </w:t>
      </w:r>
      <w:r w:rsidRPr="00B22F9E">
        <w:rPr>
          <w:i/>
        </w:rPr>
        <w:t xml:space="preserve">UI Tax for New Employers. </w:t>
      </w:r>
      <w:r w:rsidRPr="00B22F9E">
        <w:rPr>
          <w:rFonts w:ascii="Calibri" w:eastAsia="Calibri" w:hAnsi="Calibri" w:cs="Calibri"/>
        </w:rPr>
        <w:t>https://jfs.ohio.gov/ouio/uctax/UITaxForNewEmployers.stm</w:t>
      </w:r>
      <w:r>
        <w:t>.</w:t>
      </w:r>
    </w:p>
    <w:p w14:paraId="2B8E0862" w14:textId="77777777" w:rsidR="00014B9F" w:rsidRDefault="00014B9F">
      <w:pPr>
        <w:spacing w:after="177" w:line="259" w:lineRule="auto"/>
        <w:ind w:left="-5" w:right="-15"/>
        <w:jc w:val="left"/>
      </w:pPr>
    </w:p>
    <w:p w14:paraId="78830A00" w14:textId="4381E730" w:rsidR="00D2559A" w:rsidRDefault="00F0205F" w:rsidP="00D65923">
      <w:pPr>
        <w:pStyle w:val="ListParagraph"/>
        <w:numPr>
          <w:ilvl w:val="0"/>
          <w:numId w:val="3"/>
        </w:numPr>
        <w:spacing w:after="177" w:line="259" w:lineRule="auto"/>
        <w:ind w:right="-15"/>
        <w:jc w:val="left"/>
      </w:pPr>
      <w:r>
        <w:t xml:space="preserve">U.S Census. (2022). </w:t>
      </w:r>
      <w:r w:rsidRPr="00B22F9E">
        <w:rPr>
          <w:i/>
        </w:rPr>
        <w:t xml:space="preserve">North American Industry Classification System. </w:t>
      </w:r>
      <w:r w:rsidR="00D65923" w:rsidRPr="00D65923">
        <w:rPr>
          <w:rFonts w:ascii="Calibri" w:eastAsia="Calibri" w:hAnsi="Calibri" w:cs="Calibri"/>
        </w:rPr>
        <w:t>https://www.census.gov/naics/reference_files_tools/2022_NAICS_Manual.pdf</w:t>
      </w:r>
      <w:r>
        <w:t>.</w:t>
      </w:r>
    </w:p>
    <w:p w14:paraId="5973D23E" w14:textId="77777777" w:rsidR="00014B9F" w:rsidRDefault="00014B9F">
      <w:pPr>
        <w:spacing w:after="0" w:line="391" w:lineRule="auto"/>
        <w:ind w:left="545" w:hanging="545"/>
      </w:pPr>
    </w:p>
    <w:p w14:paraId="1A8EC091" w14:textId="744173AA" w:rsidR="00D2559A" w:rsidRDefault="00F0205F" w:rsidP="00D65923">
      <w:pPr>
        <w:pStyle w:val="ListParagraph"/>
        <w:numPr>
          <w:ilvl w:val="0"/>
          <w:numId w:val="3"/>
        </w:numPr>
        <w:spacing w:after="0" w:line="391" w:lineRule="auto"/>
      </w:pPr>
      <w:r>
        <w:t>Wager, C., Amin, &amp; Hughes-</w:t>
      </w:r>
      <w:proofErr w:type="spellStart"/>
      <w:r>
        <w:t>Cromwick</w:t>
      </w:r>
      <w:proofErr w:type="spellEnd"/>
      <w:r>
        <w:t xml:space="preserve">. (2021). </w:t>
      </w:r>
      <w:r w:rsidRPr="00B22F9E">
        <w:rPr>
          <w:i/>
        </w:rPr>
        <w:t xml:space="preserve">What impact has the coronavirus pandemic had on health employment? </w:t>
      </w:r>
      <w:r w:rsidR="00D65923" w:rsidRPr="00D65923">
        <w:rPr>
          <w:rFonts w:ascii="Calibri" w:eastAsia="Calibri" w:hAnsi="Calibri" w:cs="Calibri"/>
        </w:rPr>
        <w:t>https://www.healthsystemtracker.org/chart-collection/what-impact-has-the-coronavirus-pandemic-had-on-healthcare-employment/#Cumulative%20change%20in%20health%20sector%20and%20non-health%20sector%20employment%20since%20January%201990%C2%A0</w:t>
      </w:r>
      <w:r>
        <w:t>.</w:t>
      </w:r>
    </w:p>
    <w:sectPr w:rsidR="00D2559A">
      <w:footerReference w:type="even" r:id="rId13"/>
      <w:footerReference w:type="default" r:id="rId14"/>
      <w:footerReference w:type="first" r:id="rId15"/>
      <w:pgSz w:w="12240" w:h="15840"/>
      <w:pgMar w:top="1442" w:right="1831" w:bottom="1694" w:left="1796" w:header="720" w:footer="10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3C6AF6" w14:textId="77777777" w:rsidR="000B5F4A" w:rsidRDefault="00F0205F">
      <w:pPr>
        <w:spacing w:after="0" w:line="240" w:lineRule="auto"/>
      </w:pPr>
      <w:r>
        <w:separator/>
      </w:r>
    </w:p>
  </w:endnote>
  <w:endnote w:type="continuationSeparator" w:id="0">
    <w:p w14:paraId="1E982818" w14:textId="77777777" w:rsidR="000B5F4A" w:rsidRDefault="00F02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B984B" w14:textId="77777777" w:rsidR="00D2559A" w:rsidRDefault="00F0205F">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6028333"/>
      <w:docPartObj>
        <w:docPartGallery w:val="Page Numbers (Bottom of Page)"/>
        <w:docPartUnique/>
      </w:docPartObj>
    </w:sdtPr>
    <w:sdtEndPr>
      <w:rPr>
        <w:noProof/>
      </w:rPr>
    </w:sdtEndPr>
    <w:sdtContent>
      <w:p w14:paraId="357EF99C" w14:textId="5E747A5D" w:rsidR="00F0205F" w:rsidRDefault="00F020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0B2BC4" w14:textId="328989A8" w:rsidR="00D2559A" w:rsidRDefault="00D2559A">
    <w:pPr>
      <w:spacing w:after="0" w:line="259" w:lineRule="auto"/>
      <w:ind w:left="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4CA5F" w14:textId="77777777" w:rsidR="00D2559A" w:rsidRDefault="00F0205F">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9BD92" w14:textId="77777777" w:rsidR="000B5F4A" w:rsidRDefault="00F0205F">
      <w:pPr>
        <w:spacing w:after="0" w:line="240" w:lineRule="auto"/>
      </w:pPr>
      <w:r>
        <w:separator/>
      </w:r>
    </w:p>
  </w:footnote>
  <w:footnote w:type="continuationSeparator" w:id="0">
    <w:p w14:paraId="7C66F262" w14:textId="77777777" w:rsidR="000B5F4A" w:rsidRDefault="00F0205F">
      <w:pPr>
        <w:spacing w:after="0" w:line="240" w:lineRule="auto"/>
      </w:pPr>
      <w:r>
        <w:continuationSeparator/>
      </w:r>
    </w:p>
  </w:footnote>
  <w:footnote w:id="1">
    <w:p w14:paraId="0D6910A3" w14:textId="67037642" w:rsidR="00F86D41" w:rsidRDefault="00F86D41" w:rsidP="00F86D41">
      <w:pPr>
        <w:pStyle w:val="FootnoteText"/>
        <w:tabs>
          <w:tab w:val="left" w:pos="1680"/>
        </w:tabs>
      </w:pPr>
      <w:r>
        <w:rPr>
          <w:rStyle w:val="FootnoteReference"/>
        </w:rPr>
        <w:footnoteRef/>
      </w:r>
      <w:r>
        <w:t xml:space="preserve">  Email: </w:t>
      </w:r>
      <w:hyperlink r:id="rId1" w:history="1">
        <w:r w:rsidRPr="00B90DA3">
          <w:rPr>
            <w:rStyle w:val="Hyperlink"/>
          </w:rPr>
          <w:t>rawatsa@mail.uc.edu</w:t>
        </w:r>
      </w:hyperlink>
      <w:r>
        <w:t xml:space="preserve"> | Phone: +1-513-546-0601 </w:t>
      </w:r>
      <w:r>
        <w:tab/>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54CE0"/>
    <w:multiLevelType w:val="hybridMultilevel"/>
    <w:tmpl w:val="CF02141A"/>
    <w:lvl w:ilvl="0" w:tplc="A168938C">
      <w:start w:val="1"/>
      <w:numFmt w:val="decimal"/>
      <w:lvlText w:val="%1."/>
      <w:lvlJc w:val="left"/>
      <w:pPr>
        <w:ind w:left="34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37A1E"/>
    <w:multiLevelType w:val="hybridMultilevel"/>
    <w:tmpl w:val="2C40F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92686C"/>
    <w:multiLevelType w:val="hybridMultilevel"/>
    <w:tmpl w:val="695AFB3A"/>
    <w:lvl w:ilvl="0" w:tplc="8B6404D6">
      <w:start w:val="1"/>
      <w:numFmt w:val="decimal"/>
      <w:lvlText w:val="%1."/>
      <w:lvlJc w:val="left"/>
      <w:pPr>
        <w:ind w:left="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E06628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A0C59A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BBBCC6E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1B03760">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C68A2B0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F4C9D88">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13F8646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5082DF2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1205AEA"/>
    <w:multiLevelType w:val="hybridMultilevel"/>
    <w:tmpl w:val="0D3CF98E"/>
    <w:lvl w:ilvl="0" w:tplc="A168938C">
      <w:start w:val="1"/>
      <w:numFmt w:val="decimal"/>
      <w:lvlText w:val="%1."/>
      <w:lvlJc w:val="left"/>
      <w:pPr>
        <w:ind w:left="34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027FB6"/>
    <w:multiLevelType w:val="hybridMultilevel"/>
    <w:tmpl w:val="A48C26A4"/>
    <w:lvl w:ilvl="0" w:tplc="A168938C">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5" w15:restartNumberingAfterBreak="0">
    <w:nsid w:val="7C7557C6"/>
    <w:multiLevelType w:val="hybridMultilevel"/>
    <w:tmpl w:val="17E4D8DE"/>
    <w:lvl w:ilvl="0" w:tplc="6D0ABA26">
      <w:start w:val="1"/>
      <w:numFmt w:val="decimal"/>
      <w:pStyle w:val="Heading1"/>
      <w:lvlText w:val="%1"/>
      <w:lvlJc w:val="left"/>
      <w:pPr>
        <w:ind w:left="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C22CBD44">
      <w:start w:val="1"/>
      <w:numFmt w:val="lowerLetter"/>
      <w:lvlText w:val="%2"/>
      <w:lvlJc w:val="left"/>
      <w:pPr>
        <w:ind w:left="10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7AD499F2">
      <w:start w:val="1"/>
      <w:numFmt w:val="lowerRoman"/>
      <w:lvlText w:val="%3"/>
      <w:lvlJc w:val="left"/>
      <w:pPr>
        <w:ind w:left="1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6360DEC6">
      <w:start w:val="1"/>
      <w:numFmt w:val="decimal"/>
      <w:lvlText w:val="%4"/>
      <w:lvlJc w:val="left"/>
      <w:pPr>
        <w:ind w:left="25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CE702C42">
      <w:start w:val="1"/>
      <w:numFmt w:val="lowerLetter"/>
      <w:lvlText w:val="%5"/>
      <w:lvlJc w:val="left"/>
      <w:pPr>
        <w:ind w:left="3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6A8A8A3C">
      <w:start w:val="1"/>
      <w:numFmt w:val="lowerRoman"/>
      <w:lvlText w:val="%6"/>
      <w:lvlJc w:val="left"/>
      <w:pPr>
        <w:ind w:left="39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8B0823F0">
      <w:start w:val="1"/>
      <w:numFmt w:val="decimal"/>
      <w:lvlText w:val="%7"/>
      <w:lvlJc w:val="left"/>
      <w:pPr>
        <w:ind w:left="46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EF72A4E6">
      <w:start w:val="1"/>
      <w:numFmt w:val="lowerLetter"/>
      <w:lvlText w:val="%8"/>
      <w:lvlJc w:val="left"/>
      <w:pPr>
        <w:ind w:left="54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8DDE17BA">
      <w:start w:val="1"/>
      <w:numFmt w:val="lowerRoman"/>
      <w:lvlText w:val="%9"/>
      <w:lvlJc w:val="left"/>
      <w:pPr>
        <w:ind w:left="61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num w:numId="1">
    <w:abstractNumId w:val="2"/>
  </w:num>
  <w:num w:numId="2">
    <w:abstractNumId w:val="5"/>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59A"/>
    <w:rsid w:val="00014B9F"/>
    <w:rsid w:val="000B5F4A"/>
    <w:rsid w:val="00150B4B"/>
    <w:rsid w:val="003973AF"/>
    <w:rsid w:val="00475E7C"/>
    <w:rsid w:val="004B308E"/>
    <w:rsid w:val="008375F4"/>
    <w:rsid w:val="00884E30"/>
    <w:rsid w:val="00907CD7"/>
    <w:rsid w:val="00A1370D"/>
    <w:rsid w:val="00A16303"/>
    <w:rsid w:val="00A36426"/>
    <w:rsid w:val="00A545CC"/>
    <w:rsid w:val="00B22F9E"/>
    <w:rsid w:val="00C308E0"/>
    <w:rsid w:val="00D2559A"/>
    <w:rsid w:val="00D65923"/>
    <w:rsid w:val="00F0205F"/>
    <w:rsid w:val="00F71193"/>
    <w:rsid w:val="00F86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B3AA6"/>
  <w15:docId w15:val="{CCA8DC3C-E803-41CB-9D02-B3344FF2F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387" w:lineRule="auto"/>
      <w:ind w:left="10"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numPr>
        <w:numId w:val="2"/>
      </w:numPr>
      <w:spacing w:after="206"/>
      <w:ind w:left="10"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128"/>
      <w:ind w:left="10" w:hanging="10"/>
      <w:outlineLvl w:val="1"/>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2"/>
    </w:rPr>
  </w:style>
  <w:style w:type="character" w:customStyle="1" w:styleId="Heading1Char">
    <w:name w:val="Heading 1 Char"/>
    <w:link w:val="Heading1"/>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4B308E"/>
    <w:rPr>
      <w:color w:val="808080"/>
    </w:rPr>
  </w:style>
  <w:style w:type="paragraph" w:styleId="ListParagraph">
    <w:name w:val="List Paragraph"/>
    <w:basedOn w:val="Normal"/>
    <w:uiPriority w:val="34"/>
    <w:qFormat/>
    <w:rsid w:val="00B22F9E"/>
    <w:pPr>
      <w:ind w:left="720"/>
      <w:contextualSpacing/>
    </w:pPr>
  </w:style>
  <w:style w:type="paragraph" w:styleId="BalloonText">
    <w:name w:val="Balloon Text"/>
    <w:basedOn w:val="Normal"/>
    <w:link w:val="BalloonTextChar"/>
    <w:uiPriority w:val="99"/>
    <w:semiHidden/>
    <w:unhideWhenUsed/>
    <w:rsid w:val="00907C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7CD7"/>
    <w:rPr>
      <w:rFonts w:ascii="Segoe UI" w:eastAsia="Cambria" w:hAnsi="Segoe UI" w:cs="Segoe UI"/>
      <w:color w:val="000000"/>
      <w:sz w:val="18"/>
      <w:szCs w:val="18"/>
    </w:rPr>
  </w:style>
  <w:style w:type="paragraph" w:styleId="Header">
    <w:name w:val="header"/>
    <w:basedOn w:val="Normal"/>
    <w:link w:val="HeaderChar"/>
    <w:uiPriority w:val="99"/>
    <w:unhideWhenUsed/>
    <w:rsid w:val="00F86D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6D41"/>
    <w:rPr>
      <w:rFonts w:ascii="Cambria" w:eastAsia="Cambria" w:hAnsi="Cambria" w:cs="Cambria"/>
      <w:color w:val="000000"/>
    </w:rPr>
  </w:style>
  <w:style w:type="paragraph" w:styleId="Footer">
    <w:name w:val="footer"/>
    <w:basedOn w:val="Normal"/>
    <w:link w:val="FooterChar"/>
    <w:uiPriority w:val="99"/>
    <w:unhideWhenUsed/>
    <w:rsid w:val="00F86D41"/>
    <w:pPr>
      <w:tabs>
        <w:tab w:val="center" w:pos="4680"/>
        <w:tab w:val="right" w:pos="9360"/>
      </w:tabs>
      <w:spacing w:after="0" w:line="240" w:lineRule="auto"/>
      <w:ind w:left="0" w:firstLine="0"/>
      <w:jc w:val="left"/>
    </w:pPr>
    <w:rPr>
      <w:rFonts w:asciiTheme="minorHAnsi" w:eastAsiaTheme="minorEastAsia" w:hAnsiTheme="minorHAnsi" w:cs="Times New Roman"/>
      <w:color w:val="auto"/>
    </w:rPr>
  </w:style>
  <w:style w:type="character" w:customStyle="1" w:styleId="FooterChar">
    <w:name w:val="Footer Char"/>
    <w:basedOn w:val="DefaultParagraphFont"/>
    <w:link w:val="Footer"/>
    <w:uiPriority w:val="99"/>
    <w:rsid w:val="00F86D41"/>
    <w:rPr>
      <w:rFonts w:cs="Times New Roman"/>
    </w:rPr>
  </w:style>
  <w:style w:type="paragraph" w:styleId="FootnoteText">
    <w:name w:val="footnote text"/>
    <w:basedOn w:val="Normal"/>
    <w:link w:val="FootnoteTextChar"/>
    <w:uiPriority w:val="99"/>
    <w:semiHidden/>
    <w:unhideWhenUsed/>
    <w:rsid w:val="00F86D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6D41"/>
    <w:rPr>
      <w:rFonts w:ascii="Cambria" w:eastAsia="Cambria" w:hAnsi="Cambria" w:cs="Cambria"/>
      <w:color w:val="000000"/>
      <w:sz w:val="20"/>
      <w:szCs w:val="20"/>
    </w:rPr>
  </w:style>
  <w:style w:type="character" w:styleId="FootnoteReference">
    <w:name w:val="footnote reference"/>
    <w:basedOn w:val="DefaultParagraphFont"/>
    <w:uiPriority w:val="99"/>
    <w:semiHidden/>
    <w:unhideWhenUsed/>
    <w:rsid w:val="00F86D41"/>
    <w:rPr>
      <w:vertAlign w:val="superscript"/>
    </w:rPr>
  </w:style>
  <w:style w:type="character" w:styleId="Hyperlink">
    <w:name w:val="Hyperlink"/>
    <w:basedOn w:val="DefaultParagraphFont"/>
    <w:uiPriority w:val="99"/>
    <w:unhideWhenUsed/>
    <w:rsid w:val="00F86D41"/>
    <w:rPr>
      <w:color w:val="0563C1" w:themeColor="hyperlink"/>
      <w:u w:val="single"/>
    </w:rPr>
  </w:style>
  <w:style w:type="character" w:styleId="UnresolvedMention">
    <w:name w:val="Unresolved Mention"/>
    <w:basedOn w:val="DefaultParagraphFont"/>
    <w:uiPriority w:val="99"/>
    <w:semiHidden/>
    <w:unhideWhenUsed/>
    <w:rsid w:val="00F86D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mailto:rawatsa@mail.u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C37653FBFDB34DA291AE7806E480FB" ma:contentTypeVersion="14" ma:contentTypeDescription="Create a new document." ma:contentTypeScope="" ma:versionID="f94e6187d2db220b108a9f3f0e9620ab">
  <xsd:schema xmlns:xsd="http://www.w3.org/2001/XMLSchema" xmlns:xs="http://www.w3.org/2001/XMLSchema" xmlns:p="http://schemas.microsoft.com/office/2006/metadata/properties" xmlns:ns3="9772973a-2681-4778-b4c7-fa785e6ae870" xmlns:ns4="bb53d160-e9b7-42e4-9639-85c2eeb2a294" targetNamespace="http://schemas.microsoft.com/office/2006/metadata/properties" ma:root="true" ma:fieldsID="319ae0e8b2240766e8bd2072e6b672dc" ns3:_="" ns4:_="">
    <xsd:import namespace="9772973a-2681-4778-b4c7-fa785e6ae870"/>
    <xsd:import namespace="bb53d160-e9b7-42e4-9639-85c2eeb2a29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72973a-2681-4778-b4c7-fa785e6ae8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53d160-e9b7-42e4-9639-85c2eeb2a29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51236-4A3E-47DB-A25C-82EE0D4EBE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72973a-2681-4778-b4c7-fa785e6ae870"/>
    <ds:schemaRef ds:uri="bb53d160-e9b7-42e4-9639-85c2eeb2a2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6AF3BD-DBEC-418E-8DAA-AAC0CB5051E3}">
  <ds:schemaRefs>
    <ds:schemaRef ds:uri="http://schemas.microsoft.com/sharepoint/v3/contenttype/forms"/>
  </ds:schemaRefs>
</ds:datastoreItem>
</file>

<file path=customXml/itemProps3.xml><?xml version="1.0" encoding="utf-8"?>
<ds:datastoreItem xmlns:ds="http://schemas.openxmlformats.org/officeDocument/2006/customXml" ds:itemID="{3F21D2D9-57EA-4014-9EE6-E118DDE873BC}">
  <ds:schemaRefs>
    <ds:schemaRef ds:uri="http://purl.org/dc/terms/"/>
    <ds:schemaRef ds:uri="http://schemas.openxmlformats.org/package/2006/metadata/core-properties"/>
    <ds:schemaRef ds:uri="http://purl.org/dc/dcmitype/"/>
    <ds:schemaRef ds:uri="http://schemas.microsoft.com/office/infopath/2007/PartnerControls"/>
    <ds:schemaRef ds:uri="bb53d160-e9b7-42e4-9639-85c2eeb2a294"/>
    <ds:schemaRef ds:uri="http://purl.org/dc/elements/1.1/"/>
    <ds:schemaRef ds:uri="http://schemas.microsoft.com/office/2006/metadata/properties"/>
    <ds:schemaRef ds:uri="http://schemas.microsoft.com/office/2006/documentManagement/types"/>
    <ds:schemaRef ds:uri="9772973a-2681-4778-b4c7-fa785e6ae870"/>
    <ds:schemaRef ds:uri="http://www.w3.org/XML/1998/namespace"/>
  </ds:schemaRefs>
</ds:datastoreItem>
</file>

<file path=customXml/itemProps4.xml><?xml version="1.0" encoding="utf-8"?>
<ds:datastoreItem xmlns:ds="http://schemas.openxmlformats.org/officeDocument/2006/customXml" ds:itemID="{02841AF0-DFCA-4C8B-B0D7-15DABA40A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12</Pages>
  <Words>3196</Words>
  <Characters>18221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Impact of COVID-19 on jobs in Ohio's healthcare sector</vt:lpstr>
    </vt:vector>
  </TitlesOfParts>
  <Company>University of Cincinnati</Company>
  <LinksUpToDate>false</LinksUpToDate>
  <CharactersWithSpaces>21375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COVID-19 on jobs in Ohio's healthcare sector</dc:title>
  <dc:subject/>
  <dc:creator>Saani Rawat</dc:creator>
  <cp:keywords/>
  <cp:lastModifiedBy>Saani Rawat</cp:lastModifiedBy>
  <cp:revision>13</cp:revision>
  <cp:lastPrinted>2022-07-07T12:21:00Z</cp:lastPrinted>
  <dcterms:created xsi:type="dcterms:W3CDTF">2022-07-07T11:21:00Z</dcterms:created>
  <dcterms:modified xsi:type="dcterms:W3CDTF">2022-07-07T13:14:00Z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0x01010060C37653FBFDB34DA291AE7806E480FB</vt:lpwstr>
  </property>
</Properties>
</file>