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b/>
          <w:bCs/>
          <w:color w:val="C4623A"/>
          <w:sz w:val="20"/>
          <w:szCs w:val="20"/>
        </w:rPr>
        <w:t xml:space="preserve">DEMAND INTELLIGENCE REPORT</w:t>
      </w:r>
    </w:p>
    <w:p>
      <w:pPr>
        <w:pBdr>
          <w:bottom w:val="single" w:color="C4623A" w:sz="12" w:space="8"/>
        </w:pBdr>
        <w:spacing w:after="80" w:before="160"/>
      </w:pPr>
      <w:r>
        <w:rPr>
          <w:rFonts w:ascii="Arial" w:cs="Arial" w:eastAsia="Arial" w:hAnsi="Arial"/>
          <w:b/>
          <w:bCs/>
          <w:color w:val="1C1C1E"/>
          <w:sz w:val="56"/>
          <w:szCs w:val="56"/>
        </w:rPr>
        <w:t xml:space="preserve">Indian Skincare Demand Intelligence</w:t>
      </w:r>
    </w:p>
    <w:p>
      <w:pPr>
        <w:spacing w:after="80" w:before="200"/>
      </w:pPr>
      <w:r>
        <w:rPr>
          <w:rFonts w:ascii="Arial" w:cs="Arial" w:eastAsia="Arial" w:hAnsi="Arial"/>
          <w:i/>
          <w:iCs/>
          <w:color w:val="4B5563"/>
          <w:sz w:val="26"/>
          <w:szCs w:val="26"/>
        </w:rPr>
        <w:t xml:space="preserve">Mapping Consumer Search Signals to Brand Supply Across 8 Indian Skincare Brands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7F5F0" w:val="clear"/>
            <w:tcMar>
              <w:top w:type="dxa" w:w="80"/>
              <w:left w:type="dxa" w:w="120"/>
              <w:bottom w:type="dxa" w:w="80"/>
              <w:right w:type="dxa" w:w="120"/>
            </w:tcMar>
          </w:tcPr>
          <w:p>
            <w:r>
              <w:rPr>
                <w:rFonts w:ascii="Arial" w:cs="Arial" w:eastAsia="Arial" w:hAnsi="Arial"/>
                <w:b/>
                <w:bCs/>
                <w:color w:val="C4623A"/>
                <w:sz w:val="20"/>
                <w:szCs w:val="20"/>
              </w:rPr>
              <w:t xml:space="preserve">Author</w:t>
            </w:r>
          </w:p>
        </w:tc>
        <w:tc>
          <w:tcPr>
            <w:tcW w:type="dxa" w:w="7360"/>
            <w:tcBorders>
              <w:top w:val="single" w:color="E5E7EB" w:sz="1"/>
              <w:left w:val="single" w:color="E5E7EB" w:sz="1"/>
              <w:bottom w:val="single" w:color="E5E7EB" w:sz="1"/>
              <w:right w:val="single" w:color="E5E7EB" w:sz="1"/>
            </w:tcBorders>
            <w:shd w:fill="F7F5F0" w:val="clear"/>
            <w:tcMar>
              <w:top w:type="dxa" w:w="80"/>
              <w:left w:type="dxa" w:w="120"/>
              <w:bottom w:type="dxa" w:w="80"/>
              <w:right w:type="dxa" w:w="120"/>
            </w:tcMar>
          </w:tcPr>
          <w:p>
            <w:r>
              <w:rPr>
                <w:rFonts w:ascii="Arial" w:cs="Arial" w:eastAsia="Arial" w:hAnsi="Arial"/>
                <w:color w:val="1C1C1E"/>
                <w:sz w:val="20"/>
                <w:szCs w:val="20"/>
              </w:rPr>
              <w:t xml:space="preserve">Saanvi Bhaskar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C4623A"/>
                <w:sz w:val="20"/>
                <w:szCs w:val="20"/>
              </w:rPr>
              <w:t xml:space="preserve">Institution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Plaksha University — B.Tech CS/AI, Year 2</w:t>
            </w:r>
          </w:p>
        </w:tc>
      </w:tr>
      <w:tr>
        <w:tc>
          <w:tcPr>
            <w:tcW w:type="dxa" w:w="2000"/>
            <w:tcBorders>
              <w:top w:val="single" w:color="E5E7EB" w:sz="1"/>
              <w:left w:val="single" w:color="E5E7EB" w:sz="1"/>
              <w:bottom w:val="single" w:color="E5E7EB" w:sz="1"/>
              <w:right w:val="single" w:color="E5E7EB" w:sz="1"/>
            </w:tcBorders>
            <w:shd w:fill="F7F5F0" w:val="clear"/>
            <w:tcMar>
              <w:top w:type="dxa" w:w="80"/>
              <w:left w:type="dxa" w:w="120"/>
              <w:bottom w:type="dxa" w:w="80"/>
              <w:right w:type="dxa" w:w="120"/>
            </w:tcMar>
          </w:tcPr>
          <w:p>
            <w:r>
              <w:rPr>
                <w:rFonts w:ascii="Arial" w:cs="Arial" w:eastAsia="Arial" w:hAnsi="Arial"/>
                <w:b/>
                <w:bCs/>
                <w:color w:val="C4623A"/>
                <w:sz w:val="20"/>
                <w:szCs w:val="20"/>
              </w:rPr>
              <w:t xml:space="preserve">Date</w:t>
            </w:r>
          </w:p>
        </w:tc>
        <w:tc>
          <w:tcPr>
            <w:tcW w:type="dxa" w:w="7360"/>
            <w:tcBorders>
              <w:top w:val="single" w:color="E5E7EB" w:sz="1"/>
              <w:left w:val="single" w:color="E5E7EB" w:sz="1"/>
              <w:bottom w:val="single" w:color="E5E7EB" w:sz="1"/>
              <w:right w:val="single" w:color="E5E7EB" w:sz="1"/>
            </w:tcBorders>
            <w:shd w:fill="F7F5F0" w:val="clear"/>
            <w:tcMar>
              <w:top w:type="dxa" w:w="80"/>
              <w:left w:type="dxa" w:w="120"/>
              <w:bottom w:type="dxa" w:w="80"/>
              <w:right w:type="dxa" w:w="120"/>
            </w:tcMar>
          </w:tcPr>
          <w:p>
            <w:r>
              <w:rPr>
                <w:rFonts w:ascii="Arial" w:cs="Arial" w:eastAsia="Arial" w:hAnsi="Arial"/>
                <w:color w:val="1C1C1E"/>
                <w:sz w:val="20"/>
                <w:szCs w:val="20"/>
              </w:rPr>
              <w:t xml:space="preserve">June 2026</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C4623A"/>
                <w:sz w:val="20"/>
                <w:szCs w:val="20"/>
              </w:rPr>
              <w:t xml:space="preserve">Data Period</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July 2021 – June 2026 (5 years)</w:t>
            </w:r>
          </w:p>
        </w:tc>
      </w:tr>
      <w:tr>
        <w:tc>
          <w:tcPr>
            <w:tcW w:type="dxa" w:w="2000"/>
            <w:tcBorders>
              <w:top w:val="single" w:color="E5E7EB" w:sz="1"/>
              <w:left w:val="single" w:color="E5E7EB" w:sz="1"/>
              <w:bottom w:val="single" w:color="E5E7EB" w:sz="1"/>
              <w:right w:val="single" w:color="E5E7EB" w:sz="1"/>
            </w:tcBorders>
            <w:shd w:fill="F7F5F0" w:val="clear"/>
            <w:tcMar>
              <w:top w:type="dxa" w:w="80"/>
              <w:left w:type="dxa" w:w="120"/>
              <w:bottom w:type="dxa" w:w="80"/>
              <w:right w:type="dxa" w:w="120"/>
            </w:tcMar>
          </w:tcPr>
          <w:p>
            <w:r>
              <w:rPr>
                <w:rFonts w:ascii="Arial" w:cs="Arial" w:eastAsia="Arial" w:hAnsi="Arial"/>
                <w:b/>
                <w:bCs/>
                <w:color w:val="C4623A"/>
                <w:sz w:val="20"/>
                <w:szCs w:val="20"/>
              </w:rPr>
              <w:t xml:space="preserve">Brands Covered</w:t>
            </w:r>
          </w:p>
        </w:tc>
        <w:tc>
          <w:tcPr>
            <w:tcW w:type="dxa" w:w="7360"/>
            <w:tcBorders>
              <w:top w:val="single" w:color="E5E7EB" w:sz="1"/>
              <w:left w:val="single" w:color="E5E7EB" w:sz="1"/>
              <w:bottom w:val="single" w:color="E5E7EB" w:sz="1"/>
              <w:right w:val="single" w:color="E5E7EB" w:sz="1"/>
            </w:tcBorders>
            <w:shd w:fill="F7F5F0" w:val="clear"/>
            <w:tcMar>
              <w:top w:type="dxa" w:w="80"/>
              <w:left w:type="dxa" w:w="120"/>
              <w:bottom w:type="dxa" w:w="80"/>
              <w:right w:type="dxa" w:w="120"/>
            </w:tcMar>
          </w:tcPr>
          <w:p>
            <w:r>
              <w:rPr>
                <w:rFonts w:ascii="Arial" w:cs="Arial" w:eastAsia="Arial" w:hAnsi="Arial"/>
                <w:color w:val="1C1C1E"/>
                <w:sz w:val="20"/>
                <w:szCs w:val="20"/>
              </w:rPr>
              <w:t xml:space="preserve">8 brands across 3 competitive tiers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C4623A"/>
                <w:sz w:val="20"/>
                <w:szCs w:val="20"/>
              </w:rPr>
              <w:t xml:space="preserve">Data Sources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Google Trends (29 search terms) + Nykaa (265 SKUs)</w:t>
            </w:r>
          </w:p>
        </w:tc>
      </w:tr>
    </w:tbl>
    <w:p>
      <w:pPr>
        <w:spacing w:after="80" w:before="80"/>
      </w:pPr>
      <w:r>
        <w:t xml:space="preserve"/>
      </w:r>
    </w:p>
    <w:p>
      <w:r>
        <w:br w:type="page"/>
      </w:r>
    </w:p>
    <w:p>
      <w:pPr>
        <w:pBdr>
          <w:bottom w:val="single" w:color="C4623A" w:sz="8" w:space="6"/>
        </w:pBdr>
        <w:spacing w:after="160" w:before="400"/>
      </w:pPr>
      <w:r>
        <w:rPr>
          <w:rFonts w:ascii="Arial" w:cs="Arial" w:eastAsia="Arial" w:hAnsi="Arial"/>
          <w:b/>
          <w:bCs/>
          <w:color w:val="C4623A"/>
          <w:sz w:val="34"/>
          <w:szCs w:val="34"/>
        </w:rPr>
        <w:t xml:space="preserve">1. Executive Summary</w:t>
      </w:r>
    </w:p>
    <w:p>
      <w:pPr>
        <w:spacing w:after="80" w:before="80"/>
      </w:pPr>
      <w:r>
        <w:rPr>
          <w:rFonts w:ascii="Arial" w:cs="Arial" w:eastAsia="Arial" w:hAnsi="Arial"/>
          <w:color w:val="1C1C1E"/>
          <w:sz w:val="22"/>
          <w:szCs w:val="22"/>
        </w:rPr>
        <w:t xml:space="preserve">The Indian skincare market is undergoing a structural transformation — one that search data captures months before it appears in sales figures. This report maps five years of consumer search behavior across 29 terms (ingredients, product types, skin concerns, and brand searches) against supply-side data from Nykaa covering 265 SKUs across 8 brands.</w:t>
      </w:r>
    </w:p>
    <w:p>
      <w:pPr>
        <w:spacing w:after="80" w:before="80"/>
      </w:pPr>
      <w:r>
        <w:t xml:space="preserve"/>
      </w:r>
    </w:p>
    <w:p>
      <w:pPr>
        <w:spacing w:after="80" w:before="80"/>
      </w:pPr>
      <w:r>
        <w:rPr>
          <w:rFonts w:ascii="Arial" w:cs="Arial" w:eastAsia="Arial" w:hAnsi="Arial"/>
          <w:color w:val="1C1C1E"/>
          <w:sz w:val="22"/>
          <w:szCs w:val="22"/>
        </w:rPr>
        <w:t xml:space="preserve">Three findings define this moment in Indian skincare:</w:t>
      </w:r>
    </w:p>
    <w:p>
      <w:pPr>
        <w:spacing w:after="80" w:before="80"/>
      </w:pPr>
      <w:r>
        <w:t xml:space="preserve"/>
      </w:r>
    </w:p>
    <w:p>
      <w:pPr>
        <w:pStyle w:val="ListParagraph"/>
        <w:numPr>
          <w:ilvl w:val="0"/>
          <w:numId w:val="2"/>
        </w:numPr>
        <w:spacing w:after="60" w:before="60"/>
      </w:pPr>
      <w:r>
        <w:rPr>
          <w:rFonts w:ascii="Arial" w:cs="Arial" w:eastAsia="Arial" w:hAnsi="Arial"/>
          <w:b/>
          <w:bCs/>
          <w:color w:val="1C1C1E"/>
          <w:sz w:val="22"/>
          <w:szCs w:val="22"/>
        </w:rPr>
        <w:t xml:space="preserve">Indian consumers are converging on hyperpigmentation as their primary skincare concern, and are becoming rapidly ingredient-literate about how to address it — driving explosive search growth for niacinamide (+308%) and kojic acid (+391%).</w:t>
      </w:r>
    </w:p>
    <w:p>
      <w:pPr>
        <w:pStyle w:val="ListParagraph"/>
        <w:numPr>
          <w:ilvl w:val="0"/>
          <w:numId w:val="2"/>
        </w:numPr>
        <w:spacing w:after="60" w:before="60"/>
      </w:pPr>
      <w:r>
        <w:rPr>
          <w:rFonts w:ascii="Arial" w:cs="Arial" w:eastAsia="Arial" w:hAnsi="Arial"/>
          <w:b/>
          <w:bCs/>
          <w:color w:val="1C1C1E"/>
          <w:sz w:val="22"/>
          <w:szCs w:val="22"/>
        </w:rPr>
        <w:t xml:space="preserve">Legacy brands are losing consumer mindshare at an accelerating rate — Lakme (-34%) and Himalaya (-85%) — while D2C brands built on digital discovery and ingredient education are growing 300–1,300%.</w:t>
      </w:r>
    </w:p>
    <w:p>
      <w:pPr>
        <w:pStyle w:val="ListParagraph"/>
        <w:numPr>
          <w:ilvl w:val="0"/>
          <w:numId w:val="2"/>
        </w:numPr>
        <w:spacing w:after="60" w:before="60"/>
      </w:pPr>
      <w:r>
        <w:rPr>
          <w:rFonts w:ascii="Arial" w:cs="Arial" w:eastAsia="Arial" w:hAnsi="Arial"/>
          <w:b/>
          <w:bCs/>
          <w:color w:val="1C1C1E"/>
          <w:sz w:val="22"/>
          <w:szCs w:val="22"/>
        </w:rPr>
        <w:t xml:space="preserve">Price is no longer the differentiator. D2C brands price within 10–25% of legacy brands, yet are winning disproportionately on search growth and consumer engagement — signaling a fundamental shift from brand heritage to ingredient transparency as the primary purchase driver.</w:t>
      </w:r>
    </w:p>
    <w:p>
      <w:pPr>
        <w:spacing w:after="80" w:before="80"/>
      </w:pPr>
      <w:r>
        <w:t xml:space="preserve"/>
      </w:r>
    </w:p>
    <w:p>
      <w:r>
        <w:br w:type="page"/>
      </w:r>
    </w:p>
    <w:p>
      <w:pPr>
        <w:pBdr>
          <w:bottom w:val="single" w:color="C4623A" w:sz="8" w:space="6"/>
        </w:pBdr>
        <w:spacing w:after="160" w:before="400"/>
      </w:pPr>
      <w:r>
        <w:rPr>
          <w:rFonts w:ascii="Arial" w:cs="Arial" w:eastAsia="Arial" w:hAnsi="Arial"/>
          <w:b/>
          <w:bCs/>
          <w:color w:val="C4623A"/>
          <w:sz w:val="34"/>
          <w:szCs w:val="34"/>
        </w:rPr>
        <w:t xml:space="preserve">2. Methodology</w:t>
      </w:r>
    </w:p>
    <w:p>
      <w:pPr>
        <w:spacing w:after="120" w:before="300"/>
      </w:pPr>
      <w:r>
        <w:rPr>
          <w:rFonts w:ascii="Arial" w:cs="Arial" w:eastAsia="Arial" w:hAnsi="Arial"/>
          <w:b/>
          <w:bCs/>
          <w:color w:val="1C1C1E"/>
          <w:sz w:val="26"/>
          <w:szCs w:val="26"/>
        </w:rPr>
        <w:t xml:space="preserve">2.1 Data Sources</w:t>
      </w:r>
    </w:p>
    <w:p>
      <w:pPr>
        <w:spacing w:after="80" w:before="80"/>
      </w:pPr>
      <w:r>
        <w:rPr>
          <w:rFonts w:ascii="Arial" w:cs="Arial" w:eastAsia="Arial" w:hAnsi="Arial"/>
          <w:color w:val="1C1C1E"/>
          <w:sz w:val="22"/>
          <w:szCs w:val="22"/>
        </w:rPr>
        <w:t xml:space="preserve">This analysis draws on two primary data sources:</w:t>
      </w:r>
    </w:p>
    <w:p>
      <w:pPr>
        <w:spacing w:after="80" w:before="80"/>
      </w:pPr>
      <w:r>
        <w:t xml:space="preserve"/>
      </w:r>
    </w:p>
    <w:p>
      <w:pPr>
        <w:spacing w:after="80" w:before="200"/>
      </w:pPr>
      <w:r>
        <w:rPr>
          <w:rFonts w:ascii="Arial" w:cs="Arial" w:eastAsia="Arial" w:hAnsi="Arial"/>
          <w:b/>
          <w:bCs/>
          <w:color w:val="C4623A"/>
          <w:sz w:val="22"/>
          <w:szCs w:val="22"/>
        </w:rPr>
        <w:t xml:space="preserve">Google Trends (Demand Layer)</w:t>
      </w:r>
    </w:p>
    <w:p>
      <w:pPr>
        <w:pStyle w:val="ListParagraph"/>
        <w:numPr>
          <w:ilvl w:val="0"/>
          <w:numId w:val="2"/>
        </w:numPr>
        <w:spacing w:after="60" w:before="60"/>
      </w:pPr>
      <w:r>
        <w:rPr>
          <w:rFonts w:ascii="Arial" w:cs="Arial" w:eastAsia="Arial" w:hAnsi="Arial"/>
          <w:b w:val="false"/>
          <w:bCs w:val="false"/>
          <w:color w:val="1C1C1E"/>
          <w:sz w:val="22"/>
          <w:szCs w:val="22"/>
        </w:rPr>
        <w:t xml:space="preserve">29 search terms across 4 buckets: ingredients (9), product types (8), skin concerns (5), brand searches (8)</w:t>
      </w:r>
    </w:p>
    <w:p>
      <w:pPr>
        <w:pStyle w:val="ListParagraph"/>
        <w:numPr>
          <w:ilvl w:val="0"/>
          <w:numId w:val="2"/>
        </w:numPr>
        <w:spacing w:after="60" w:before="60"/>
      </w:pPr>
      <w:r>
        <w:rPr>
          <w:rFonts w:ascii="Arial" w:cs="Arial" w:eastAsia="Arial" w:hAnsi="Arial"/>
          <w:b w:val="false"/>
          <w:bCs w:val="false"/>
          <w:color w:val="1C1C1E"/>
          <w:sz w:val="22"/>
          <w:szCs w:val="22"/>
        </w:rPr>
        <w:t xml:space="preserve">Geography: India only</w:t>
      </w:r>
    </w:p>
    <w:p>
      <w:pPr>
        <w:pStyle w:val="ListParagraph"/>
        <w:numPr>
          <w:ilvl w:val="0"/>
          <w:numId w:val="2"/>
        </w:numPr>
        <w:spacing w:after="60" w:before="60"/>
      </w:pPr>
      <w:r>
        <w:rPr>
          <w:rFonts w:ascii="Arial" w:cs="Arial" w:eastAsia="Arial" w:hAnsi="Arial"/>
          <w:b w:val="false"/>
          <w:bCs w:val="false"/>
          <w:color w:val="1C1C1E"/>
          <w:sz w:val="22"/>
          <w:szCs w:val="22"/>
        </w:rPr>
        <w:t xml:space="preserve">Time period: July 2021 – June 2026 (61 monthly data points)</w:t>
      </w:r>
    </w:p>
    <w:p>
      <w:pPr>
        <w:pStyle w:val="ListParagraph"/>
        <w:numPr>
          <w:ilvl w:val="0"/>
          <w:numId w:val="2"/>
        </w:numPr>
        <w:spacing w:after="60" w:before="60"/>
      </w:pPr>
      <w:r>
        <w:rPr>
          <w:rFonts w:ascii="Arial" w:cs="Arial" w:eastAsia="Arial" w:hAnsi="Arial"/>
          <w:b w:val="false"/>
          <w:bCs w:val="false"/>
          <w:color w:val="1C1C1E"/>
          <w:sz w:val="22"/>
          <w:szCs w:val="22"/>
        </w:rPr>
        <w:t xml:space="preserve">Normalisation: All batches normalised against Vitamin C as anchor term, selected on the basis of lowest coefficient of variation (CV = 0.15) among candidate terms — indicating high stability over time — and a mid-range mean value of 36, ensuring it would not compress the scale for other terms</w:t>
      </w:r>
    </w:p>
    <w:p>
      <w:pPr>
        <w:spacing w:after="80" w:before="80"/>
      </w:pPr>
      <w:r>
        <w:t xml:space="preserve"/>
      </w:r>
    </w:p>
    <w:p>
      <w:pPr>
        <w:spacing w:after="80" w:before="200"/>
      </w:pPr>
      <w:r>
        <w:rPr>
          <w:rFonts w:ascii="Arial" w:cs="Arial" w:eastAsia="Arial" w:hAnsi="Arial"/>
          <w:b/>
          <w:bCs/>
          <w:color w:val="C4623A"/>
          <w:sz w:val="22"/>
          <w:szCs w:val="22"/>
        </w:rPr>
        <w:t xml:space="preserve">Nykaa Supply Data</w:t>
      </w:r>
    </w:p>
    <w:p>
      <w:pPr>
        <w:pStyle w:val="ListParagraph"/>
        <w:numPr>
          <w:ilvl w:val="0"/>
          <w:numId w:val="2"/>
        </w:numPr>
        <w:spacing w:after="60" w:before="60"/>
      </w:pPr>
      <w:r>
        <w:rPr>
          <w:rFonts w:ascii="Arial" w:cs="Arial" w:eastAsia="Arial" w:hAnsi="Arial"/>
          <w:b w:val="false"/>
          <w:bCs w:val="false"/>
          <w:color w:val="1C1C1E"/>
          <w:sz w:val="22"/>
          <w:szCs w:val="22"/>
        </w:rPr>
        <w:t xml:space="preserve">8 brands across 4 product categories: face wash, sunscreen, toner, face serum</w:t>
      </w:r>
    </w:p>
    <w:p>
      <w:pPr>
        <w:pStyle w:val="ListParagraph"/>
        <w:numPr>
          <w:ilvl w:val="0"/>
          <w:numId w:val="2"/>
        </w:numPr>
        <w:spacing w:after="60" w:before="60"/>
      </w:pPr>
      <w:r>
        <w:rPr>
          <w:rFonts w:ascii="Arial" w:cs="Arial" w:eastAsia="Arial" w:hAnsi="Arial"/>
          <w:b w:val="false"/>
          <w:bCs w:val="false"/>
          <w:color w:val="1C1C1E"/>
          <w:sz w:val="22"/>
          <w:szCs w:val="22"/>
        </w:rPr>
        <w:t xml:space="preserve">Data points: SKU count, price range, bestseller price, average rating, review volume</w:t>
      </w:r>
    </w:p>
    <w:p>
      <w:pPr>
        <w:pStyle w:val="ListParagraph"/>
        <w:numPr>
          <w:ilvl w:val="0"/>
          <w:numId w:val="2"/>
        </w:numPr>
        <w:spacing w:after="60" w:before="60"/>
      </w:pPr>
      <w:r>
        <w:rPr>
          <w:rFonts w:ascii="Arial" w:cs="Arial" w:eastAsia="Arial" w:hAnsi="Arial"/>
          <w:b w:val="false"/>
          <w:bCs w:val="false"/>
          <w:color w:val="1C1C1E"/>
          <w:sz w:val="22"/>
          <w:szCs w:val="22"/>
        </w:rPr>
        <w:t xml:space="preserve">Categories selected based on highest normalised search volume from Google Trends data</w:t>
      </w:r>
    </w:p>
    <w:p>
      <w:pPr>
        <w:pStyle w:val="ListParagraph"/>
        <w:numPr>
          <w:ilvl w:val="0"/>
          <w:numId w:val="2"/>
        </w:numPr>
        <w:spacing w:after="60" w:before="60"/>
      </w:pPr>
      <w:r>
        <w:rPr>
          <w:rFonts w:ascii="Arial" w:cs="Arial" w:eastAsia="Arial" w:hAnsi="Arial"/>
          <w:b w:val="false"/>
          <w:bCs w:val="false"/>
          <w:color w:val="1C1C1E"/>
          <w:sz w:val="22"/>
          <w:szCs w:val="22"/>
        </w:rPr>
        <w:t xml:space="preserve">Size variants counted as separate SKUs to capture portfolio accessibility signals</w:t>
      </w:r>
    </w:p>
    <w:p>
      <w:pPr>
        <w:pStyle w:val="ListParagraph"/>
        <w:numPr>
          <w:ilvl w:val="0"/>
          <w:numId w:val="2"/>
        </w:numPr>
        <w:spacing w:after="60" w:before="60"/>
      </w:pPr>
      <w:r>
        <w:rPr>
          <w:rFonts w:ascii="Arial" w:cs="Arial" w:eastAsia="Arial" w:hAnsi="Arial"/>
          <w:b w:val="false"/>
          <w:bCs w:val="false"/>
          <w:color w:val="1C1C1E"/>
          <w:sz w:val="22"/>
          <w:szCs w:val="22"/>
        </w:rPr>
        <w:t xml:space="preserve">Products with fewer than 5 reviews excluded from rating averages</w:t>
      </w:r>
    </w:p>
    <w:p>
      <w:pPr>
        <w:spacing w:after="80" w:before="80"/>
      </w:pPr>
      <w:r>
        <w:t xml:space="preserve"/>
      </w:r>
    </w:p>
    <w:p>
      <w:pPr>
        <w:spacing w:after="120" w:before="300"/>
      </w:pPr>
      <w:r>
        <w:rPr>
          <w:rFonts w:ascii="Arial" w:cs="Arial" w:eastAsia="Arial" w:hAnsi="Arial"/>
          <w:b/>
          <w:bCs/>
          <w:color w:val="1C1C1E"/>
          <w:sz w:val="26"/>
          <w:szCs w:val="26"/>
        </w:rPr>
        <w:t xml:space="preserve">2.2 Brand Selection</w:t>
      </w:r>
    </w:p>
    <w:p>
      <w:pPr>
        <w:spacing w:after="80" w:before="80"/>
      </w:pPr>
      <w:r>
        <w:rPr>
          <w:rFonts w:ascii="Arial" w:cs="Arial" w:eastAsia="Arial" w:hAnsi="Arial"/>
          <w:color w:val="1C1C1E"/>
          <w:sz w:val="22"/>
          <w:szCs w:val="22"/>
        </w:rPr>
        <w:t xml:space="preserve">Eight brands were selected to represent three competitive tiers, ensuring cross-tier comparisons are meaningful: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E5E7EB" w:sz="1"/>
              <w:left w:val="single" w:color="E5E7EB" w:sz="1"/>
              <w:bottom w:val="single" w:color="E5E7EB" w:sz="1"/>
              <w:right w:val="single" w:color="E5E7EB" w:sz="1"/>
            </w:tcBorders>
            <w:shd w:fill="1C1C1E" w:val="clear"/>
            <w:tcMar>
              <w:top w:type="dxa" w:w="100"/>
              <w:left w:type="dxa" w:w="140"/>
              <w:bottom w:type="dxa" w:w="100"/>
              <w:right w:type="dxa" w:w="140"/>
            </w:tcMar>
          </w:tcPr>
          <w:p>
            <w:r>
              <w:rPr>
                <w:rFonts w:ascii="Arial" w:cs="Arial" w:eastAsia="Arial" w:hAnsi="Arial"/>
                <w:b/>
                <w:bCs/>
                <w:color w:val="FFFFFF"/>
                <w:sz w:val="20"/>
                <w:szCs w:val="20"/>
              </w:rPr>
              <w:t xml:space="preserve">Brand</w:t>
            </w:r>
          </w:p>
        </w:tc>
        <w:tc>
          <w:tcPr>
            <w:tcW w:type="dxa" w:w="2400"/>
            <w:tcBorders>
              <w:top w:val="single" w:color="E5E7EB" w:sz="1"/>
              <w:left w:val="single" w:color="E5E7EB" w:sz="1"/>
              <w:bottom w:val="single" w:color="E5E7EB" w:sz="1"/>
              <w:right w:val="single" w:color="E5E7EB" w:sz="1"/>
            </w:tcBorders>
            <w:shd w:fill="1C1C1E"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4760"/>
            <w:tcBorders>
              <w:top w:val="single" w:color="E5E7EB" w:sz="1"/>
              <w:left w:val="single" w:color="E5E7EB" w:sz="1"/>
              <w:bottom w:val="single" w:color="E5E7EB" w:sz="1"/>
              <w:right w:val="single" w:color="E5E7EB" w:sz="1"/>
            </w:tcBorders>
            <w:shd w:fill="1C1C1E"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Minimalist</w:t>
            </w:r>
          </w:p>
        </w:tc>
        <w:tc>
          <w:tcPr>
            <w:tcW w:type="dxa" w:w="24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Ingredient-led D2C</w:t>
            </w:r>
          </w:p>
        </w:tc>
        <w:tc>
          <w:tcPr>
            <w:tcW w:type="dxa" w:w="476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Category leader in actives; sets ingredient trends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Foxtale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Ingredient-led D2C</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Fastest-growing challenger; entirely search-driven growth</w:t>
            </w:r>
          </w:p>
        </w:tc>
      </w:tr>
      <w:tr>
        <w:tc>
          <w:tcPr>
            <w:tcW w:type="dxa" w:w="22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Dot &amp; Key</w:t>
            </w:r>
          </w:p>
        </w:tc>
        <w:tc>
          <w:tcPr>
            <w:tcW w:type="dxa" w:w="24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Broad mid-tier D2C</w:t>
            </w:r>
          </w:p>
        </w:tc>
        <w:tc>
          <w:tcPr>
            <w:tcW w:type="dxa" w:w="476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Widest product range; strong sunscreen and vitamin C play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Plum</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Broad mid-tier D2C</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Clean beauty positioning; most balanced portfolio across categories</w:t>
            </w:r>
          </w:p>
        </w:tc>
      </w:tr>
      <w:tr>
        <w:tc>
          <w:tcPr>
            <w:tcW w:type="dxa" w:w="22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Pilgrim</w:t>
            </w:r>
          </w:p>
        </w:tc>
        <w:tc>
          <w:tcPr>
            <w:tcW w:type="dxa" w:w="24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Broad mid-tier D2C</w:t>
            </w:r>
          </w:p>
        </w:tc>
        <w:tc>
          <w:tcPr>
            <w:tcW w:type="dxa" w:w="476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Global ingredients angle; performance-marketing driven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Lakme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Legacy mass market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Largest legacy brand; broadest offline distribution</w:t>
            </w:r>
          </w:p>
        </w:tc>
      </w:tr>
      <w:tr>
        <w:tc>
          <w:tcPr>
            <w:tcW w:type="dxa" w:w="22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Himalaya</w:t>
            </w:r>
          </w:p>
        </w:tc>
        <w:tc>
          <w:tcPr>
            <w:tcW w:type="dxa" w:w="24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Legacy mass market</w:t>
            </w:r>
          </w:p>
        </w:tc>
        <w:tc>
          <w:tcPr>
            <w:tcW w:type="dxa" w:w="476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Herbal legacy brand; dominant in face wash, minimal elsewhere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Cetaphil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International</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Dermatologist-recommendation driven; separate purchase logic</w:t>
            </w:r>
          </w:p>
        </w:tc>
      </w:tr>
    </w:tbl>
    <w:p>
      <w:pPr>
        <w:spacing w:after="80" w:before="80"/>
      </w:pPr>
      <w:r>
        <w:t xml:space="preserve"/>
      </w:r>
    </w:p>
    <w:p>
      <w:r>
        <w:br w:type="page"/>
      </w:r>
    </w:p>
    <w:p>
      <w:pPr>
        <w:pBdr>
          <w:bottom w:val="single" w:color="C4623A" w:sz="8" w:space="6"/>
        </w:pBdr>
        <w:spacing w:after="160" w:before="400"/>
      </w:pPr>
      <w:r>
        <w:rPr>
          <w:rFonts w:ascii="Arial" w:cs="Arial" w:eastAsia="Arial" w:hAnsi="Arial"/>
          <w:b/>
          <w:bCs/>
          <w:color w:val="C4623A"/>
          <w:sz w:val="34"/>
          <w:szCs w:val="34"/>
        </w:rPr>
        <w:t xml:space="preserve">3. Category Overview</w:t>
      </w:r>
    </w:p>
    <w:p>
      <w:pPr>
        <w:spacing w:after="80" w:before="80"/>
      </w:pPr>
      <w:r>
        <w:rPr>
          <w:rFonts w:ascii="Arial" w:cs="Arial" w:eastAsia="Arial" w:hAnsi="Arial"/>
          <w:color w:val="1C1C1E"/>
          <w:sz w:val="22"/>
          <w:szCs w:val="22"/>
        </w:rPr>
        <w:t xml:space="preserve">Indian skincare is experiencing a demand shift unlike any seen in the category's history. The driver is not a product innovation or a macro trend — it is a change in how Indian consumers discover, evaluate, and purchase skincare products.</w:t>
      </w:r>
    </w:p>
    <w:p>
      <w:pPr>
        <w:spacing w:after="80" w:before="80"/>
      </w:pPr>
      <w:r>
        <w:t xml:space="preserve"/>
      </w:r>
    </w:p>
    <w:p>
      <w:pPr>
        <w:spacing w:after="80" w:before="80"/>
      </w:pPr>
      <w:r>
        <w:rPr>
          <w:rFonts w:ascii="Arial" w:cs="Arial" w:eastAsia="Arial" w:hAnsi="Arial"/>
          <w:color w:val="1C1C1E"/>
          <w:sz w:val="22"/>
          <w:szCs w:val="22"/>
        </w:rPr>
        <w:t xml:space="preserve">The shift has three dimensions:</w:t>
      </w:r>
    </w:p>
    <w:p>
      <w:pPr>
        <w:spacing w:after="80" w:before="80"/>
      </w:pPr>
      <w:r>
        <w:t xml:space="preserve"/>
      </w:r>
    </w:p>
    <w:p>
      <w:pPr>
        <w:spacing w:after="80" w:before="200"/>
      </w:pPr>
      <w:r>
        <w:rPr>
          <w:rFonts w:ascii="Arial" w:cs="Arial" w:eastAsia="Arial" w:hAnsi="Arial"/>
          <w:b/>
          <w:bCs/>
          <w:color w:val="C4623A"/>
          <w:sz w:val="22"/>
          <w:szCs w:val="22"/>
        </w:rPr>
        <w:t xml:space="preserve">From brand-first to ingredient-first discovery</w:t>
      </w:r>
    </w:p>
    <w:p>
      <w:pPr>
        <w:spacing w:after="80" w:before="80"/>
      </w:pPr>
      <w:r>
        <w:rPr>
          <w:rFonts w:ascii="Arial" w:cs="Arial" w:eastAsia="Arial" w:hAnsi="Arial"/>
          <w:color w:val="1C1C1E"/>
          <w:sz w:val="22"/>
          <w:szCs w:val="22"/>
        </w:rPr>
        <w:t xml:space="preserve">Five years ago, Indian consumers searched for 'Lakme moisturiser' or 'Pond's face wash.' Today, they search for 'niacinamide serum' or 'kojic acid for dark spots' — and then find the brand that offers the best version of that ingredient. Search has become the primary discovery channel, and ingredient education has replaced brand advertising as the dominant purchase influence.</w:t>
      </w:r>
    </w:p>
    <w:p>
      <w:pPr>
        <w:spacing w:after="80" w:before="80"/>
      </w:pPr>
      <w:r>
        <w:t xml:space="preserve"/>
      </w:r>
    </w:p>
    <w:p>
      <w:pPr>
        <w:spacing w:after="80" w:before="200"/>
      </w:pPr>
      <w:r>
        <w:rPr>
          <w:rFonts w:ascii="Arial" w:cs="Arial" w:eastAsia="Arial" w:hAnsi="Arial"/>
          <w:b/>
          <w:bCs/>
          <w:color w:val="C4623A"/>
          <w:sz w:val="22"/>
          <w:szCs w:val="22"/>
        </w:rPr>
        <w:t xml:space="preserve">From generic brightening to specific actives</w:t>
      </w:r>
    </w:p>
    <w:p>
      <w:pPr>
        <w:spacing w:after="80" w:before="80"/>
      </w:pPr>
      <w:r>
        <w:rPr>
          <w:rFonts w:ascii="Arial" w:cs="Arial" w:eastAsia="Arial" w:hAnsi="Arial"/>
          <w:color w:val="1C1C1E"/>
          <w:sz w:val="22"/>
          <w:szCs w:val="22"/>
        </w:rPr>
        <w:t xml:space="preserve">Vitamin C remains the highest-volume ingredient search in India (mean index: 100), but its growth rate is only 49% over five years — it is maturing. In contrast, niacinamide (+308%) and kojic acid (+391%) are growing at category-disrupting rates. Both target hyperpigmentation specifically — the dominant skin concern in India — and both are associated with clinical efficacy rather than mass-market positioning.</w:t>
      </w:r>
    </w:p>
    <w:p>
      <w:pPr>
        <w:spacing w:after="80" w:before="80"/>
      </w:pPr>
      <w:r>
        <w:t xml:space="preserve"/>
      </w:r>
    </w:p>
    <w:p>
      <w:pPr>
        <w:spacing w:after="80" w:before="200"/>
      </w:pPr>
      <w:r>
        <w:rPr>
          <w:rFonts w:ascii="Arial" w:cs="Arial" w:eastAsia="Arial" w:hAnsi="Arial"/>
          <w:b/>
          <w:bCs/>
          <w:color w:val="C4623A"/>
          <w:sz w:val="22"/>
          <w:szCs w:val="22"/>
        </w:rPr>
        <w:t xml:space="preserve">From offline shelf to online search</w:t>
      </w:r>
    </w:p>
    <w:p>
      <w:pPr>
        <w:spacing w:after="80" w:before="80"/>
      </w:pPr>
      <w:r>
        <w:rPr>
          <w:rFonts w:ascii="Arial" w:cs="Arial" w:eastAsia="Arial" w:hAnsi="Arial"/>
          <w:color w:val="1C1C1E"/>
          <w:sz w:val="22"/>
          <w:szCs w:val="22"/>
        </w:rPr>
        <w:t xml:space="preserve">Lakme and Himalaya built dominance through retail distribution — being on every shelf in every city. That advantage is eroding. Consumer attention has moved online, and search volume is the new proxy for brand health. A brand that is shrinking in search is shrinking in relevance, regardless of how many SKUs it has on a shelf.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C4623A" w:sz="16"/>
              <w:bottom w:val="single" w:color="E5E7EB" w:sz="1"/>
              <w:right w:val="single" w:color="E5E7EB" w:sz="1"/>
            </w:tcBorders>
            <w:shd w:fill="FEF0E8" w:val="clear"/>
            <w:tcMar>
              <w:top w:type="dxa" w:w="120"/>
              <w:left w:type="dxa" w:w="200"/>
              <w:bottom w:type="dxa" w:w="120"/>
              <w:right w:type="dxa" w:w="200"/>
            </w:tcMar>
          </w:tcPr>
          <w:p>
            <w:pPr>
              <w:spacing w:after="60" w:before="0"/>
            </w:pPr>
            <w:r>
              <w:rPr>
                <w:rFonts w:ascii="Arial" w:cs="Arial" w:eastAsia="Arial" w:hAnsi="Arial"/>
                <w:b/>
                <w:bCs/>
                <w:color w:val="C4623A"/>
                <w:sz w:val="20"/>
                <w:szCs w:val="20"/>
              </w:rPr>
              <w:t xml:space="preserve">Category thesis</w:t>
            </w:r>
          </w:p>
          <w:p>
            <w:pPr>
              <w:spacing w:after="0" w:before="0"/>
            </w:pPr>
            <w:r>
              <w:rPr>
                <w:rFonts w:ascii="Arial" w:cs="Arial" w:eastAsia="Arial" w:hAnsi="Arial"/>
                <w:color w:val="1C1C1E"/>
                <w:sz w:val="20"/>
                <w:szCs w:val="20"/>
              </w:rPr>
              <w:t xml:space="preserve">Indian skincare is transitioning from a distribution-led market to a discovery-led one. The brands winning this transition are those that invested in ingredient education and digital presence early. The brands losing it are those that relied on offline distribution and brand heritage without adapting to where consumer attention moved.</w:t>
            </w:r>
          </w:p>
        </w:tc>
      </w:tr>
    </w:tbl>
    <w:p>
      <w:pPr>
        <w:spacing w:after="80" w:before="80"/>
      </w:pPr>
      <w:r>
        <w:t xml:space="preserve"/>
      </w:r>
    </w:p>
    <w:p>
      <w:r>
        <w:br w:type="page"/>
      </w:r>
    </w:p>
    <w:p>
      <w:pPr>
        <w:pBdr>
          <w:bottom w:val="single" w:color="C4623A" w:sz="8" w:space="6"/>
        </w:pBdr>
        <w:spacing w:after="160" w:before="400"/>
      </w:pPr>
      <w:r>
        <w:rPr>
          <w:rFonts w:ascii="Arial" w:cs="Arial" w:eastAsia="Arial" w:hAnsi="Arial"/>
          <w:b/>
          <w:bCs/>
          <w:color w:val="C4623A"/>
          <w:sz w:val="34"/>
          <w:szCs w:val="34"/>
        </w:rPr>
        <w:t xml:space="preserve">4. Ingredient Trend Map</w:t>
      </w:r>
    </w:p>
    <w:p>
      <w:pPr>
        <w:spacing w:after="120" w:before="300"/>
      </w:pPr>
      <w:r>
        <w:rPr>
          <w:rFonts w:ascii="Arial" w:cs="Arial" w:eastAsia="Arial" w:hAnsi="Arial"/>
          <w:b/>
          <w:bCs/>
          <w:color w:val="1C1C1E"/>
          <w:sz w:val="26"/>
          <w:szCs w:val="26"/>
        </w:rPr>
        <w:t xml:space="preserve">4.1 Volume and Growth by Ingredient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E5E7EB" w:sz="1"/>
              <w:left w:val="single" w:color="E5E7EB" w:sz="1"/>
              <w:bottom w:val="single" w:color="E5E7EB" w:sz="1"/>
              <w:right w:val="single" w:color="E5E7EB" w:sz="1"/>
            </w:tcBorders>
            <w:shd w:fill="1C1C1E" w:val="clear"/>
            <w:tcMar>
              <w:top w:type="dxa" w:w="100"/>
              <w:left w:type="dxa" w:w="140"/>
              <w:bottom w:type="dxa" w:w="100"/>
              <w:right w:type="dxa" w:w="140"/>
            </w:tcMar>
          </w:tcPr>
          <w:p>
            <w:r>
              <w:rPr>
                <w:rFonts w:ascii="Arial" w:cs="Arial" w:eastAsia="Arial" w:hAnsi="Arial"/>
                <w:b/>
                <w:bCs/>
                <w:color w:val="FFFFFF"/>
                <w:sz w:val="20"/>
                <w:szCs w:val="20"/>
              </w:rPr>
              <w:t xml:space="preserve">Ingredient</w:t>
            </w:r>
          </w:p>
        </w:tc>
        <w:tc>
          <w:tcPr>
            <w:tcW w:type="dxa" w:w="2200"/>
            <w:tcBorders>
              <w:top w:val="single" w:color="E5E7EB" w:sz="1"/>
              <w:left w:val="single" w:color="E5E7EB" w:sz="1"/>
              <w:bottom w:val="single" w:color="E5E7EB" w:sz="1"/>
              <w:right w:val="single" w:color="E5E7EB" w:sz="1"/>
            </w:tcBorders>
            <w:shd w:fill="1C1C1E" w:val="clear"/>
            <w:tcMar>
              <w:top w:type="dxa" w:w="100"/>
              <w:left w:type="dxa" w:w="140"/>
              <w:bottom w:type="dxa" w:w="100"/>
              <w:right w:type="dxa" w:w="140"/>
            </w:tcMar>
          </w:tcPr>
          <w:p>
            <w:r>
              <w:rPr>
                <w:rFonts w:ascii="Arial" w:cs="Arial" w:eastAsia="Arial" w:hAnsi="Arial"/>
                <w:b/>
                <w:bCs/>
                <w:color w:val="FFFFFF"/>
                <w:sz w:val="20"/>
                <w:szCs w:val="20"/>
              </w:rPr>
              <w:t xml:space="preserve">Mean Search Index</w:t>
            </w:r>
          </w:p>
        </w:tc>
        <w:tc>
          <w:tcPr>
            <w:tcW w:type="dxa" w:w="2000"/>
            <w:tcBorders>
              <w:top w:val="single" w:color="E5E7EB" w:sz="1"/>
              <w:left w:val="single" w:color="E5E7EB" w:sz="1"/>
              <w:bottom w:val="single" w:color="E5E7EB" w:sz="1"/>
              <w:right w:val="single" w:color="E5E7EB" w:sz="1"/>
            </w:tcBorders>
            <w:shd w:fill="1C1C1E" w:val="clear"/>
            <w:tcMar>
              <w:top w:type="dxa" w:w="100"/>
              <w:left w:type="dxa" w:w="140"/>
              <w:bottom w:type="dxa" w:w="100"/>
              <w:right w:type="dxa" w:w="140"/>
            </w:tcMar>
          </w:tcPr>
          <w:p>
            <w:r>
              <w:rPr>
                <w:rFonts w:ascii="Arial" w:cs="Arial" w:eastAsia="Arial" w:hAnsi="Arial"/>
                <w:b/>
                <w:bCs/>
                <w:color w:val="FFFFFF"/>
                <w:sz w:val="20"/>
                <w:szCs w:val="20"/>
              </w:rPr>
              <w:t xml:space="preserve">5-Year Growth</w:t>
            </w:r>
          </w:p>
        </w:tc>
        <w:tc>
          <w:tcPr>
            <w:tcW w:type="dxa" w:w="2560"/>
            <w:tcBorders>
              <w:top w:val="single" w:color="E5E7EB" w:sz="1"/>
              <w:left w:val="single" w:color="E5E7EB" w:sz="1"/>
              <w:bottom w:val="single" w:color="E5E7EB" w:sz="1"/>
              <w:right w:val="single" w:color="E5E7EB" w:sz="1"/>
            </w:tcBorders>
            <w:shd w:fill="1C1C1E" w:val="clear"/>
            <w:tcMar>
              <w:top w:type="dxa" w:w="100"/>
              <w:left w:type="dxa" w:w="140"/>
              <w:bottom w:type="dxa" w:w="100"/>
              <w:right w:type="dxa" w:w="140"/>
            </w:tcMar>
          </w:tcPr>
          <w:p>
            <w:r>
              <w:rPr>
                <w:rFonts w:ascii="Arial" w:cs="Arial" w:eastAsia="Arial" w:hAnsi="Arial"/>
                <w:b/>
                <w:bCs/>
                <w:color w:val="FFFFFF"/>
                <w:sz w:val="20"/>
                <w:szCs w:val="20"/>
              </w:rPr>
              <w:t xml:space="preserve">Stage</w:t>
            </w:r>
          </w:p>
        </w:tc>
      </w:tr>
      <w:tr>
        <w:tc>
          <w:tcPr>
            <w:tcW w:type="dxa" w:w="26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Vitamin C</w:t>
            </w:r>
          </w:p>
        </w:tc>
        <w:tc>
          <w:tcPr>
            <w:tcW w:type="dxa" w:w="22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100.0</w:t>
            </w:r>
          </w:p>
        </w:tc>
        <w:tc>
          <w:tcPr>
            <w:tcW w:type="dxa" w:w="20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+49%</w:t>
            </w:r>
          </w:p>
        </w:tc>
        <w:tc>
          <w:tcPr>
            <w:tcW w:type="dxa" w:w="256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Mature — high volume, slowing growth</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Salicylic acid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34.9</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+98%</w:t>
            </w:r>
          </w:p>
        </w:tc>
        <w:tc>
          <w:tcPr>
            <w:tcW w:type="dxa" w:w="2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Growing — acne and pore-concern driven</w:t>
            </w:r>
          </w:p>
        </w:tc>
      </w:tr>
      <w:tr>
        <w:tc>
          <w:tcPr>
            <w:tcW w:type="dxa" w:w="26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Niacinamide</w:t>
            </w:r>
          </w:p>
        </w:tc>
        <w:tc>
          <w:tcPr>
            <w:tcW w:type="dxa" w:w="22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29.1</w:t>
            </w:r>
          </w:p>
        </w:tc>
        <w:tc>
          <w:tcPr>
            <w:tcW w:type="dxa" w:w="20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+308%</w:t>
            </w:r>
          </w:p>
        </w:tc>
        <w:tc>
          <w:tcPr>
            <w:tcW w:type="dxa" w:w="256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Explosive — hyperpigmentation, anti-aging</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Retinol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21.7</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+113%</w:t>
            </w:r>
          </w:p>
        </w:tc>
        <w:tc>
          <w:tcPr>
            <w:tcW w:type="dxa" w:w="2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Growing — anti-aging trend arriving in India</w:t>
            </w:r>
          </w:p>
        </w:tc>
      </w:tr>
      <w:tr>
        <w:tc>
          <w:tcPr>
            <w:tcW w:type="dxa" w:w="26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Rice water</w:t>
            </w:r>
          </w:p>
        </w:tc>
        <w:tc>
          <w:tcPr>
            <w:tcW w:type="dxa" w:w="22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18.1</w:t>
            </w:r>
          </w:p>
        </w:tc>
        <w:tc>
          <w:tcPr>
            <w:tcW w:type="dxa" w:w="20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+88%</w:t>
            </w:r>
          </w:p>
        </w:tc>
        <w:tc>
          <w:tcPr>
            <w:tcW w:type="dxa" w:w="256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Growing — K-beauty and home remedy crossover</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Kojic acid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12.4</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+391%</w:t>
            </w:r>
          </w:p>
        </w:tc>
        <w:tc>
          <w:tcPr>
            <w:tcW w:type="dxa" w:w="2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Explosive — fastest-growing ingredient overall</w:t>
            </w:r>
          </w:p>
        </w:tc>
      </w:tr>
      <w:tr>
        <w:tc>
          <w:tcPr>
            <w:tcW w:type="dxa" w:w="26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Hyaluronic acid</w:t>
            </w:r>
          </w:p>
        </w:tc>
        <w:tc>
          <w:tcPr>
            <w:tcW w:type="dxa" w:w="22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12.0</w:t>
            </w:r>
          </w:p>
        </w:tc>
        <w:tc>
          <w:tcPr>
            <w:tcW w:type="dxa" w:w="20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+60%</w:t>
            </w:r>
          </w:p>
        </w:tc>
        <w:tc>
          <w:tcPr>
            <w:tcW w:type="dxa" w:w="256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Growing — hydration awareness building</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Tranexamic acid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7.3</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+36%</w:t>
            </w:r>
          </w:p>
        </w:tc>
        <w:tc>
          <w:tcPr>
            <w:tcW w:type="dxa" w:w="2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Emerging — not yet scaled in India</w:t>
            </w:r>
          </w:p>
        </w:tc>
      </w:tr>
      <w:tr>
        <w:tc>
          <w:tcPr>
            <w:tcW w:type="dxa" w:w="26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Ceramides</w:t>
            </w:r>
          </w:p>
        </w:tc>
        <w:tc>
          <w:tcPr>
            <w:tcW w:type="dxa" w:w="22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1.0</w:t>
            </w:r>
          </w:p>
        </w:tc>
        <w:tc>
          <w:tcPr>
            <w:tcW w:type="dxa" w:w="20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 (from zero)</w:t>
            </w:r>
          </w:p>
        </w:tc>
        <w:tc>
          <w:tcPr>
            <w:tcW w:type="dxa" w:w="256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Emerging — very early stage</w:t>
            </w:r>
          </w:p>
        </w:tc>
      </w:tr>
    </w:tbl>
    <w:p>
      <w:pPr>
        <w:spacing w:after="80" w:before="80"/>
      </w:pPr>
      <w:r>
        <w:t xml:space="preserve"/>
      </w:r>
    </w:p>
    <w:p>
      <w:pPr>
        <w:spacing w:after="120" w:before="300"/>
      </w:pPr>
      <w:r>
        <w:rPr>
          <w:rFonts w:ascii="Arial" w:cs="Arial" w:eastAsia="Arial" w:hAnsi="Arial"/>
          <w:b/>
          <w:bCs/>
          <w:color w:val="1C1C1E"/>
          <w:sz w:val="26"/>
          <w:szCs w:val="26"/>
        </w:rPr>
        <w:t xml:space="preserve">4.2 Key Ingredient Insights</w:t>
      </w:r>
    </w:p>
    <w:p>
      <w:pPr>
        <w:spacing w:after="80" w:before="80"/>
      </w:pPr>
      <w:r>
        <w:t xml:space="preserve"/>
      </w:r>
    </w:p>
    <w:p>
      <w:pPr>
        <w:spacing w:after="80" w:before="200"/>
      </w:pPr>
      <w:r>
        <w:rPr>
          <w:rFonts w:ascii="Arial" w:cs="Arial" w:eastAsia="Arial" w:hAnsi="Arial"/>
          <w:b/>
          <w:bCs/>
          <w:color w:val="C4623A"/>
          <w:sz w:val="22"/>
          <w:szCs w:val="22"/>
        </w:rPr>
        <w:t xml:space="preserve">The Hyperpigmentation Cluster</w:t>
      </w:r>
    </w:p>
    <w:p>
      <w:pPr>
        <w:spacing w:after="80" w:before="80"/>
      </w:pPr>
      <w:r>
        <w:rPr>
          <w:rFonts w:ascii="Arial" w:cs="Arial" w:eastAsia="Arial" w:hAnsi="Arial"/>
          <w:color w:val="1C1C1E"/>
          <w:sz w:val="22"/>
          <w:szCs w:val="22"/>
        </w:rPr>
        <w:t xml:space="preserve">The two fastest-growing ingredients — kojic acid (+391%) and niacinamide (+308%) — are both primarily associated with hyperpigmentation and skin brightening. This is not a coincidence. These ingredients are growing because they are the most effective answers to India's most searched skin concern. A brand that built its actives portfolio around these two ingredients in 2022-23 is now sitting on top of the highest-growth demand in the category.</w:t>
      </w:r>
    </w:p>
    <w:p>
      <w:pPr>
        <w:spacing w:after="80" w:before="80"/>
      </w:pPr>
      <w:r>
        <w:t xml:space="preserve"/>
      </w:r>
    </w:p>
    <w:p>
      <w:pPr>
        <w:spacing w:after="80" w:before="200"/>
      </w:pPr>
      <w:r>
        <w:rPr>
          <w:rFonts w:ascii="Arial" w:cs="Arial" w:eastAsia="Arial" w:hAnsi="Arial"/>
          <w:b/>
          <w:bCs/>
          <w:color w:val="C4623A"/>
          <w:sz w:val="22"/>
          <w:szCs w:val="22"/>
        </w:rPr>
        <w:t xml:space="preserve">Vitamin C's Maturity Ceiling</w:t>
      </w:r>
    </w:p>
    <w:p>
      <w:pPr>
        <w:spacing w:after="80" w:before="80"/>
      </w:pPr>
      <w:r>
        <w:rPr>
          <w:rFonts w:ascii="Arial" w:cs="Arial" w:eastAsia="Arial" w:hAnsi="Arial"/>
          <w:color w:val="1C1C1E"/>
          <w:sz w:val="22"/>
          <w:szCs w:val="22"/>
        </w:rPr>
        <w:t xml:space="preserve">Vitamin C's dominance in volume (index 100) masks its strategic vulnerability. At only +49% growth over five years, it is the slowest-growing established ingredient in the category. Brands that positioned themselves primarily around Vitamin C — without building into niacinamide and kojic acid — are likely seeing ingredient-level demand stagnation even if their brand search holds.</w:t>
      </w:r>
    </w:p>
    <w:p>
      <w:pPr>
        <w:spacing w:after="80" w:before="80"/>
      </w:pPr>
      <w:r>
        <w:t xml:space="preserve"/>
      </w:r>
    </w:p>
    <w:p>
      <w:pPr>
        <w:spacing w:after="80" w:before="200"/>
      </w:pPr>
      <w:r>
        <w:rPr>
          <w:rFonts w:ascii="Arial" w:cs="Arial" w:eastAsia="Arial" w:hAnsi="Arial"/>
          <w:b/>
          <w:bCs/>
          <w:color w:val="C4623A"/>
          <w:sz w:val="22"/>
          <w:szCs w:val="22"/>
        </w:rPr>
        <w:t xml:space="preserve">Anti-Aging Wave Building</w:t>
      </w:r>
    </w:p>
    <w:p>
      <w:pPr>
        <w:spacing w:after="80" w:before="80"/>
      </w:pPr>
      <w:r>
        <w:rPr>
          <w:rFonts w:ascii="Arial" w:cs="Arial" w:eastAsia="Arial" w:hAnsi="Arial"/>
          <w:color w:val="1C1C1E"/>
          <w:sz w:val="22"/>
          <w:szCs w:val="22"/>
        </w:rPr>
        <w:t xml:space="preserve">Retinol (+113%) and hyaluronic acid (+60%) are both growing steadily. This reflects an anti-aging conversation arriving in India later than in Western markets but now clearly gaining traction. Brands that move into retinol-based serums and hydration-focused products in the next 12-18 months will be ahead of the demand curve.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C4623A" w:sz="16"/>
              <w:bottom w:val="single" w:color="E5E7EB" w:sz="1"/>
              <w:right w:val="single" w:color="E5E7EB" w:sz="1"/>
            </w:tcBorders>
            <w:shd w:fill="FEF0E8" w:val="clear"/>
            <w:tcMar>
              <w:top w:type="dxa" w:w="120"/>
              <w:left w:type="dxa" w:w="200"/>
              <w:bottom w:type="dxa" w:w="120"/>
              <w:right w:type="dxa" w:w="200"/>
            </w:tcMar>
          </w:tcPr>
          <w:p>
            <w:pPr>
              <w:spacing w:after="60" w:before="0"/>
            </w:pPr>
            <w:r>
              <w:rPr>
                <w:rFonts w:ascii="Arial" w:cs="Arial" w:eastAsia="Arial" w:hAnsi="Arial"/>
                <w:b/>
                <w:bCs/>
                <w:color w:val="C4623A"/>
                <w:sz w:val="20"/>
                <w:szCs w:val="20"/>
              </w:rPr>
              <w:t xml:space="preserve">Ingredient insight</w:t>
            </w:r>
          </w:p>
          <w:p>
            <w:pPr>
              <w:spacing w:after="0" w:before="0"/>
            </w:pPr>
            <w:r>
              <w:rPr>
                <w:rFonts w:ascii="Arial" w:cs="Arial" w:eastAsia="Arial" w:hAnsi="Arial"/>
                <w:color w:val="1C1C1E"/>
                <w:sz w:val="20"/>
                <w:szCs w:val="20"/>
              </w:rPr>
              <w:t xml:space="preserve">India's skincare ingredient conversation is bifurcating: a maturing brightening cluster (Vitamin C) being overtaken by a higher-efficacy brightening cluster (niacinamide, kojic acid), running alongside an emerging anti-aging cluster (retinol, hyaluronic acid). Brands need to be present in both to remain category-relevant over the next three years.</w:t>
            </w:r>
          </w:p>
        </w:tc>
      </w:tr>
    </w:tbl>
    <w:p>
      <w:pPr>
        <w:spacing w:after="80" w:before="80"/>
      </w:pPr>
      <w:r>
        <w:t xml:space="preserve"/>
      </w:r>
    </w:p>
    <w:p>
      <w:r>
        <w:br w:type="page"/>
      </w:r>
    </w:p>
    <w:p>
      <w:pPr>
        <w:pBdr>
          <w:bottom w:val="single" w:color="C4623A" w:sz="8" w:space="6"/>
        </w:pBdr>
        <w:spacing w:after="160" w:before="400"/>
      </w:pPr>
      <w:r>
        <w:rPr>
          <w:rFonts w:ascii="Arial" w:cs="Arial" w:eastAsia="Arial" w:hAnsi="Arial"/>
          <w:b/>
          <w:bCs/>
          <w:color w:val="C4623A"/>
          <w:sz w:val="34"/>
          <w:szCs w:val="34"/>
        </w:rPr>
        <w:t xml:space="preserve">5. Brand Positioning Analysis</w:t>
      </w:r>
    </w:p>
    <w:p>
      <w:pPr>
        <w:spacing w:after="120" w:before="300"/>
      </w:pPr>
      <w:r>
        <w:rPr>
          <w:rFonts w:ascii="Arial" w:cs="Arial" w:eastAsia="Arial" w:hAnsi="Arial"/>
          <w:b/>
          <w:bCs/>
          <w:color w:val="1C1C1E"/>
          <w:sz w:val="26"/>
          <w:szCs w:val="26"/>
        </w:rPr>
        <w:t xml:space="preserve">5.1 Search Volume and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760"/>
        <w:gridCol w:w="1600"/>
      </w:tblGrid>
      <w:tr>
        <w:tc>
          <w:tcPr>
            <w:tcW w:type="dxa" w:w="2200"/>
            <w:tcBorders>
              <w:top w:val="single" w:color="E5E7EB" w:sz="1"/>
              <w:left w:val="single" w:color="E5E7EB" w:sz="1"/>
              <w:bottom w:val="single" w:color="E5E7EB" w:sz="1"/>
              <w:right w:val="single" w:color="E5E7EB" w:sz="1"/>
            </w:tcBorders>
            <w:shd w:fill="1C1C1E" w:val="clear"/>
            <w:tcMar>
              <w:top w:type="dxa" w:w="100"/>
              <w:left w:type="dxa" w:w="140"/>
              <w:bottom w:type="dxa" w:w="100"/>
              <w:right w:type="dxa" w:w="140"/>
            </w:tcMar>
          </w:tcPr>
          <w:p>
            <w:r>
              <w:rPr>
                <w:rFonts w:ascii="Arial" w:cs="Arial" w:eastAsia="Arial" w:hAnsi="Arial"/>
                <w:b/>
                <w:bCs/>
                <w:color w:val="FFFFFF"/>
                <w:sz w:val="20"/>
                <w:szCs w:val="20"/>
              </w:rPr>
              <w:t xml:space="preserve">Brand</w:t>
            </w:r>
          </w:p>
        </w:tc>
        <w:tc>
          <w:tcPr>
            <w:tcW w:type="dxa" w:w="2000"/>
            <w:tcBorders>
              <w:top w:val="single" w:color="E5E7EB" w:sz="1"/>
              <w:left w:val="single" w:color="E5E7EB" w:sz="1"/>
              <w:bottom w:val="single" w:color="E5E7EB" w:sz="1"/>
              <w:right w:val="single" w:color="E5E7EB" w:sz="1"/>
            </w:tcBorders>
            <w:shd w:fill="1C1C1E" w:val="clear"/>
            <w:tcMar>
              <w:top w:type="dxa" w:w="100"/>
              <w:left w:type="dxa" w:w="140"/>
              <w:bottom w:type="dxa" w:w="100"/>
              <w:right w:type="dxa" w:w="140"/>
            </w:tcMar>
          </w:tcPr>
          <w:p>
            <w:r>
              <w:rPr>
                <w:rFonts w:ascii="Arial" w:cs="Arial" w:eastAsia="Arial" w:hAnsi="Arial"/>
                <w:b/>
                <w:bCs/>
                <w:color w:val="FFFFFF"/>
                <w:sz w:val="20"/>
                <w:szCs w:val="20"/>
              </w:rPr>
              <w:t xml:space="preserve">Mean Search Index</w:t>
            </w:r>
          </w:p>
        </w:tc>
        <w:tc>
          <w:tcPr>
            <w:tcW w:type="dxa" w:w="1800"/>
            <w:tcBorders>
              <w:top w:val="single" w:color="E5E7EB" w:sz="1"/>
              <w:left w:val="single" w:color="E5E7EB" w:sz="1"/>
              <w:bottom w:val="single" w:color="E5E7EB" w:sz="1"/>
              <w:right w:val="single" w:color="E5E7EB" w:sz="1"/>
            </w:tcBorders>
            <w:shd w:fill="1C1C1E" w:val="clear"/>
            <w:tcMar>
              <w:top w:type="dxa" w:w="100"/>
              <w:left w:type="dxa" w:w="140"/>
              <w:bottom w:type="dxa" w:w="100"/>
              <w:right w:type="dxa" w:w="140"/>
            </w:tcMar>
          </w:tcPr>
          <w:p>
            <w:r>
              <w:rPr>
                <w:rFonts w:ascii="Arial" w:cs="Arial" w:eastAsia="Arial" w:hAnsi="Arial"/>
                <w:b/>
                <w:bCs/>
                <w:color w:val="FFFFFF"/>
                <w:sz w:val="20"/>
                <w:szCs w:val="20"/>
              </w:rPr>
              <w:t xml:space="preserve">5-Year Growth</w:t>
            </w:r>
          </w:p>
        </w:tc>
        <w:tc>
          <w:tcPr>
            <w:tcW w:type="dxa" w:w="1760"/>
            <w:tcBorders>
              <w:top w:val="single" w:color="E5E7EB" w:sz="1"/>
              <w:left w:val="single" w:color="E5E7EB" w:sz="1"/>
              <w:bottom w:val="single" w:color="E5E7EB" w:sz="1"/>
              <w:right w:val="single" w:color="E5E7EB" w:sz="1"/>
            </w:tcBorders>
            <w:shd w:fill="1C1C1E" w:val="clear"/>
            <w:tcMar>
              <w:top w:type="dxa" w:w="100"/>
              <w:left w:type="dxa" w:w="140"/>
              <w:bottom w:type="dxa" w:w="100"/>
              <w:right w:type="dxa" w:w="140"/>
            </w:tcMar>
          </w:tcPr>
          <w:p>
            <w:r>
              <w:rPr>
                <w:rFonts w:ascii="Arial" w:cs="Arial" w:eastAsia="Arial" w:hAnsi="Arial"/>
                <w:b/>
                <w:bCs/>
                <w:color w:val="FFFFFF"/>
                <w:sz w:val="20"/>
                <w:szCs w:val="20"/>
              </w:rPr>
              <w:t xml:space="preserve">Avg Reviews</w:t>
            </w:r>
          </w:p>
        </w:tc>
        <w:tc>
          <w:tcPr>
            <w:tcW w:type="dxa" w:w="1600"/>
            <w:tcBorders>
              <w:top w:val="single" w:color="E5E7EB" w:sz="1"/>
              <w:left w:val="single" w:color="E5E7EB" w:sz="1"/>
              <w:bottom w:val="single" w:color="E5E7EB" w:sz="1"/>
              <w:right w:val="single" w:color="E5E7EB" w:sz="1"/>
            </w:tcBorders>
            <w:shd w:fill="1C1C1E" w:val="clear"/>
            <w:tcMar>
              <w:top w:type="dxa" w:w="100"/>
              <w:left w:type="dxa" w:w="140"/>
              <w:bottom w:type="dxa" w:w="100"/>
              <w:right w:type="dxa" w:w="140"/>
            </w:tcMar>
          </w:tcPr>
          <w:p>
            <w:r>
              <w:rPr>
                <w:rFonts w:ascii="Arial" w:cs="Arial" w:eastAsia="Arial" w:hAnsi="Arial"/>
                <w:b/>
                <w:bCs/>
                <w:color w:val="FFFFFF"/>
                <w:sz w:val="20"/>
                <w:szCs w:val="20"/>
              </w:rPr>
              <w:t xml:space="preserve">Avg Bestseller Price (₹)</w:t>
            </w:r>
          </w:p>
        </w:tc>
      </w:tr>
      <w:tr>
        <w:tc>
          <w:tcPr>
            <w:tcW w:type="dxa" w:w="22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Lakme</w:t>
            </w:r>
          </w:p>
        </w:tc>
        <w:tc>
          <w:tcPr>
            <w:tcW w:type="dxa" w:w="20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61.5</w:t>
            </w:r>
          </w:p>
        </w:tc>
        <w:tc>
          <w:tcPr>
            <w:tcW w:type="dxa" w:w="18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-34%</w:t>
            </w:r>
          </w:p>
        </w:tc>
        <w:tc>
          <w:tcPr>
            <w:tcW w:type="dxa" w:w="176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942</w:t>
            </w:r>
          </w:p>
        </w:tc>
        <w:tc>
          <w:tcPr>
            <w:tcW w:type="dxa" w:w="16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₹325</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Plum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53.2</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+55%</w:t>
            </w:r>
          </w:p>
        </w:tc>
        <w:tc>
          <w:tcPr>
            <w:tcW w:type="dxa" w:w="1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2,932</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₹444</w:t>
            </w:r>
          </w:p>
        </w:tc>
      </w:tr>
      <w:tr>
        <w:tc>
          <w:tcPr>
            <w:tcW w:type="dxa" w:w="22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Cetaphil</w:t>
            </w:r>
          </w:p>
        </w:tc>
        <w:tc>
          <w:tcPr>
            <w:tcW w:type="dxa" w:w="20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46.4</w:t>
            </w:r>
          </w:p>
        </w:tc>
        <w:tc>
          <w:tcPr>
            <w:tcW w:type="dxa" w:w="18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+200%</w:t>
            </w:r>
          </w:p>
        </w:tc>
        <w:tc>
          <w:tcPr>
            <w:tcW w:type="dxa" w:w="176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1,844</w:t>
            </w:r>
          </w:p>
        </w:tc>
        <w:tc>
          <w:tcPr>
            <w:tcW w:type="dxa" w:w="16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₹923</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Minimalist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35.0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+275%</w:t>
            </w:r>
          </w:p>
        </w:tc>
        <w:tc>
          <w:tcPr>
            <w:tcW w:type="dxa" w:w="1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3,426</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₹358</w:t>
            </w:r>
          </w:p>
        </w:tc>
      </w:tr>
      <w:tr>
        <w:tc>
          <w:tcPr>
            <w:tcW w:type="dxa" w:w="22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Pilgrim</w:t>
            </w:r>
          </w:p>
        </w:tc>
        <w:tc>
          <w:tcPr>
            <w:tcW w:type="dxa" w:w="20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25.6</w:t>
            </w:r>
          </w:p>
        </w:tc>
        <w:tc>
          <w:tcPr>
            <w:tcW w:type="dxa" w:w="18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+670%</w:t>
            </w:r>
          </w:p>
        </w:tc>
        <w:tc>
          <w:tcPr>
            <w:tcW w:type="dxa" w:w="176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656</w:t>
            </w:r>
          </w:p>
        </w:tc>
        <w:tc>
          <w:tcPr>
            <w:tcW w:type="dxa" w:w="16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₹339</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Dot &amp; Key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20.1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+1,273%</w:t>
            </w:r>
          </w:p>
        </w:tc>
        <w:tc>
          <w:tcPr>
            <w:tcW w:type="dxa" w:w="1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2,696</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₹342</w:t>
            </w:r>
          </w:p>
        </w:tc>
      </w:tr>
      <w:tr>
        <w:tc>
          <w:tcPr>
            <w:tcW w:type="dxa" w:w="22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Himalaya</w:t>
            </w:r>
          </w:p>
        </w:tc>
        <w:tc>
          <w:tcPr>
            <w:tcW w:type="dxa" w:w="20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19.8</w:t>
            </w:r>
          </w:p>
        </w:tc>
        <w:tc>
          <w:tcPr>
            <w:tcW w:type="dxa" w:w="18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-85%</w:t>
            </w:r>
          </w:p>
        </w:tc>
        <w:tc>
          <w:tcPr>
            <w:tcW w:type="dxa" w:w="176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787</w:t>
            </w:r>
          </w:p>
        </w:tc>
        <w:tc>
          <w:tcPr>
            <w:tcW w:type="dxa" w:w="1600"/>
            <w:tcBorders>
              <w:top w:val="single" w:color="E5E7EB" w:sz="1"/>
              <w:left w:val="single" w:color="E5E7EB" w:sz="1"/>
              <w:bottom w:val="single" w:color="E5E7EB" w:sz="1"/>
              <w:right w:val="single" w:color="E5E7EB" w:sz="1"/>
            </w:tcBorders>
            <w:shd w:fill="F7F5F0" w:val="clear"/>
            <w:tcMar>
              <w:top w:type="dxa" w:w="80"/>
              <w:left w:type="dxa" w:w="140"/>
              <w:bottom w:type="dxa" w:w="80"/>
              <w:right w:type="dxa" w:w="140"/>
            </w:tcMar>
          </w:tcPr>
          <w:p>
            <w:r>
              <w:rPr>
                <w:rFonts w:ascii="Arial" w:cs="Arial" w:eastAsia="Arial" w:hAnsi="Arial"/>
                <w:color w:val="1C1C1E"/>
                <w:sz w:val="20"/>
                <w:szCs w:val="20"/>
              </w:rPr>
              <w:t xml:space="preserve">₹310</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Foxtale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10.1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 (new)</w:t>
            </w:r>
          </w:p>
        </w:tc>
        <w:tc>
          <w:tcPr>
            <w:tcW w:type="dxa" w:w="1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990</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C1C1E"/>
                <w:sz w:val="20"/>
                <w:szCs w:val="20"/>
              </w:rPr>
              <w:t xml:space="preserve">₹407</w:t>
            </w:r>
          </w:p>
        </w:tc>
      </w:tr>
    </w:tbl>
    <w:p>
      <w:pPr>
        <w:spacing w:after="80" w:before="80"/>
      </w:pPr>
      <w:r>
        <w:t xml:space="preserve"/>
      </w:r>
    </w:p>
    <w:p>
      <w:pPr>
        <w:spacing w:after="120" w:before="300"/>
      </w:pPr>
      <w:r>
        <w:rPr>
          <w:rFonts w:ascii="Arial" w:cs="Arial" w:eastAsia="Arial" w:hAnsi="Arial"/>
          <w:b/>
          <w:bCs/>
          <w:color w:val="1C1C1E"/>
          <w:sz w:val="26"/>
          <w:szCs w:val="26"/>
        </w:rPr>
        <w:t xml:space="preserve">5.2 Brand-Level Insights</w:t>
      </w:r>
    </w:p>
    <w:p>
      <w:pPr>
        <w:spacing w:after="80" w:before="80"/>
      </w:pPr>
      <w:r>
        <w:t xml:space="preserve"/>
      </w:r>
    </w:p>
    <w:p>
      <w:pPr>
        <w:spacing w:after="80" w:before="200"/>
      </w:pPr>
      <w:r>
        <w:rPr>
          <w:rFonts w:ascii="Arial" w:cs="Arial" w:eastAsia="Arial" w:hAnsi="Arial"/>
          <w:b/>
          <w:bCs/>
          <w:color w:val="C4623A"/>
          <w:sz w:val="22"/>
          <w:szCs w:val="22"/>
        </w:rPr>
        <w:t xml:space="preserve">Minimalist — Focused Depth</w:t>
      </w:r>
    </w:p>
    <w:p>
      <w:pPr>
        <w:spacing w:after="80" w:before="80"/>
      </w:pPr>
      <w:r>
        <w:rPr>
          <w:rFonts w:ascii="Arial" w:cs="Arial" w:eastAsia="Arial" w:hAnsi="Arial"/>
          <w:color w:val="1C1C1E"/>
          <w:sz w:val="22"/>
          <w:szCs w:val="22"/>
        </w:rPr>
        <w:t xml:space="preserve">Minimalist has the highest average reviews per brand (3,426) and the most face serum SKUs of any brand (23) — a deliberate bet on the actives and treatment category. Their +275% search growth reflects compounding returns on early ingredient education investment. The risk: their portfolio concentration in serums leaves them exposed if the category shifts toward skin barrier or hydration products.</w:t>
      </w:r>
    </w:p>
    <w:p>
      <w:pPr>
        <w:spacing w:after="80" w:before="80"/>
      </w:pPr>
      <w:r>
        <w:t xml:space="preserve"/>
      </w:r>
    </w:p>
    <w:p>
      <w:pPr>
        <w:spacing w:after="80" w:before="200"/>
      </w:pPr>
      <w:r>
        <w:rPr>
          <w:rFonts w:ascii="Arial" w:cs="Arial" w:eastAsia="Arial" w:hAnsi="Arial"/>
          <w:b/>
          <w:bCs/>
          <w:color w:val="C4623A"/>
          <w:sz w:val="22"/>
          <w:szCs w:val="22"/>
        </w:rPr>
        <w:t xml:space="preserve">Dot &amp; Key — The Fastest Established Grower</w:t>
      </w:r>
    </w:p>
    <w:p>
      <w:pPr>
        <w:spacing w:after="80" w:before="80"/>
      </w:pPr>
      <w:r>
        <w:rPr>
          <w:rFonts w:ascii="Arial" w:cs="Arial" w:eastAsia="Arial" w:hAnsi="Arial"/>
          <w:color w:val="1C1C1E"/>
          <w:sz w:val="22"/>
          <w:szCs w:val="22"/>
        </w:rPr>
        <w:t xml:space="preserve">At +1,273% search growth, Dot &amp; Key is the fastest-growing established brand in the dataset. Their sunscreen category is particularly strong — 11 SKUs, highest average reviews in that category (5,797). They are winning the sunscreen moment alongside the broader SPF awareness surge in India.</w:t>
      </w:r>
    </w:p>
    <w:p>
      <w:pPr>
        <w:spacing w:after="80" w:before="80"/>
      </w:pPr>
      <w:r>
        <w:t xml:space="preserve"/>
      </w:r>
    </w:p>
    <w:p>
      <w:pPr>
        <w:spacing w:after="80" w:before="200"/>
      </w:pPr>
      <w:r>
        <w:rPr>
          <w:rFonts w:ascii="Arial" w:cs="Arial" w:eastAsia="Arial" w:hAnsi="Arial"/>
          <w:b/>
          <w:bCs/>
          <w:color w:val="C4623A"/>
          <w:sz w:val="22"/>
          <w:szCs w:val="22"/>
        </w:rPr>
        <w:t xml:space="preserve">Pilgrim — The Awareness-Engagement Gap</w:t>
      </w:r>
    </w:p>
    <w:p>
      <w:pPr>
        <w:spacing w:after="80" w:before="80"/>
      </w:pPr>
      <w:r>
        <w:rPr>
          <w:rFonts w:ascii="Arial" w:cs="Arial" w:eastAsia="Arial" w:hAnsi="Arial"/>
          <w:color w:val="1C1C1E"/>
          <w:sz w:val="22"/>
          <w:szCs w:val="22"/>
        </w:rPr>
        <w:t xml:space="preserve">Pilgrim presents the most strategically interesting anomaly: +670% search growth but the lowest average reviews per SKU of any brand (16.8 vs Minimalist's 87.8). This suggests performance marketing is driving discovery without converting into the deep product engagement that generates reviews and repeat purchase. High reach, low depth — a fragile growth model.</w:t>
      </w:r>
    </w:p>
    <w:p>
      <w:pPr>
        <w:spacing w:after="80" w:before="80"/>
      </w:pPr>
      <w:r>
        <w:t xml:space="preserve"/>
      </w:r>
    </w:p>
    <w:p>
      <w:pPr>
        <w:spacing w:after="80" w:before="200"/>
      </w:pPr>
      <w:r>
        <w:rPr>
          <w:rFonts w:ascii="Arial" w:cs="Arial" w:eastAsia="Arial" w:hAnsi="Arial"/>
          <w:b/>
          <w:bCs/>
          <w:color w:val="C4623A"/>
          <w:sz w:val="22"/>
          <w:szCs w:val="22"/>
        </w:rPr>
        <w:t xml:space="preserve">Lakme — Distributed but Declining</w:t>
      </w:r>
    </w:p>
    <w:p>
      <w:pPr>
        <w:spacing w:after="80" w:before="80"/>
      </w:pPr>
      <w:r>
        <w:rPr>
          <w:rFonts w:ascii="Arial" w:cs="Arial" w:eastAsia="Arial" w:hAnsi="Arial"/>
          <w:color w:val="1C1C1E"/>
          <w:sz w:val="22"/>
          <w:szCs w:val="22"/>
        </w:rPr>
        <w:t xml:space="preserve">Lakme has the highest total SKU count (40) but declining search volume (-34%) and low reviews per SKU (23.6). They are maintaining broad portfolio presence in categories consumers are de-prioritising, rather than concentrating in high-growth areas. The brand's offline distribution advantage does not translate to search dominance — and search is where the next generation of Indian skincare consumers are forming preferences.</w:t>
      </w:r>
    </w:p>
    <w:p>
      <w:pPr>
        <w:spacing w:after="80" w:before="80"/>
      </w:pPr>
      <w:r>
        <w:t xml:space="preserve"/>
      </w:r>
    </w:p>
    <w:p>
      <w:pPr>
        <w:spacing w:after="80" w:before="200"/>
      </w:pPr>
      <w:r>
        <w:rPr>
          <w:rFonts w:ascii="Arial" w:cs="Arial" w:eastAsia="Arial" w:hAnsi="Arial"/>
          <w:b/>
          <w:bCs/>
          <w:color w:val="C4623A"/>
          <w:sz w:val="22"/>
          <w:szCs w:val="22"/>
        </w:rPr>
        <w:t xml:space="preserve">Himalaya — The Steepest Decline</w:t>
      </w:r>
    </w:p>
    <w:p>
      <w:pPr>
        <w:spacing w:after="80" w:before="80"/>
      </w:pPr>
      <w:r>
        <w:rPr>
          <w:rFonts w:ascii="Arial" w:cs="Arial" w:eastAsia="Arial" w:hAnsi="Arial"/>
          <w:color w:val="1C1C1E"/>
          <w:sz w:val="22"/>
          <w:szCs w:val="22"/>
        </w:rPr>
        <w:t xml:space="preserve">Himalaya's -85% search decline is the most dramatic of any brand in the dataset. Simultaneously, their Nykaa data shows 18 face wash SKUs (highest of any brand) but only 56 average reviews on face serum — near-invisible in high-growth categories. They have strong legacy presence in a category (face wash) that is not growing, and near-zero presence in categories that are. This is a structural portfolio problem, not a marketing one.</w:t>
      </w:r>
    </w:p>
    <w:p>
      <w:pPr>
        <w:spacing w:after="80" w:before="80"/>
      </w:pPr>
      <w:r>
        <w:t xml:space="preserve"/>
      </w:r>
    </w:p>
    <w:p>
      <w:pPr>
        <w:spacing w:after="80" w:before="200"/>
      </w:pPr>
      <w:r>
        <w:rPr>
          <w:rFonts w:ascii="Arial" w:cs="Arial" w:eastAsia="Arial" w:hAnsi="Arial"/>
          <w:b/>
          <w:bCs/>
          <w:color w:val="C4623A"/>
          <w:sz w:val="22"/>
          <w:szCs w:val="22"/>
        </w:rPr>
        <w:t xml:space="preserve">Cetaphil — The Trust Economy</w:t>
      </w:r>
    </w:p>
    <w:p>
      <w:pPr>
        <w:spacing w:after="80" w:before="80"/>
      </w:pPr>
      <w:r>
        <w:rPr>
          <w:rFonts w:ascii="Arial" w:cs="Arial" w:eastAsia="Arial" w:hAnsi="Arial"/>
          <w:color w:val="1C1C1E"/>
          <w:sz w:val="22"/>
          <w:szCs w:val="22"/>
        </w:rPr>
        <w:t xml:space="preserve">Cetaphil operates on entirely different economics. At ₹923 average bestseller price — more than double the next highest brand — they should be losing price-sensitive consumers. Instead, they show +200% search growth and 1,844 average reviews. Dermatologist recommendation creates a purchase driver that bypasses price sensitivity entirely. This is a separate market within the same category.</w:t>
      </w:r>
    </w:p>
    <w:p>
      <w:pPr>
        <w:spacing w:after="80" w:before="80"/>
      </w:pPr>
      <w:r>
        <w:t xml:space="preserve"/>
      </w:r>
    </w:p>
    <w:p>
      <w:r>
        <w:br w:type="page"/>
      </w:r>
    </w:p>
    <w:p>
      <w:pPr>
        <w:pBdr>
          <w:bottom w:val="single" w:color="C4623A" w:sz="8" w:space="6"/>
        </w:pBdr>
        <w:spacing w:after="160" w:before="400"/>
      </w:pPr>
      <w:r>
        <w:rPr>
          <w:rFonts w:ascii="Arial" w:cs="Arial" w:eastAsia="Arial" w:hAnsi="Arial"/>
          <w:b/>
          <w:bCs/>
          <w:color w:val="C4623A"/>
          <w:sz w:val="34"/>
          <w:szCs w:val="34"/>
        </w:rPr>
        <w:t xml:space="preserve">6. Gap Analysis</w:t>
      </w:r>
    </w:p>
    <w:p>
      <w:pPr>
        <w:spacing w:after="80" w:before="80"/>
      </w:pPr>
      <w:r>
        <w:rPr>
          <w:rFonts w:ascii="Arial" w:cs="Arial" w:eastAsia="Arial" w:hAnsi="Arial"/>
          <w:color w:val="1C1C1E"/>
          <w:sz w:val="22"/>
          <w:szCs w:val="22"/>
        </w:rPr>
        <w:t xml:space="preserve">Cross-referencing demand signals with supply data surfaces three strategic gaps — areas where consumer demand exists but brand supply is insufficient or misaligned.</w:t>
      </w:r>
    </w:p>
    <w:p>
      <w:pPr>
        <w:spacing w:after="80" w:before="80"/>
      </w:pPr>
      <w:r>
        <w:t xml:space="preserve"/>
      </w:r>
    </w:p>
    <w:p>
      <w:pPr>
        <w:spacing w:after="120" w:before="300"/>
      </w:pPr>
      <w:r>
        <w:rPr>
          <w:rFonts w:ascii="Arial" w:cs="Arial" w:eastAsia="Arial" w:hAnsi="Arial"/>
          <w:b/>
          <w:bCs/>
          <w:color w:val="1C1C1E"/>
          <w:sz w:val="26"/>
          <w:szCs w:val="26"/>
        </w:rPr>
        <w:t xml:space="preserve">Gap 1 — The Hyperpigmentation Opportunity</w:t>
      </w:r>
    </w:p>
    <w:p>
      <w:pPr>
        <w:spacing w:after="80" w:before="80"/>
      </w:pPr>
      <w:r>
        <w:rPr>
          <w:rFonts w:ascii="Arial" w:cs="Arial" w:eastAsia="Arial" w:hAnsi="Arial"/>
          <w:color w:val="1C1C1E"/>
          <w:sz w:val="22"/>
          <w:szCs w:val="22"/>
        </w:rPr>
        <w:t xml:space="preserve">Skin brightening (+152% concern growth) and tan removal (+138%) are the fastest-growing skin concerns in India. The ingredients that address these concerns — kojic acid (+391%) and niacinamide (+308%) — are growing at category-record rates. Yet only two brands (Minimalist and Pilgrim) have built meaningful ingredient portfolios around these actives.</w:t>
      </w:r>
    </w:p>
    <w:p>
      <w:pPr>
        <w:spacing w:after="80" w:before="80"/>
      </w:pPr>
      <w:r>
        <w:t xml:space="preserve"/>
      </w:r>
    </w:p>
    <w:p>
      <w:pPr>
        <w:spacing w:after="80" w:before="80"/>
      </w:pPr>
      <w:r>
        <w:rPr>
          <w:rFonts w:ascii="Arial" w:cs="Arial" w:eastAsia="Arial" w:hAnsi="Arial"/>
          <w:color w:val="1C1C1E"/>
          <w:sz w:val="22"/>
          <w:szCs w:val="22"/>
        </w:rPr>
        <w:t xml:space="preserve">Lakme and Himalaya — with the broadest distribution reach in India — have effectively zero presence in kojic acid or niacinamide-forward products. They have the distribution but not the product. D2C brands have the product but are still building distribution. The gap between demand and supply is widest at the intersection of hyperpigmentation actives and Tier 2 city availability.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C4623A" w:sz="16"/>
              <w:bottom w:val="single" w:color="E5E7EB" w:sz="1"/>
              <w:right w:val="single" w:color="E5E7EB" w:sz="1"/>
            </w:tcBorders>
            <w:shd w:fill="FEF0E8" w:val="clear"/>
            <w:tcMar>
              <w:top w:type="dxa" w:w="120"/>
              <w:left w:type="dxa" w:w="200"/>
              <w:bottom w:type="dxa" w:w="120"/>
              <w:right w:type="dxa" w:w="200"/>
            </w:tcMar>
          </w:tcPr>
          <w:p>
            <w:pPr>
              <w:spacing w:after="60" w:before="0"/>
            </w:pPr>
            <w:r>
              <w:rPr>
                <w:rFonts w:ascii="Arial" w:cs="Arial" w:eastAsia="Arial" w:hAnsi="Arial"/>
                <w:b/>
                <w:bCs/>
                <w:color w:val="C4623A"/>
                <w:sz w:val="20"/>
                <w:szCs w:val="20"/>
              </w:rPr>
              <w:t xml:space="preserve">Gap 1 finding</w:t>
            </w:r>
          </w:p>
          <w:p>
            <w:pPr>
              <w:spacing w:after="0" w:before="0"/>
            </w:pPr>
            <w:r>
              <w:rPr>
                <w:rFonts w:ascii="Arial" w:cs="Arial" w:eastAsia="Arial" w:hAnsi="Arial"/>
                <w:color w:val="1C1C1E"/>
                <w:sz w:val="20"/>
                <w:szCs w:val="20"/>
              </w:rPr>
              <w:t xml:space="preserve">India's largest unmet skincare demand is for ingredient-efficacious hyperpigmentation products at accessible price points with broad availability. The brand that combines niacinamide/kojic acid formulation with legacy-level distribution reach will unlock the largest growth opportunity in the category.</w:t>
            </w:r>
          </w:p>
        </w:tc>
      </w:tr>
    </w:tbl>
    <w:p>
      <w:pPr>
        <w:spacing w:after="80" w:before="80"/>
      </w:pPr>
      <w:r>
        <w:t xml:space="preserve"/>
      </w:r>
    </w:p>
    <w:p>
      <w:pPr>
        <w:spacing w:after="120" w:before="300"/>
      </w:pPr>
      <w:r>
        <w:rPr>
          <w:rFonts w:ascii="Arial" w:cs="Arial" w:eastAsia="Arial" w:hAnsi="Arial"/>
          <w:b/>
          <w:bCs/>
          <w:color w:val="1C1C1E"/>
          <w:sz w:val="26"/>
          <w:szCs w:val="26"/>
        </w:rPr>
        <w:t xml:space="preserve">Gap 2 — The Pilgrim Paradox</w:t>
      </w:r>
    </w:p>
    <w:p>
      <w:pPr>
        <w:spacing w:after="80" w:before="80"/>
      </w:pPr>
      <w:r>
        <w:rPr>
          <w:rFonts w:ascii="Arial" w:cs="Arial" w:eastAsia="Arial" w:hAnsi="Arial"/>
          <w:color w:val="1C1C1E"/>
          <w:sz w:val="22"/>
          <w:szCs w:val="22"/>
        </w:rPr>
        <w:t xml:space="preserve">Pilgrim has achieved +670% search growth — the highest of any established brand — through aggressive performance marketing. But their average review count per SKU (16.8) is the lowest of all 8 brands. For context, Minimalist achieves 87.8 reviews per SKU on similar volume of SKUs and a similar price point.</w:t>
      </w:r>
    </w:p>
    <w:p>
      <w:pPr>
        <w:spacing w:after="80" w:before="80"/>
      </w:pPr>
      <w:r>
        <w:t xml:space="preserve"/>
      </w:r>
    </w:p>
    <w:p>
      <w:pPr>
        <w:spacing w:after="80" w:before="80"/>
      </w:pPr>
      <w:r>
        <w:rPr>
          <w:rFonts w:ascii="Arial" w:cs="Arial" w:eastAsia="Arial" w:hAnsi="Arial"/>
          <w:color w:val="1C1C1E"/>
          <w:sz w:val="22"/>
          <w:szCs w:val="22"/>
        </w:rPr>
        <w:t xml:space="preserve">This divergence between awareness (search) and engagement (reviews) is a leading indicator of retention risk. Consumers are discovering Pilgrim but not converting into the repeat-purchase, review-generating loyalists that drive sustainable brand health. If performance marketing spend reduces, search growth will not be self-sustaining.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C4623A" w:sz="16"/>
              <w:bottom w:val="single" w:color="E5E7EB" w:sz="1"/>
              <w:right w:val="single" w:color="E5E7EB" w:sz="1"/>
            </w:tcBorders>
            <w:shd w:fill="FEF0E8" w:val="clear"/>
            <w:tcMar>
              <w:top w:type="dxa" w:w="120"/>
              <w:left w:type="dxa" w:w="200"/>
              <w:bottom w:type="dxa" w:w="120"/>
              <w:right w:type="dxa" w:w="200"/>
            </w:tcMar>
          </w:tcPr>
          <w:p>
            <w:pPr>
              <w:spacing w:after="60" w:before="0"/>
            </w:pPr>
            <w:r>
              <w:rPr>
                <w:rFonts w:ascii="Arial" w:cs="Arial" w:eastAsia="Arial" w:hAnsi="Arial"/>
                <w:b/>
                <w:bCs/>
                <w:color w:val="C4623A"/>
                <w:sz w:val="20"/>
                <w:szCs w:val="20"/>
              </w:rPr>
              <w:t xml:space="preserve">Gap 2 finding</w:t>
            </w:r>
          </w:p>
          <w:p>
            <w:pPr>
              <w:spacing w:after="0" w:before="0"/>
            </w:pPr>
            <w:r>
              <w:rPr>
                <w:rFonts w:ascii="Arial" w:cs="Arial" w:eastAsia="Arial" w:hAnsi="Arial"/>
                <w:color w:val="1C1C1E"/>
                <w:sz w:val="20"/>
                <w:szCs w:val="20"/>
              </w:rPr>
              <w:t xml:space="preserve">Pilgrim's growth is awareness-wide but engagement-thin. The brand faces a conversion and retention gap that performance marketing alone cannot close — it requires product-level differentiation and community building to convert discovery into loyalty.</w:t>
            </w:r>
          </w:p>
        </w:tc>
      </w:tr>
    </w:tbl>
    <w:p>
      <w:pPr>
        <w:spacing w:after="80" w:before="80"/>
      </w:pPr>
      <w:r>
        <w:t xml:space="preserve"/>
      </w:r>
    </w:p>
    <w:p>
      <w:pPr>
        <w:spacing w:after="120" w:before="300"/>
      </w:pPr>
      <w:r>
        <w:rPr>
          <w:rFonts w:ascii="Arial" w:cs="Arial" w:eastAsia="Arial" w:hAnsi="Arial"/>
          <w:b/>
          <w:bCs/>
          <w:color w:val="1C1C1E"/>
          <w:sz w:val="26"/>
          <w:szCs w:val="26"/>
        </w:rPr>
        <w:t xml:space="preserve">Gap 3 — The Legacy Portfolio Trap</w:t>
      </w:r>
    </w:p>
    <w:p>
      <w:pPr>
        <w:spacing w:after="80" w:before="80"/>
      </w:pPr>
      <w:r>
        <w:rPr>
          <w:rFonts w:ascii="Arial" w:cs="Arial" w:eastAsia="Arial" w:hAnsi="Arial"/>
          <w:color w:val="1C1C1E"/>
          <w:sz w:val="22"/>
          <w:szCs w:val="22"/>
        </w:rPr>
        <w:t xml:space="preserve">Both Lakme (40 SKUs) and Himalaya (31 SKUs) maintain large portfolios — but concentrated in categories that are not growing. Himalaya's 18 face wash SKUs represent their strongest category, yet face wash search growth is moderate and they are competing against D2C brands that price comparably (Minimalist face wash at ₹284 vs Himalaya at ₹104 entry point).</w:t>
      </w:r>
    </w:p>
    <w:p>
      <w:pPr>
        <w:spacing w:after="80" w:before="80"/>
      </w:pPr>
      <w:r>
        <w:t xml:space="preserve"/>
      </w:r>
    </w:p>
    <w:p>
      <w:pPr>
        <w:spacing w:after="80" w:before="80"/>
      </w:pPr>
      <w:r>
        <w:rPr>
          <w:rFonts w:ascii="Arial" w:cs="Arial" w:eastAsia="Arial" w:hAnsi="Arial"/>
          <w:color w:val="1C1C1E"/>
          <w:sz w:val="22"/>
          <w:szCs w:val="22"/>
        </w:rPr>
        <w:t xml:space="preserve">Meanwhile, Lakme has only 1 toner SKU and Himalaya shows minimal review traction in serums (56 average reviews). They are absent from the categories growing fastest — precisely the categories where the next generation of Indian skincare consumers are building their routines.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C4623A" w:sz="16"/>
              <w:bottom w:val="single" w:color="E5E7EB" w:sz="1"/>
              <w:right w:val="single" w:color="E5E7EB" w:sz="1"/>
            </w:tcBorders>
            <w:shd w:fill="FEF0E8" w:val="clear"/>
            <w:tcMar>
              <w:top w:type="dxa" w:w="120"/>
              <w:left w:type="dxa" w:w="200"/>
              <w:bottom w:type="dxa" w:w="120"/>
              <w:right w:type="dxa" w:w="200"/>
            </w:tcMar>
          </w:tcPr>
          <w:p>
            <w:pPr>
              <w:spacing w:after="60" w:before="0"/>
            </w:pPr>
            <w:r>
              <w:rPr>
                <w:rFonts w:ascii="Arial" w:cs="Arial" w:eastAsia="Arial" w:hAnsi="Arial"/>
                <w:b/>
                <w:bCs/>
                <w:color w:val="C4623A"/>
                <w:sz w:val="20"/>
                <w:szCs w:val="20"/>
              </w:rPr>
              <w:t xml:space="preserve">Gap 3 finding</w:t>
            </w:r>
          </w:p>
          <w:p>
            <w:pPr>
              <w:spacing w:after="0" w:before="0"/>
            </w:pPr>
            <w:r>
              <w:rPr>
                <w:rFonts w:ascii="Arial" w:cs="Arial" w:eastAsia="Arial" w:hAnsi="Arial"/>
                <w:color w:val="1C1C1E"/>
                <w:sz w:val="20"/>
                <w:szCs w:val="20"/>
              </w:rPr>
              <w:t xml:space="preserve">Legacy brands are trapped in portfolio breadth without category depth — maintaining presence across all categories but winning in none of the high-growth ones. A focused portfolio rationalisation toward actives and treatment products would better align their supply with where demand is heading.</w:t>
            </w:r>
          </w:p>
        </w:tc>
      </w:tr>
    </w:tbl>
    <w:p>
      <w:pPr>
        <w:spacing w:after="80" w:before="80"/>
      </w:pPr>
      <w:r>
        <w:t xml:space="preserve"/>
      </w:r>
    </w:p>
    <w:p>
      <w:r>
        <w:br w:type="page"/>
      </w:r>
    </w:p>
    <w:p>
      <w:pPr>
        <w:pBdr>
          <w:bottom w:val="single" w:color="C4623A" w:sz="8" w:space="6"/>
        </w:pBdr>
        <w:spacing w:after="160" w:before="400"/>
      </w:pPr>
      <w:r>
        <w:rPr>
          <w:rFonts w:ascii="Arial" w:cs="Arial" w:eastAsia="Arial" w:hAnsi="Arial"/>
          <w:b/>
          <w:bCs/>
          <w:color w:val="C4623A"/>
          <w:sz w:val="34"/>
          <w:szCs w:val="34"/>
        </w:rPr>
        <w:t xml:space="preserve">7. Strategic Implications</w:t>
      </w:r>
    </w:p>
    <w:p>
      <w:pPr>
        <w:spacing w:after="80" w:before="80"/>
      </w:pPr>
      <w:r>
        <w:rPr>
          <w:rFonts w:ascii="Arial" w:cs="Arial" w:eastAsia="Arial" w:hAnsi="Arial"/>
          <w:color w:val="1C1C1E"/>
          <w:sz w:val="22"/>
          <w:szCs w:val="22"/>
        </w:rPr>
        <w:t xml:space="preserve">Based on the demand and supply analysis, the following implications are drawn for each brand tier:</w:t>
      </w:r>
    </w:p>
    <w:p>
      <w:pPr>
        <w:spacing w:after="80" w:before="80"/>
      </w:pPr>
      <w:r>
        <w:t xml:space="preserve"/>
      </w:r>
    </w:p>
    <w:p>
      <w:pPr>
        <w:spacing w:after="120" w:before="300"/>
      </w:pPr>
      <w:r>
        <w:rPr>
          <w:rFonts w:ascii="Arial" w:cs="Arial" w:eastAsia="Arial" w:hAnsi="Arial"/>
          <w:b/>
          <w:bCs/>
          <w:color w:val="1C1C1E"/>
          <w:sz w:val="26"/>
          <w:szCs w:val="26"/>
        </w:rPr>
        <w:t xml:space="preserve">For Ingredient-led D2C brands (Minimalist, Foxtale)</w:t>
      </w:r>
    </w:p>
    <w:p>
      <w:pPr>
        <w:pStyle w:val="ListParagraph"/>
        <w:numPr>
          <w:ilvl w:val="0"/>
          <w:numId w:val="2"/>
        </w:numPr>
        <w:spacing w:after="60" w:before="60"/>
      </w:pPr>
      <w:r>
        <w:rPr>
          <w:rFonts w:ascii="Arial" w:cs="Arial" w:eastAsia="Arial" w:hAnsi="Arial"/>
          <w:b w:val="false"/>
          <w:bCs w:val="false"/>
          <w:color w:val="1C1C1E"/>
          <w:sz w:val="22"/>
          <w:szCs w:val="22"/>
        </w:rPr>
        <w:t xml:space="preserve">Double down on the anti-aging cluster (retinol, hyaluronic acid) before it peaks — demand is building and these brands have the ingredient-education credibility to own the narrative</w:t>
      </w:r>
    </w:p>
    <w:p>
      <w:pPr>
        <w:pStyle w:val="ListParagraph"/>
        <w:numPr>
          <w:ilvl w:val="0"/>
          <w:numId w:val="2"/>
        </w:numPr>
        <w:spacing w:after="60" w:before="60"/>
      </w:pPr>
      <w:r>
        <w:rPr>
          <w:rFonts w:ascii="Arial" w:cs="Arial" w:eastAsia="Arial" w:hAnsi="Arial"/>
          <w:b w:val="false"/>
          <w:bCs w:val="false"/>
          <w:color w:val="1C1C1E"/>
          <w:sz w:val="22"/>
          <w:szCs w:val="22"/>
        </w:rPr>
        <w:t xml:space="preserve">Expand into Tier 2 city distribution — search demand for niacinamide and actives is not confined to metros, but quick-commerce availability is</w:t>
      </w:r>
    </w:p>
    <w:p>
      <w:pPr>
        <w:pStyle w:val="ListParagraph"/>
        <w:numPr>
          <w:ilvl w:val="0"/>
          <w:numId w:val="2"/>
        </w:numPr>
        <w:spacing w:after="60" w:before="60"/>
      </w:pPr>
      <w:r>
        <w:rPr>
          <w:rFonts w:ascii="Arial" w:cs="Arial" w:eastAsia="Arial" w:hAnsi="Arial"/>
          <w:b w:val="false"/>
          <w:bCs w:val="false"/>
          <w:color w:val="1C1C1E"/>
          <w:sz w:val="22"/>
          <w:szCs w:val="22"/>
        </w:rPr>
        <w:t xml:space="preserve">Foxtale specifically needs to accelerate review generation — their search growth is strong but engagement depth is below category peers</w:t>
      </w:r>
    </w:p>
    <w:p>
      <w:pPr>
        <w:spacing w:after="80" w:before="80"/>
      </w:pPr>
      <w:r>
        <w:t xml:space="preserve"/>
      </w:r>
    </w:p>
    <w:p>
      <w:pPr>
        <w:spacing w:after="120" w:before="300"/>
      </w:pPr>
      <w:r>
        <w:rPr>
          <w:rFonts w:ascii="Arial" w:cs="Arial" w:eastAsia="Arial" w:hAnsi="Arial"/>
          <w:b/>
          <w:bCs/>
          <w:color w:val="1C1C1E"/>
          <w:sz w:val="26"/>
          <w:szCs w:val="26"/>
        </w:rPr>
        <w:t xml:space="preserve">For Broad mid-tier D2C brands (Dot &amp; Key, Plum, Pilgrim)</w:t>
      </w:r>
    </w:p>
    <w:p>
      <w:pPr>
        <w:pStyle w:val="ListParagraph"/>
        <w:numPr>
          <w:ilvl w:val="0"/>
          <w:numId w:val="2"/>
        </w:numPr>
        <w:spacing w:after="60" w:before="60"/>
      </w:pPr>
      <w:r>
        <w:rPr>
          <w:rFonts w:ascii="Arial" w:cs="Arial" w:eastAsia="Arial" w:hAnsi="Arial"/>
          <w:b w:val="false"/>
          <w:bCs w:val="false"/>
          <w:color w:val="1C1C1E"/>
          <w:sz w:val="22"/>
          <w:szCs w:val="22"/>
        </w:rPr>
        <w:t xml:space="preserve">Dot &amp; Key should leverage their sunscreen leadership to build a full sun-care routine portfolio — SPF awareness is growing and they are best positioned to own it</w:t>
      </w:r>
    </w:p>
    <w:p>
      <w:pPr>
        <w:pStyle w:val="ListParagraph"/>
        <w:numPr>
          <w:ilvl w:val="0"/>
          <w:numId w:val="2"/>
        </w:numPr>
        <w:spacing w:after="60" w:before="60"/>
      </w:pPr>
      <w:r>
        <w:rPr>
          <w:rFonts w:ascii="Arial" w:cs="Arial" w:eastAsia="Arial" w:hAnsi="Arial"/>
          <w:b w:val="false"/>
          <w:bCs w:val="false"/>
          <w:color w:val="1C1C1E"/>
          <w:sz w:val="22"/>
          <w:szCs w:val="22"/>
        </w:rPr>
        <w:t xml:space="preserve">Plum's balanced portfolio is a strength but also a risk — they need to pick 1-2 high-growth categories to concentrate in before more focused competitors outflank them</w:t>
      </w:r>
    </w:p>
    <w:p>
      <w:pPr>
        <w:pStyle w:val="ListParagraph"/>
        <w:numPr>
          <w:ilvl w:val="0"/>
          <w:numId w:val="2"/>
        </w:numPr>
        <w:spacing w:after="60" w:before="60"/>
      </w:pPr>
      <w:r>
        <w:rPr>
          <w:rFonts w:ascii="Arial" w:cs="Arial" w:eastAsia="Arial" w:hAnsi="Arial"/>
          <w:b w:val="false"/>
          <w:bCs w:val="false"/>
          <w:color w:val="1C1C1E"/>
          <w:sz w:val="22"/>
          <w:szCs w:val="22"/>
        </w:rPr>
        <w:t xml:space="preserve">Pilgrim must urgently address the awareness-to-engagement gap — product reformulation, community building, or influencer review programs before performance marketing ROI declines</w:t>
      </w:r>
    </w:p>
    <w:p>
      <w:pPr>
        <w:spacing w:after="80" w:before="80"/>
      </w:pPr>
      <w:r>
        <w:t xml:space="preserve"/>
      </w:r>
    </w:p>
    <w:p>
      <w:pPr>
        <w:spacing w:after="120" w:before="300"/>
      </w:pPr>
      <w:r>
        <w:rPr>
          <w:rFonts w:ascii="Arial" w:cs="Arial" w:eastAsia="Arial" w:hAnsi="Arial"/>
          <w:b/>
          <w:bCs/>
          <w:color w:val="1C1C1E"/>
          <w:sz w:val="26"/>
          <w:szCs w:val="26"/>
        </w:rPr>
        <w:t xml:space="preserve">For Legacy brands (Lakme, Himalaya)</w:t>
      </w:r>
    </w:p>
    <w:p>
      <w:pPr>
        <w:pStyle w:val="ListParagraph"/>
        <w:numPr>
          <w:ilvl w:val="0"/>
          <w:numId w:val="2"/>
        </w:numPr>
        <w:spacing w:after="60" w:before="60"/>
      </w:pPr>
      <w:r>
        <w:rPr>
          <w:rFonts w:ascii="Arial" w:cs="Arial" w:eastAsia="Arial" w:hAnsi="Arial"/>
          <w:b w:val="false"/>
          <w:bCs w:val="false"/>
          <w:color w:val="1C1C1E"/>
          <w:sz w:val="22"/>
          <w:szCs w:val="22"/>
        </w:rPr>
        <w:t xml:space="preserve">Portfolio rationalisation is more urgent than portfolio expansion — fewer SKUs in high-growth categories (actives, serums) will outperform many SKUs in flat categories (basic face wash)</w:t>
      </w:r>
    </w:p>
    <w:p>
      <w:pPr>
        <w:pStyle w:val="ListParagraph"/>
        <w:numPr>
          <w:ilvl w:val="0"/>
          <w:numId w:val="2"/>
        </w:numPr>
        <w:spacing w:after="60" w:before="60"/>
      </w:pPr>
      <w:r>
        <w:rPr>
          <w:rFonts w:ascii="Arial" w:cs="Arial" w:eastAsia="Arial" w:hAnsi="Arial"/>
          <w:b w:val="false"/>
          <w:bCs w:val="false"/>
          <w:color w:val="1C1C1E"/>
          <w:sz w:val="22"/>
          <w:szCs w:val="22"/>
        </w:rPr>
        <w:t xml:space="preserve">Consider acqui-hiring or white-labeling ingredient-forward formulations rather than developing from scratch — speed to market matters more than origin story in the current competitive environment</w:t>
      </w:r>
    </w:p>
    <w:p>
      <w:pPr>
        <w:pStyle w:val="ListParagraph"/>
        <w:numPr>
          <w:ilvl w:val="0"/>
          <w:numId w:val="2"/>
        </w:numPr>
        <w:spacing w:after="60" w:before="60"/>
      </w:pPr>
      <w:r>
        <w:rPr>
          <w:rFonts w:ascii="Arial" w:cs="Arial" w:eastAsia="Arial" w:hAnsi="Arial"/>
          <w:b w:val="false"/>
          <w:bCs w:val="false"/>
          <w:color w:val="1C1C1E"/>
          <w:sz w:val="22"/>
          <w:szCs w:val="22"/>
        </w:rPr>
        <w:t xml:space="preserve">Invest in search-native marketing — ingredient education content, dermatologist partnerships, and SEO — to rebuild the search presence that offline distribution cannot substitute</w:t>
      </w:r>
    </w:p>
    <w:p>
      <w:pPr>
        <w:spacing w:after="80" w:before="80"/>
      </w:pPr>
      <w:r>
        <w:t xml:space="preserve"/>
      </w:r>
    </w:p>
    <w:p>
      <w:pPr>
        <w:spacing w:after="120" w:before="300"/>
      </w:pPr>
      <w:r>
        <w:rPr>
          <w:rFonts w:ascii="Arial" w:cs="Arial" w:eastAsia="Arial" w:hAnsi="Arial"/>
          <w:b/>
          <w:bCs/>
          <w:color w:val="1C1C1E"/>
          <w:sz w:val="26"/>
          <w:szCs w:val="26"/>
        </w:rPr>
        <w:t xml:space="preserve">For International brands (Cetaphil)</w:t>
      </w:r>
    </w:p>
    <w:p>
      <w:pPr>
        <w:pStyle w:val="ListParagraph"/>
        <w:numPr>
          <w:ilvl w:val="0"/>
          <w:numId w:val="2"/>
        </w:numPr>
        <w:spacing w:after="60" w:before="60"/>
      </w:pPr>
      <w:r>
        <w:rPr>
          <w:rFonts w:ascii="Arial" w:cs="Arial" w:eastAsia="Arial" w:hAnsi="Arial"/>
          <w:b w:val="false"/>
          <w:bCs w:val="false"/>
          <w:color w:val="1C1C1E"/>
          <w:sz w:val="22"/>
          <w:szCs w:val="22"/>
        </w:rPr>
        <w:t xml:space="preserve">The dermatologist-recommendation moat is strong but narrow — expanding into ingredient-forward products risks diluting the clinical trust positioning</w:t>
      </w:r>
    </w:p>
    <w:p>
      <w:pPr>
        <w:pStyle w:val="ListParagraph"/>
        <w:numPr>
          <w:ilvl w:val="0"/>
          <w:numId w:val="2"/>
        </w:numPr>
        <w:spacing w:after="60" w:before="60"/>
      </w:pPr>
      <w:r>
        <w:rPr>
          <w:rFonts w:ascii="Arial" w:cs="Arial" w:eastAsia="Arial" w:hAnsi="Arial"/>
          <w:b w:val="false"/>
          <w:bCs w:val="false"/>
          <w:color w:val="1C1C1E"/>
          <w:sz w:val="22"/>
          <w:szCs w:val="22"/>
        </w:rPr>
        <w:t xml:space="preserve">Focus on building dermatologist network depth in Tier 2 cities where aspiration for clinical-grade skincare is growing but access to dermatologists is limited</w:t>
      </w:r>
    </w:p>
    <w:p>
      <w:pPr>
        <w:spacing w:after="80" w:before="80"/>
      </w:pPr>
      <w:r>
        <w:t xml:space="preserve"/>
      </w:r>
    </w:p>
    <w:p>
      <w:r>
        <w:br w:type="page"/>
      </w:r>
    </w:p>
    <w:p>
      <w:pPr>
        <w:pBdr>
          <w:bottom w:val="single" w:color="C4623A" w:sz="8" w:space="6"/>
        </w:pBdr>
        <w:spacing w:after="160" w:before="400"/>
      </w:pPr>
      <w:r>
        <w:rPr>
          <w:rFonts w:ascii="Arial" w:cs="Arial" w:eastAsia="Arial" w:hAnsi="Arial"/>
          <w:b/>
          <w:bCs/>
          <w:color w:val="C4623A"/>
          <w:sz w:val="34"/>
          <w:szCs w:val="34"/>
        </w:rPr>
        <w:t xml:space="preserve">8. Conclusion</w:t>
      </w:r>
    </w:p>
    <w:p>
      <w:pPr>
        <w:spacing w:after="80" w:before="80"/>
      </w:pPr>
      <w:r>
        <w:rPr>
          <w:rFonts w:ascii="Arial" w:cs="Arial" w:eastAsia="Arial" w:hAnsi="Arial"/>
          <w:color w:val="1C1C1E"/>
          <w:sz w:val="22"/>
          <w:szCs w:val="22"/>
        </w:rPr>
        <w:t xml:space="preserve">Indian skincare is at an inflection point. The consumer has changed — they are ingredient-literate, search-first, and willing to pay for efficacy over heritage. The market has not fully caught up.</w:t>
      </w:r>
    </w:p>
    <w:p>
      <w:pPr>
        <w:spacing w:after="80" w:before="80"/>
      </w:pPr>
      <w:r>
        <w:t xml:space="preserve"/>
      </w:r>
    </w:p>
    <w:p>
      <w:pPr>
        <w:spacing w:after="80" w:before="80"/>
      </w:pPr>
      <w:r>
        <w:rPr>
          <w:rFonts w:ascii="Arial" w:cs="Arial" w:eastAsia="Arial" w:hAnsi="Arial"/>
          <w:color w:val="1C1C1E"/>
          <w:sz w:val="22"/>
          <w:szCs w:val="22"/>
        </w:rPr>
        <w:t xml:space="preserve">The brands that will define the next five years of Indian skincare are those that understand three things: that hyperpigmentation is the category's defining concern, that search is the category's defining discovery channel, and that ingredient transparency is the category's defining purchase driver.</w:t>
      </w:r>
    </w:p>
    <w:p>
      <w:pPr>
        <w:spacing w:after="80" w:before="80"/>
      </w:pPr>
      <w:r>
        <w:t xml:space="preserve"/>
      </w:r>
    </w:p>
    <w:p>
      <w:pPr>
        <w:spacing w:after="80" w:before="80"/>
      </w:pPr>
      <w:r>
        <w:rPr>
          <w:rFonts w:ascii="Arial" w:cs="Arial" w:eastAsia="Arial" w:hAnsi="Arial"/>
          <w:color w:val="1C1C1E"/>
          <w:sz w:val="22"/>
          <w:szCs w:val="22"/>
        </w:rPr>
        <w:t xml:space="preserve">The data in this report captures these shifts six to twelve months before they will appear in sales data. That lead time is the strategic opportunity — for brands that read it correctly, and for analysts and consultants who can help them act on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C4623A" w:sz="16"/>
              <w:bottom w:val="single" w:color="E5E7EB" w:sz="1"/>
              <w:right w:val="single" w:color="E5E7EB" w:sz="1"/>
            </w:tcBorders>
            <w:shd w:fill="FEF0E8" w:val="clear"/>
            <w:tcMar>
              <w:top w:type="dxa" w:w="120"/>
              <w:left w:type="dxa" w:w="200"/>
              <w:bottom w:type="dxa" w:w="120"/>
              <w:right w:type="dxa" w:w="200"/>
            </w:tcMar>
          </w:tcPr>
          <w:p>
            <w:pPr>
              <w:spacing w:after="60" w:before="0"/>
            </w:pPr>
            <w:r>
              <w:rPr>
                <w:rFonts w:ascii="Arial" w:cs="Arial" w:eastAsia="Arial" w:hAnsi="Arial"/>
                <w:b/>
                <w:bCs/>
                <w:color w:val="C4623A"/>
                <w:sz w:val="20"/>
                <w:szCs w:val="20"/>
              </w:rPr>
              <w:t xml:space="preserve">Project note</w:t>
            </w:r>
          </w:p>
          <w:p>
            <w:pPr>
              <w:spacing w:after="0" w:before="0"/>
            </w:pPr>
            <w:r>
              <w:rPr>
                <w:rFonts w:ascii="Arial" w:cs="Arial" w:eastAsia="Arial" w:hAnsi="Arial"/>
                <w:color w:val="1C1C1E"/>
                <w:sz w:val="20"/>
                <w:szCs w:val="20"/>
              </w:rPr>
              <w:t xml:space="preserve">This report was produced as part of the Indian Skincare Demand Intelligence project — an independent demand intelligence system built to map Google Trends consumer search signals to Nykaa brand supply data across 8 Indian skincare brands. All data was collected and analysed independently using Python, Google Trends API, and manual Nykaa data collection between June and August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2026-06-27T17:38:32.659Z</dcterms:created>
  <dcterms:modified xsi:type="dcterms:W3CDTF">2026-06-27T17:38:32.672Z</dcterms:modified>
</cp:coreProperties>
</file>

<file path=docProps/custom.xml><?xml version="1.0" encoding="utf-8"?>
<Properties xmlns="http://schemas.openxmlformats.org/officeDocument/2006/custom-properties" xmlns:vt="http://schemas.openxmlformats.org/officeDocument/2006/docPropsVTypes"/>
</file>